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EMERGENCY CALL-OUT AGREEMENT</w:t>
      </w:r>
    </w:p>
    <w:p>
      <w:pPr>
        <w:jc w:val="center"/>
        <w:spacing w:after="360"/>
      </w:pPr>
      <w:r>
        <w:rPr>
          <w:sz w:val="20"/>
          <w:color w:val="555555"/>
        </w:rPr>
        <w:t xml:space="preserve">Template reactive_emergency_global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Emergency attendance. </w:t>
      </w:r>
      <w:r>
        <w:t xml:space="preserve">The Supplier shall attend emergency call-outs at </w:t>
      </w:r>
      <w:r>
        <w:rPr>
          <w:highlight w:val="yellow"/>
        </w:rPr>
        <w:t xml:space="preserve">[facility_names]</w:t>
      </w:r>
      <w:r>
        <w:t xml:space="preserve"> outside normal service hours, on a twenty-four hour basis every day of the year.</w:t>
      </w:r>
    </w:p>
    <w:p>
      <w:pPr>
        <w:spacing w:after="160"/>
        <w:jc w:val="both"/>
      </w:pPr>
      <w:r>
        <w:rPr>
          <w:b/>
        </w:rPr>
        <w:t xml:space="preserve">2.2 Authority to make safe. </w:t>
      </w:r>
      <w:r>
        <w:t xml:space="preserve">The Supplier may carry out works necessary to make the situation safe without a prior instruction, up to the emergency threshold in the schedules. Work beyond that threshold requires authorisation before it proceeds.</w:t>
      </w:r>
    </w:p>
    <w:p>
      <w:pPr>
        <w:spacing w:after="160"/>
        <w:jc w:val="both"/>
      </w:pPr>
      <w:r>
        <w:rPr>
          <w:b/>
        </w:rPr>
        <w:t xml:space="preserve">2.3 Charging. </w:t>
      </w:r>
      <w:r>
        <w:t xml:space="preserve">Emergency attendance is charged at the call-out rates in </w:t>
      </w:r>
      <w:r>
        <w:rPr>
          <w:highlight w:val="yellow"/>
        </w:rPr>
        <w:t xml:space="preserve">[rate_card_reference]</w:t>
      </w:r>
      <w:r>
        <w:t xml:space="preserve">. Attendance during normal service hours is not chargeable as an emergency.</w:t>
      </w:r>
    </w:p>
    <w:p>
      <w:pPr>
        <w:spacing w:before="280" w:after="120"/>
      </w:pPr>
      <w:r>
        <w:rPr>
          <w:b/>
          <w:caps/>
          <w:sz w:val="24"/>
        </w:rPr>
        <w:t xml:space="preserve">3. SUPPLIER OBLIGATIONS</w:t>
      </w:r>
    </w:p>
    <w:p>
      <w:pPr>
        <w:spacing w:after="160"/>
        <w:jc w:val="both"/>
      </w:pPr>
      <w:r>
        <w:rPr>
          <w:b/>
        </w:rPr>
        <w:t xml:space="preserve">3.1 Report. </w:t>
      </w:r>
      <w:r>
        <w:t xml:space="preserve">The Supplier shall report every emergency attendance to the Client by the next working day, stating what was done, what remains, and whether a permanent repair is required.</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Emergency Call-Out Agreement</dc:title>
  <dc:creator>Default catalogue</dc:creator>
  <cp:lastModifiedBy>Default catalogue</cp:lastModifiedBy>
  <cp:revision>template</cp:revision>
  <dcterms:created xsi:type="dcterms:W3CDTF">2026-09-07T05:01:26Z</dcterms:created>
</cp:coreProperties>
</file>