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jc w:val="center"/>
        <w:spacing w:after="240"/>
      </w:pPr>
      <w:r>
        <w:rPr>
          <w:b/>
          <w:sz w:val="32"/>
        </w:rPr>
        <w:t xml:space="preserve">SOFT FM SERVICES AGREEMENT (GLOBAL)</w:t>
      </w:r>
    </w:p>
    <w:p>
      <w:pPr>
        <w:jc w:val="center"/>
        <w:spacing w:after="360"/>
      </w:pPr>
      <w:r>
        <w:rPr>
          <w:sz w:val="20"/>
          <w:color w:val="555555"/>
        </w:rPr>
        <w:t xml:space="preserve">Template soft_fm_global · jurisdiction global · 25 merge fields</w:t>
      </w:r>
    </w:p>
    <w:p>
      <w:pPr>
        <w:spacing w:after="160"/>
        <w:jc w:val="both"/>
      </w:pPr>
      <w:r>
        <w:rPr>
          <w:b/>
        </w:rPr>
        <w:t xml:space="preserve">NOT REVIEWED BY COUNSEL. The clause positions in this document are the default catalogue's proposal. They are conventional for UK facilities management and exist so that routing and generation can be built and tested against something shaped like the real thing. Every one is tenant configuration, per legal entity, and is expected to change. Treat this as a first draft to argue with, not as advice.</w:t>
      </w:r>
    </w:p>
    <w:p>
      <w:pPr>
        <w:spacing w:after="160"/>
        <w:jc w:val="both"/>
      </w:pPr>
      <w:r>
        <w:t xml:space="preserve">Every highlighted [placeholder] below is a merge field resolved at generation time. This template needs: Contract number [contract_number]; Contract title [title]; Start date [start_date]; End date [end_date]; Annual contract value [contract_value]; Currency [currency_code]; Termination notice (days) [notice_period_days]; Supplier legal name [supplier_name]; Supplier company number [supplier_registered_number]; Supplier registered address [supplier_address]; Supplier contact [supplier_contact]; Client legal entity [legal_entity_name]; Client company number [legal_entity_registered_number]; Client registered address [legal_entity_address]; Governing law [governing_law]; Jurisdiction [jurisdiction]; Service category [service_category]; Facilities / sites [facility_names]; Service hours [service_hours]; Response times [response_times]; KPI schedule reference [kpi_schedule]; Payment terms (days) [payment_terms_days]; Rate card reference [rate_card_reference]; Indexation basis [indexation_basis]; Liability cap (% of annual charges) [liability_cap_amount].</w:t>
      </w:r>
    </w:p>
    <w:p>
      <w:pPr>
        <w:spacing w:before="280" w:after="120"/>
      </w:pPr>
      <w:r>
        <w:rPr>
          <w:b/>
          <w:caps/>
          <w:sz w:val="24"/>
        </w:rPr>
        <w:t xml:space="preserve">1. DEFINITIONS AND INTERPRETATION</w:t>
      </w:r>
    </w:p>
    <w:p>
      <w:pPr>
        <w:spacing w:after="160"/>
        <w:jc w:val="both"/>
      </w:pPr>
      <w:r>
        <w:rPr>
          <w:b/>
        </w:rPr>
        <w:t xml:space="preserve">1.1 Parties. </w:t>
      </w:r>
      <w:r>
        <w:t xml:space="preserve">This Agreement is made between </w:t>
      </w:r>
      <w:r>
        <w:rPr>
          <w:highlight w:val="yellow"/>
        </w:rPr>
        <w:t xml:space="preserve">[legal_entity_name]</w:t>
      </w:r>
      <w:r>
        <w:t xml:space="preserve"> (company number </w:t>
      </w:r>
      <w:r>
        <w:rPr>
          <w:highlight w:val="yellow"/>
        </w:rPr>
        <w:t xml:space="preserve">[legal_entity_registered_number]</w:t>
      </w:r>
      <w:r>
        <w:t xml:space="preserve">) of </w:t>
      </w:r>
      <w:r>
        <w:rPr>
          <w:highlight w:val="yellow"/>
        </w:rPr>
        <w:t xml:space="preserve">[legal_entity_address]</w:t>
      </w:r>
      <w:r>
        <w:t xml:space="preserve"> (the "Client") and </w:t>
      </w:r>
      <w:r>
        <w:rPr>
          <w:highlight w:val="yellow"/>
        </w:rPr>
        <w:t xml:space="preserve">[supplier_name]</w:t>
      </w:r>
      <w:r>
        <w:t xml:space="preserve"> (company number </w:t>
      </w:r>
      <w:r>
        <w:rPr>
          <w:highlight w:val="yellow"/>
        </w:rPr>
        <w:t xml:space="preserve">[supplier_registered_number]</w:t>
      </w:r>
      <w:r>
        <w:t xml:space="preserve">) of </w:t>
      </w:r>
      <w:r>
        <w:rPr>
          <w:highlight w:val="yellow"/>
        </w:rPr>
        <w:t xml:space="preserve">[supplier_address]</w:t>
      </w:r>
      <w:r>
        <w:t xml:space="preserve"> (the "Supplier").</w:t>
      </w:r>
    </w:p>
    <w:p>
      <w:pPr>
        <w:spacing w:after="160"/>
        <w:jc w:val="both"/>
      </w:pPr>
      <w:r>
        <w:rPr>
          <w:b/>
        </w:rPr>
        <w:t xml:space="preserve">1.2 Definitions. </w:t>
      </w:r>
      <w:r>
        <w:t xml:space="preserve">"Services" means the services described in clause 2 and the schedules. "Annual Charges" means the charges payable in any twelve-month period, being </w:t>
      </w:r>
      <w:r>
        <w:rPr>
          <w:highlight w:val="yellow"/>
        </w:rPr>
        <w:t xml:space="preserve">[currency_code]</w:t>
      </w:r>
      <w:r>
        <w:t xml:space="preserve"> </w:t>
      </w:r>
      <w:r>
        <w:rPr>
          <w:highlight w:val="yellow"/>
        </w:rPr>
        <w:t xml:space="preserve">[contract_value]</w:t>
      </w:r>
      <w:r>
        <w:t xml:space="preserve"> at the Start Date. "Rate Card" means </w:t>
      </w:r>
      <w:r>
        <w:rPr>
          <w:highlight w:val="yellow"/>
        </w:rPr>
        <w:t xml:space="preserve">[rate_card_reference]</w:t>
      </w:r>
      <w:r>
        <w:t xml:space="preserve">. Headings do not affect interpretation, and a reference to a schedule is a reference to a schedule to this Agreement.</w:t>
      </w:r>
    </w:p>
    <w:p>
      <w:pPr>
        <w:spacing w:before="280" w:after="120"/>
      </w:pPr>
      <w:r>
        <w:rPr>
          <w:b/>
          <w:caps/>
          <w:sz w:val="24"/>
        </w:rPr>
        <w:t xml:space="preserve">2. THE SERVICES</w:t>
      </w:r>
    </w:p>
    <w:p>
      <w:pPr>
        <w:spacing w:after="160"/>
        <w:jc w:val="both"/>
      </w:pPr>
      <w:r>
        <w:rPr>
          <w:b/>
        </w:rPr>
        <w:t xml:space="preserve">2.1 Scope. </w:t>
      </w:r>
      <w:r>
        <w:t xml:space="preserve">The Supplier shall provide soft facilities management services at </w:t>
      </w:r>
      <w:r>
        <w:rPr>
          <w:highlight w:val="yellow"/>
        </w:rPr>
        <w:t xml:space="preserve">[facility_names]</w:t>
      </w:r>
      <w:r>
        <w:t xml:space="preserve">, covering cleaning, catering, security, waste management and grounds maintenance.</w:t>
      </w:r>
    </w:p>
    <w:p>
      <w:pPr>
        <w:spacing w:after="160"/>
        <w:jc w:val="both"/>
      </w:pPr>
      <w:r>
        <w:rPr>
          <w:b/>
        </w:rPr>
        <w:t xml:space="preserve">2.2 Service hours. </w:t>
      </w:r>
      <w:r>
        <w:t xml:space="preserve">Services shall be delivered during </w:t>
      </w:r>
      <w:r>
        <w:rPr>
          <w:highlight w:val="yellow"/>
        </w:rPr>
        <w:t xml:space="preserve">[service_hours]</w:t>
      </w:r>
      <w:r>
        <w:t xml:space="preserve">, with response times of </w:t>
      </w:r>
      <w:r>
        <w:rPr>
          <w:highlight w:val="yellow"/>
        </w:rPr>
        <w:t xml:space="preserve">[response_times]</w:t>
      </w:r>
      <w:r>
        <w:t xml:space="preserve">.</w:t>
      </w:r>
    </w:p>
    <w:p>
      <w:pPr>
        <w:spacing w:before="280" w:after="120"/>
      </w:pPr>
      <w:r>
        <w:rPr>
          <w:b/>
          <w:caps/>
          <w:sz w:val="24"/>
        </w:rPr>
        <w:t xml:space="preserve">3. SUPPLIER OBLIGATIONS</w:t>
      </w:r>
    </w:p>
    <w:p>
      <w:pPr>
        <w:spacing w:after="160"/>
        <w:jc w:val="both"/>
      </w:pPr>
      <w:r>
        <w:rPr>
          <w:b/>
        </w:rPr>
        <w:t xml:space="preserve">3.1 Staffing. </w:t>
      </w:r>
      <w:r>
        <w:t xml:space="preserve">The Supplier shall maintain the establishment set out in the schedules and shall notify the Client of any sustained shortfall within two (2) business days.</w:t>
      </w:r>
    </w:p>
    <w:p>
      <w:pPr>
        <w:spacing w:before="280" w:after="120"/>
      </w:pPr>
      <w:r>
        <w:rPr>
          <w:b/>
          <w:caps/>
          <w:sz w:val="24"/>
        </w:rPr>
        <w:t xml:space="preserve">4. TERM AND RENEWAL</w:t>
      </w:r>
    </w:p>
    <w:p>
      <w:pPr>
        <w:spacing w:after="160"/>
        <w:jc w:val="both"/>
      </w:pPr>
      <w:r>
        <w:rPr>
          <w:b/>
        </w:rPr>
        <w:t xml:space="preserve">4.1 Term and renewal. </w:t>
      </w:r>
      <w:r>
        <w:t xml:space="preserve">This Agreement commences on the Start Date and continues for an initial term of three (3) years. It shall then renew automatically for successive periods of twelve (12) months unless either party gives not less than ninety (90) days' written notice before the end of the then-current term.</w:t>
      </w:r>
    </w:p>
    <w:p>
      <w:pPr>
        <w:spacing w:before="280" w:after="120"/>
      </w:pPr>
      <w:r>
        <w:rPr>
          <w:b/>
          <w:caps/>
          <w:sz w:val="24"/>
        </w:rPr>
        <w:t xml:space="preserve">5. CHARGES AND PAYMENT</w:t>
      </w:r>
    </w:p>
    <w:p>
      <w:pPr>
        <w:spacing w:after="160"/>
        <w:jc w:val="both"/>
      </w:pPr>
      <w:r>
        <w:rPr>
          <w:b/>
        </w:rPr>
        <w:t xml:space="preserve">5.1 Payment terms. </w:t>
      </w:r>
      <w:r>
        <w:t xml:space="preserve">The Client shall pay all undisputed invoices within </w:t>
      </w:r>
      <w:r>
        <w:rPr>
          <w:highlight w:val="yellow"/>
        </w:rPr>
        <w:t xml:space="preserve">[payment_terms_days]</w:t>
      </w:r>
      <w:r>
        <w:t xml:space="preserve"> days of receipt. Invoices shall be submitted monthly in arrears and shall reference the Contract Number and the relevant purchase order. The Charges may be varied only in accordance with clause 18.1.</w:t>
      </w:r>
    </w:p>
    <w:p>
      <w:pPr>
        <w:spacing w:before="280" w:after="120"/>
      </w:pPr>
      <w:r>
        <w:rPr>
          <w:b/>
          <w:caps/>
          <w:sz w:val="24"/>
        </w:rPr>
        <w:t xml:space="preserve">6. SERVICE LEVELS AND SERVICE CREDITS</w:t>
      </w:r>
    </w:p>
    <w:p>
      <w:pPr>
        <w:spacing w:after="160"/>
        <w:jc w:val="both"/>
      </w:pPr>
      <w:r>
        <w:rPr>
          <w:b/>
        </w:rPr>
        <w:t xml:space="preserve">6.3 Service levels and service credits. </w:t>
      </w:r>
      <w:r>
        <w:t xml:space="preserve">The Supplier shall meet the Service Levels in Schedule 3. For each Service Level failure the Supplier shall issue a service credit against the monthly Charges, capped at ten per cent (10%) of the monthly Charges. The Client may terminate for persistent failure over three (3) consecutive months. Service credits are not the Client's sole remedy and do not limit any other right, including the right to terminate under clause 9.1.</w:t>
      </w:r>
    </w:p>
    <w:p>
      <w:pPr>
        <w:spacing w:before="280" w:after="120"/>
      </w:pPr>
      <w:r>
        <w:rPr>
          <w:b/>
          <w:caps/>
          <w:sz w:val="24"/>
        </w:rPr>
        <w:t xml:space="preserve">7. LIABILITY</w:t>
      </w:r>
    </w:p>
    <w:p>
      <w:pPr>
        <w:spacing w:after="160"/>
        <w:jc w:val="both"/>
      </w:pPr>
      <w:r>
        <w:rPr>
          <w:b/>
        </w:rPr>
        <w:t xml:space="preserve">7.2 Limitation of liability. </w:t>
      </w:r>
      <w:r>
        <w:t xml:space="preserve">The Supplier's aggregate liability arising out of or in connection with this Agreement, whether in contract, tort (including negligence), breach of statutory duty or otherwise, shall not exceed </w:t>
      </w:r>
      <w:r>
        <w:rPr>
          <w:highlight w:val="yellow"/>
        </w:rPr>
        <w:t xml:space="preserve">[liability_cap_amount]</w:t>
      </w:r>
      <w:r>
        <w:t xml:space="preserve">% of the Annual Charges. Nothing in this Agreement limits or excludes either party's liability for death or personal injury caused by its negligence, for fraud or fraudulent misrepresentation, or for breach of clause 8 (Confidentiality).</w:t>
      </w:r>
    </w:p>
    <w:p>
      <w:pPr>
        <w:spacing w:after="160"/>
        <w:jc w:val="both"/>
      </w:pPr>
      <w:r>
        <w:rPr>
          <w:b/>
        </w:rPr>
        <w:t xml:space="preserve">7.4 Indemnities. </w:t>
      </w:r>
      <w:r>
        <w:t xml:space="preserve">The Supplier shall indemnify and hold the Client harmless against all losses, damages, costs and expenses arising from (a) any claim that the Services or Deliverables infringe a third party's intellectual property rights, (b) the Supplier's breach of applicable data protection law, and (c) death or personal injury caused by the Supplier's negligence. The indemnities in this clause are given in addition to, and are not subject to, the limit in clause 7.2.</w:t>
      </w:r>
    </w:p>
    <w:p>
      <w:pPr>
        <w:spacing w:before="280" w:after="120"/>
      </w:pPr>
      <w:r>
        <w:rPr>
          <w:b/>
          <w:caps/>
          <w:sz w:val="24"/>
        </w:rPr>
        <w:t xml:space="preserve">8. CONFIDENTIALITY</w:t>
      </w:r>
    </w:p>
    <w:p>
      <w:pPr>
        <w:spacing w:after="160"/>
        <w:jc w:val="both"/>
      </w:pPr>
      <w:r>
        <w:rPr>
          <w:b/>
        </w:rPr>
        <w:t xml:space="preserve">8.1 Confidentiality. </w:t>
      </w:r>
      <w:r>
        <w:t xml:space="preserve">Each party shall keep the other's Confidential Information confidential and shall not disclose it except to those who need it to perform this Agreement. These obligations survive termination for five (5) years, and indefinitely in respect of security, access control and personal data information.</w:t>
      </w:r>
    </w:p>
    <w:p>
      <w:pPr>
        <w:spacing w:before="280" w:after="120"/>
      </w:pPr>
      <w:r>
        <w:rPr>
          <w:b/>
          <w:caps/>
          <w:sz w:val="24"/>
        </w:rPr>
        <w:t xml:space="preserve">9. TERMINATION AND EXIT</w:t>
      </w:r>
    </w:p>
    <w:p>
      <w:pPr>
        <w:spacing w:after="160"/>
        <w:jc w:val="both"/>
      </w:pPr>
      <w:r>
        <w:rPr>
          <w:b/>
        </w:rPr>
        <w:t xml:space="preserve">9.1 Termination for convenience. </w:t>
      </w:r>
      <w:r>
        <w:t xml:space="preserve">Either party may terminate this Agreement for convenience on not less than </w:t>
      </w:r>
      <w:r>
        <w:rPr>
          <w:highlight w:val="yellow"/>
        </w:rPr>
        <w:t xml:space="preserve">[notice_period_days]</w:t>
      </w:r>
      <w:r>
        <w:t xml:space="preserve"> days' prior written notice to the other. No termination charge shall be payable on a termination under this clause.</w:t>
      </w:r>
    </w:p>
    <w:p>
      <w:pPr>
        <w:spacing w:after="160"/>
        <w:jc w:val="both"/>
      </w:pPr>
      <w:r>
        <w:rPr>
          <w:b/>
        </w:rPr>
        <w:t xml:space="preserve">9.3 Exit and transition assistance. </w:t>
      </w:r>
      <w:r>
        <w:t xml:space="preserve">On expiry or termination the Supplier shall provide transition assistance for up to twelve (12) months at the Rate Card rates referred to in clause 18.1, and shall hand over all asset data, maintenance history, statutory compliance records and access credentials at no charge.</w:t>
      </w:r>
    </w:p>
    <w:p>
      <w:pPr>
        <w:spacing w:before="280" w:after="120"/>
      </w:pPr>
      <w:r>
        <w:rPr>
          <w:b/>
          <w:caps/>
          <w:sz w:val="24"/>
        </w:rPr>
        <w:t xml:space="preserve">10. SUBCONTRACTING AND ASSIGNMENT</w:t>
      </w:r>
    </w:p>
    <w:p>
      <w:pPr>
        <w:spacing w:after="160"/>
        <w:jc w:val="both"/>
      </w:pPr>
      <w:r>
        <w:rPr>
          <w:b/>
        </w:rPr>
        <w:t xml:space="preserve">10.2 Subcontracting. </w:t>
      </w:r>
      <w:r>
        <w:t xml:space="preserve">The Supplier shall not subcontract any part of the Services without the Client's prior written consent, such consent not to be unreasonably withheld. The Supplier remains fully responsible for the acts and omissions of any subcontractor as if they were its own, including for the purposes of clauses 11.1 and 13.1.</w:t>
      </w:r>
    </w:p>
    <w:p>
      <w:pPr>
        <w:spacing w:before="280" w:after="120"/>
      </w:pPr>
      <w:r>
        <w:rPr>
          <w:b/>
          <w:caps/>
          <w:sz w:val="24"/>
        </w:rPr>
        <w:t xml:space="preserve">11. INSURANCE</w:t>
      </w:r>
    </w:p>
    <w:p>
      <w:pPr>
        <w:spacing w:after="160"/>
        <w:jc w:val="both"/>
      </w:pPr>
      <w:r>
        <w:rPr>
          <w:b/>
        </w:rPr>
        <w:t xml:space="preserve">11.1 Insurance. </w:t>
      </w:r>
      <w:r>
        <w:t xml:space="preserve">The Supplier shall maintain, with a reputable insurer, public liability insurance of not less than </w:t>
      </w:r>
      <w:r>
        <w:rPr>
          <w:highlight w:val="yellow"/>
        </w:rPr>
        <w:t xml:space="preserve">[currency_code]</w:t>
      </w:r>
      <w:r>
        <w:t xml:space="preserve"> 5,000,000 per occurrence, employer's liability insurance of not less than GBP 5,000,000 (the statutory minimum in Great Britain), and professional indemnity insurance of not less than </w:t>
      </w:r>
      <w:r>
        <w:rPr>
          <w:highlight w:val="yellow"/>
        </w:rPr>
        <w:t xml:space="preserve">[currency_code]</w:t>
      </w:r>
      <w:r>
        <w:t xml:space="preserve"> 2,000,000, and shall provide certificates of currency on each policy anniversary. Maintaining the cover required by this clause does not limit the Supplier's liability under clause 7.2.</w:t>
      </w:r>
    </w:p>
    <w:p>
      <w:pPr>
        <w:spacing w:before="280" w:after="120"/>
      </w:pPr>
      <w:r>
        <w:rPr>
          <w:b/>
          <w:caps/>
          <w:sz w:val="24"/>
        </w:rPr>
        <w:t xml:space="preserve">12. DATA PROTECTION</w:t>
      </w:r>
    </w:p>
    <w:p>
      <w:pPr>
        <w:spacing w:after="160"/>
        <w:jc w:val="both"/>
      </w:pPr>
      <w:r>
        <w:rPr>
          <w:b/>
        </w:rPr>
        <w:t xml:space="preserve">12.1 Data protection. </w:t>
      </w:r>
      <w:r>
        <w:t xml:space="preserve">Where the Supplier processes personal data on the Client's behalf it does so as processor. The Supplier shall notify the Client without undue delay and in any event within twenty-four (24) hours of becoming aware of any personal data breach, and shall not appoint a sub-processor without the Client's prior written consent. The indemnity in clause 7.4 applies to any breach of this clause.</w:t>
      </w:r>
    </w:p>
    <w:p>
      <w:pPr>
        <w:spacing w:before="280" w:after="120"/>
      </w:pPr>
      <w:r>
        <w:rPr>
          <w:b/>
          <w:caps/>
          <w:sz w:val="24"/>
        </w:rPr>
        <w:t xml:space="preserve">13. HEALTH, SAFETY AND STATUTORY COMPLIANCE</w:t>
      </w:r>
    </w:p>
    <w:p>
      <w:pPr>
        <w:spacing w:after="160"/>
        <w:jc w:val="both"/>
      </w:pPr>
      <w:r>
        <w:rPr>
          <w:b/>
        </w:rPr>
        <w:t xml:space="preserve">13.1 Health, safety and statutory compliance. </w:t>
      </w:r>
      <w:r>
        <w:t xml:space="preserve">The Supplier shall comply with all applicable health and safety legislation and approved codes of practice, shall maintain current risk assessments and method statements for all Services, and shall retain compliance records for a period of not less than six (6) years and produce them to the Client on request.</w:t>
      </w:r>
    </w:p>
    <w:p>
      <w:pPr>
        <w:spacing w:before="280" w:after="120"/>
      </w:pPr>
      <w:r>
        <w:rPr>
          <w:b/>
          <w:caps/>
          <w:sz w:val="24"/>
        </w:rPr>
        <w:t xml:space="preserve">15. FORCE MAJEURE</w:t>
      </w:r>
    </w:p>
    <w:p>
      <w:pPr>
        <w:spacing w:after="160"/>
        <w:jc w:val="both"/>
      </w:pPr>
      <w:r>
        <w:rPr>
          <w:b/>
        </w:rPr>
        <w:t xml:space="preserve">15.1 Force majeure. </w:t>
      </w:r>
      <w:r>
        <w:t xml:space="preserve">Neither party is liable for failure to perform caused by an event beyond its reasonable control, provided it notifies the other promptly and mitigates. Supplier labour disputes are excluded. If the event continues for more than sixty (60) days either party may terminate this Agreement on written notice with no liability, and clause 9.3 applies to the exit.</w:t>
      </w:r>
    </w:p>
    <w:p>
      <w:pPr>
        <w:spacing w:before="280" w:after="120"/>
      </w:pPr>
      <w:r>
        <w:rPr>
          <w:b/>
          <w:caps/>
          <w:sz w:val="24"/>
        </w:rPr>
        <w:t xml:space="preserve">16. GOVERNING LAW AND JURISDICTION</w:t>
      </w:r>
    </w:p>
    <w:p>
      <w:pPr>
        <w:spacing w:after="160"/>
        <w:jc w:val="both"/>
      </w:pPr>
      <w:r>
        <w:rPr>
          <w:b/>
        </w:rPr>
        <w:t xml:space="preserve">16.1 Governing law and jurisdiction. </w:t>
      </w:r>
      <w:r>
        <w:t xml:space="preserve">This Agreement and any dispute arising out of it are governed by the laws of </w:t>
      </w:r>
      <w:r>
        <w:rPr>
          <w:highlight w:val="yellow"/>
        </w:rPr>
        <w:t xml:space="preserve">[governing_law]</w:t>
      </w:r>
      <w:r>
        <w:t xml:space="preserve">, and the parties submit to the exclusive jurisdiction of the courts of </w:t>
      </w:r>
      <w:r>
        <w:rPr>
          <w:highlight w:val="yellow"/>
        </w:rPr>
        <w:t xml:space="preserve">[governing_law]</w:t>
      </w:r>
      <w:r>
        <w:t xml:space="preserve">.</w:t>
      </w:r>
    </w:p>
    <w:p>
      <w:pPr>
        <w:spacing w:before="280" w:after="120"/>
      </w:pPr>
      <w:r>
        <w:rPr>
          <w:b/>
          <w:caps/>
          <w:sz w:val="24"/>
        </w:rPr>
        <w:t xml:space="preserve">17. INTELLECTUAL PROPERTY</w:t>
      </w:r>
    </w:p>
    <w:p>
      <w:pPr>
        <w:spacing w:after="160"/>
        <w:jc w:val="both"/>
      </w:pPr>
      <w:r>
        <w:rPr>
          <w:b/>
        </w:rPr>
        <w:t xml:space="preserve">17.1 Intellectual property. </w:t>
      </w:r>
      <w:r>
        <w:t xml:space="preserve">All intellectual property rights in the Deliverables created for the Client under this Agreement vest in the Client on creation. Each party retains its pre-existing background intellectual property and grants the other a licence to use it to the extent necessary to perform or receive the Services.</w:t>
      </w:r>
    </w:p>
    <w:p>
      <w:pPr>
        <w:spacing w:before="280" w:after="120"/>
      </w:pPr>
      <w:r>
        <w:rPr>
          <w:b/>
          <w:caps/>
          <w:sz w:val="24"/>
        </w:rPr>
        <w:t xml:space="preserve">18. CHANGE CONTROL</w:t>
      </w:r>
    </w:p>
    <w:p>
      <w:pPr>
        <w:spacing w:after="160"/>
        <w:jc w:val="both"/>
      </w:pPr>
      <w:r>
        <w:rPr>
          <w:b/>
        </w:rPr>
        <w:t xml:space="preserve">18.1 Change control. </w:t>
      </w:r>
      <w:r>
        <w:t xml:space="preserve">No change to the Services or Charges is effective unless agreed in writing by both parties using the change control procedure in Schedule 5. Changes shall be priced against the Rate Card. No change is deemed accepted by silence.</w:t>
      </w:r>
    </w:p>
    <w:p>
      <w:pPr>
        <w:spacing w:before="280" w:after="120"/>
      </w:pPr>
      <w:r>
        <w:rPr>
          <w:b/>
          <w:caps/>
          <w:sz w:val="24"/>
        </w:rPr>
        <w:t xml:space="preserve">EXECUTION</w:t>
      </w:r>
    </w:p>
    <w:p>
      <w:pPr>
        <w:spacing w:after="160"/>
        <w:jc w:val="both"/>
      </w:pPr>
      <w:r>
        <w:t xml:space="preserve">Signed for and on behalf of </w:t>
      </w:r>
      <w:r>
        <w:rPr>
          <w:highlight w:val="yellow"/>
        </w:rPr>
        <w:t xml:space="preserve">[legal_entity_name]</w:t>
      </w:r>
      <w:r>
        <w:t xml:space="preserve"> by its authorised signatory, and for and on behalf of </w:t>
      </w:r>
      <w:r>
        <w:rPr>
          <w:highlight w:val="yellow"/>
        </w:rPr>
        <w:t xml:space="preserve">[supplier_name]</w:t>
      </w:r>
      <w:r>
        <w:t xml:space="preserve"> by its authorised signatory, each by electronic signature, which the parties agree has the same effect as a manuscript signature.</w:t>
      </w:r>
    </w:p>
    <w:sectPr>
      <w:headerReference w:type="default" r:id="rId3"/>
      <w:pgSz w:w="11906" w:h="16838"/>
      <w:pgMar w:top="1440" w:right="1440" w:bottom="1440" w:left="1440" w:header="708" w:footer="708" w:gutter="0"/>
    </w:sectPr>
  </w:body>
</w:document>
</file>

<file path=word/header1.xml><?xml version="1.0" encoding="utf-8"?>
<w:hdr xmlns:w="http://schemas.openxmlformats.org/wordprocessingml/2006/main" xmlns:v="urn:schemas-microsoft-com:vml" xmlns:o="urn:schemas-microsoft-com:office:office" xmlns:w10="urn:schemas-microsoft-com:office:word">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shapetype>
        <v:shape id="PowerPlusWaterMarkObject" o:spid="_x0000_s2049" type="#_x0000_t136" style="position:absolute;margin-left:0;margin-top:0;width:468pt;height:117pt;rotation:315;z-index:-251656192;mso-position-horizontal:center;mso-position-horizontal-relative:margin;mso-position-vertical:center;mso-position-vertical-relative:margin" fillcolor="#d9d0cd" stroked="f">
          <v:fill opacity=".5"/>
          <v:textpath style="font-family:&quot;Calibri&quot;;font-size:1pt" string="UNREVIEWED"/>
        </v:shape>
      </w:pict>
    </w:r>
  </w:p>
  <w:p>
    <w:pPr>
      <w:jc w:val="center"/>
    </w:pPr>
    <w:r>
      <w:rPr>
        <w:color w:val="9A3412"/>
        <w:sz w:val="16"/>
        <w:b/>
      </w:rPr>
      <w:t xml:space="preserve">UNREVIEWED - NOT FOR EXECUTION</w:t>
    </w:r>
  </w:p>
</w:hdr>
</file>

<file path=word/styles.xml><?xml version="1.0" encoding="utf-8"?>
<w:styles xmlns:w="http://schemas.openxmlformats.org/wordprocessingml/2006/main">
  <w:docDefaults>
    <w:rPrDefault>
      <w:rPr>
        <w:rFonts w:ascii="Calibri" w:hAnsi="Calibri" w:cs="Calibri"/>
        <w:sz w:val="22"/>
      </w:rPr>
    </w:rPrDefault>
  </w:docDefaults>
  <w:style w:type="paragraph" w:default="1" w:styleId="Normal">
    <w:name w:val="Normal"/>
  </w:style>
  <w:style w:type="character" w:styleId="CommentReference">
    <w:name w:val="annotation reference"/>
    <w:rPr>
      <w:sz w:val="16"/>
    </w:rPr>
  </w:style>
  <w:style w:type="paragraph" w:styleId="CommentText">
    <w:name w:val="annotation text"/>
    <w:rPr>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3" Type="http://schemas.openxmlformats.org/officeDocument/2006/relationships/header" Target="header1.xml"/>
</Relationships>
</file>

<file path=docProps/core.xml><?xml version="1.0" encoding="utf-8"?>
<cp:coreProperties xmlns:cp="http://schemas.openxmlformats.org/package/2006/metadata/core-properties" xmlns:dc="http://purl.org/dc/elements/1.1/" xmlns:dcterms="http://purl.org/dc/terms/" xmlns:xsi="http://www.w3.org/2001/XMLSchema-instance">
  <dc:title>Soft FM Services Agreement (global)</dc:title>
  <dc:creator>Default catalogue</dc:creator>
  <cp:lastModifiedBy>Default catalogue</cp:lastModifiedBy>
  <cp:revision>template</cp:revision>
  <dcterms:created xsi:type="dcterms:W3CDTF">2026-09-07T05:01:26Z</dcterms:created>
</cp:coreProperties>
</file>