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STATEMENT OF WORK (TIME AND MATERIALS)</w:t>
      </w:r>
    </w:p>
    <w:p>
      <w:pPr>
        <w:jc w:val="center"/>
        <w:spacing w:after="360"/>
      </w:pPr>
      <w:r>
        <w:rPr>
          <w:sz w:val="20"/>
          <w:color w:val="555555"/>
        </w:rPr>
        <w:t xml:space="preserve">Template sow_tm_global · jurisdiction global · 20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Contract number [contract_number]; Contract title [title]; Start date [start_date]; End date [end_date]; Annual contract value [contract_value]; Currency [currency_code]; Termination notice (days) [notice_period_days]; Supplier legal name [supplier_name]; Supplier company number [supplier_registered_number]; Supplier registered address [supplier_address]; Supplier contact [supplier_contact]; Service category [service_category]; Facilities / sites [facility_names]; Service hours [service_hours]; Response times [response_times]; KPI schedule reference [kpi_schedule]; Payment terms (days) [payment_terms_days]; Rate card reference [rate_card_reference]; Indexation basis [indexation_basis]; Liability cap (% of annual charges) [liability_cap_amount].</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Parent agreement. </w:t>
      </w:r>
      <w:r>
        <w:t xml:space="preserve">This Statement of Work is issued under, and incorporates the terms of, the master services agreement between the parties. It carries no standalone liability, indemnity or insurance terms. Those sit in the parent agreement.</w:t>
      </w:r>
    </w:p>
    <w:p>
      <w:pPr>
        <w:spacing w:after="160"/>
        <w:jc w:val="both"/>
      </w:pPr>
      <w:r>
        <w:rPr>
          <w:b/>
        </w:rPr>
        <w:t xml:space="preserve">2.2 Basis of charge. </w:t>
      </w:r>
      <w:r>
        <w:t xml:space="preserve">Work under this Statement of Work is charged on a time and materials basis against the Rate Card (</w:t>
      </w:r>
      <w:r>
        <w:rPr>
          <w:highlight w:val="yellow"/>
        </w:rPr>
        <w:t xml:space="preserve">[rate_card_reference]</w:t>
      </w:r>
      <w:r>
        <w:t xml:space="preserve">). The Client is buying effort against a cap, not a defined outcome, and no fixed price is implied.</w:t>
      </w:r>
    </w:p>
    <w:p>
      <w:pPr>
        <w:spacing w:after="160"/>
        <w:jc w:val="both"/>
      </w:pPr>
      <w:r>
        <w:rPr>
          <w:b/>
        </w:rPr>
        <w:t xml:space="preserve">2.3 Spend cap. </w:t>
      </w:r>
      <w:r>
        <w:t xml:space="preserve">The Supplier shall not incur charges exceeding </w:t>
      </w:r>
      <w:r>
        <w:rPr>
          <w:highlight w:val="yellow"/>
        </w:rPr>
        <w:t xml:space="preserve">[currency_code]</w:t>
      </w:r>
      <w:r>
        <w:t xml:space="preserve"> </w:t>
      </w:r>
      <w:r>
        <w:rPr>
          <w:highlight w:val="yellow"/>
        </w:rPr>
        <w:t xml:space="preserve">[contract_value]</w:t>
      </w:r>
      <w:r>
        <w:t xml:space="preserve"> without the Client's prior written authorisation. Work performed above the cap without authorisation is not chargeable.</w:t>
      </w:r>
    </w:p>
    <w:p>
      <w:pPr>
        <w:spacing w:before="280" w:after="120"/>
      </w:pPr>
      <w:r>
        <w:rPr>
          <w:b/>
          <w:caps/>
          <w:sz w:val="24"/>
        </w:rPr>
        <w:t xml:space="preserve">3. SUPPLIER OBLIGATIONS</w:t>
      </w:r>
    </w:p>
    <w:p>
      <w:pPr>
        <w:spacing w:after="160"/>
        <w:jc w:val="both"/>
      </w:pPr>
      <w:r>
        <w:rPr>
          <w:b/>
        </w:rPr>
        <w:t xml:space="preserve">3.1 Reporting. </w:t>
      </w:r>
      <w:r>
        <w:t xml:space="preserve">The Supplier shall report hours worked, by role and against the Rate Card, monthly in arrears, and shall notify the Client when cumulative charges reach seventy-five per cent (75%) of the spend cap.</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5. CHARGES AND PAYMENT</w:t>
      </w:r>
    </w:p>
    <w:p>
      <w:pPr>
        <w:spacing w:after="160"/>
        <w:jc w:val="both"/>
      </w:pPr>
      <w:r>
        <w:rPr>
          <w:b/>
        </w:rPr>
        <w:t xml:space="preserve">5.1 Payment terms. </w:t>
      </w:r>
      <w:r>
        <w:t xml:space="preserve">The Client shall pay all undisputed invoices within </w:t>
      </w:r>
      <w:r>
        <w:rPr>
          <w:highlight w:val="yellow"/>
        </w:rPr>
        <w:t xml:space="preserve">[payment_terms_days]</w:t>
      </w:r>
      <w:r>
        <w:t xml:space="preserve"> days of receipt. Invoices shall be submitted monthly in arrears and shall reference the Contract Number and the relevant purchase order. The Charges may be varied only in accordance with clause 18.1.</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Statement of Work (time and materials)</dc:title>
  <dc:creator>Default catalogue</dc:creator>
  <cp:lastModifiedBy>Default catalogue</cp:lastModifiedBy>
  <cp:revision>template</cp:revision>
  <dcterms:created xsi:type="dcterms:W3CDTF">2026-09-07T05:01:26Z</dcterms:created>
</cp:coreProperties>
</file>