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EXPIRY AND EXIT AGREEMENT</w:t>
      </w:r>
    </w:p>
    <w:p>
      <w:pPr>
        <w:jc w:val="center"/>
        <w:spacing w:after="360"/>
      </w:pPr>
      <w:r>
        <w:rPr>
          <w:sz w:val="20"/>
          <w:color w:val="555555"/>
        </w:rPr>
        <w:t xml:space="preserve">Template termination_expiry_global · jurisdiction global · 16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Expiry. </w:t>
      </w:r>
      <w:r>
        <w:t xml:space="preserve">The principal agreement between </w:t>
      </w:r>
      <w:r>
        <w:rPr>
          <w:highlight w:val="yellow"/>
        </w:rPr>
        <w:t xml:space="preserve">[legal_entity_name]</w:t>
      </w:r>
      <w:r>
        <w:t xml:space="preserve"> and </w:t>
      </w:r>
      <w:r>
        <w:rPr>
          <w:highlight w:val="yellow"/>
        </w:rPr>
        <w:t xml:space="preserve">[supplier_name]</w:t>
      </w:r>
      <w:r>
        <w:t xml:space="preserve"> expires on </w:t>
      </w:r>
      <w:r>
        <w:rPr>
          <w:highlight w:val="yellow"/>
        </w:rPr>
        <w:t xml:space="preserve">[end_date]</w:t>
      </w:r>
      <w:r>
        <w:t xml:space="preserve"> and will not be renewed. Neither party alleges breach and nothing in this Agreement is a settlement of any claim.</w:t>
      </w:r>
    </w:p>
    <w:p>
      <w:pPr>
        <w:spacing w:after="160"/>
        <w:jc w:val="both"/>
      </w:pPr>
      <w:r>
        <w:rPr>
          <w:b/>
        </w:rPr>
        <w:t xml:space="preserve">2.2 Exit plan. </w:t>
      </w:r>
      <w:r>
        <w:t xml:space="preserve">The Supplier shall deliver the exit plan in the schedules, covering the transition of services to the incoming supplier, the sequence of handover, and the date each service transfers.</w:t>
      </w:r>
    </w:p>
    <w:p>
      <w:pPr>
        <w:spacing w:after="160"/>
        <w:jc w:val="both"/>
      </w:pPr>
      <w:r>
        <w:rPr>
          <w:b/>
        </w:rPr>
        <w:t xml:space="preserve">2.3 Data and assets. </w:t>
      </w:r>
      <w:r>
        <w:t xml:space="preserve">The Supplier shall hand over the asset register, maintenance history, statutory compliance records and access credentials at no charge, and shall return or delete the Client's data.</w:t>
      </w:r>
    </w:p>
    <w:p>
      <w:pPr>
        <w:spacing w:after="160"/>
        <w:jc w:val="both"/>
      </w:pPr>
      <w:r>
        <w:rPr>
          <w:b/>
        </w:rPr>
        <w:t xml:space="preserve">2.4 Employee transfer. </w:t>
      </w:r>
      <w:r>
        <w:t xml:space="preserve">Where a relevant transfer arises on exit, the Supplier shall provide complete and accurate employee liability information to the Client and the incoming supplier within the period stated in the principal agreement.</w:t>
      </w:r>
    </w:p>
    <w:p>
      <w:pPr>
        <w:spacing w:after="160"/>
        <w:jc w:val="both"/>
      </w:pPr>
      <w:r>
        <w:rPr>
          <w:b/>
        </w:rPr>
        <w:t xml:space="preserve">2.5 Cost of transition. </w:t>
      </w:r>
      <w:r>
        <w:t xml:space="preserve">Transition assistance is charged at the rates in the principal agreement. Work outside the exit plan requires written authorisation before it proceeds.</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Expiry and Exit Agreement</dc:title>
  <dc:creator>Default catalogue</dc:creator>
  <cp:lastModifiedBy>Default catalogue</cp:lastModifiedBy>
  <cp:revision>template</cp:revision>
  <dcterms:created xsi:type="dcterms:W3CDTF">2026-09-07T05:01:26Z</dcterms:created>
</cp:coreProperties>
</file>