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TOTAL FACILITIES MANAGEMENT AGREEMENT (MULTI-SITE)</w:t>
      </w:r>
    </w:p>
    <w:p>
      <w:pPr>
        <w:jc w:val="center"/>
        <w:spacing w:after="360"/>
      </w:pPr>
      <w:r>
        <w:rPr>
          <w:sz w:val="20"/>
          <w:color w:val="555555"/>
        </w:rPr>
        <w:t xml:space="preserve">Template tfm_multisite_global · jurisdiction global · 25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and sites. </w:t>
      </w:r>
      <w:r>
        <w:t xml:space="preserve">The Supplier shall provide total facilities management services at each site listed in the Site Schedule. The Site Schedule states, for every site, the services in scope, the service hours, the response times and the local statutory regime that applies there.</w:t>
      </w:r>
    </w:p>
    <w:p>
      <w:pPr>
        <w:spacing w:after="160"/>
        <w:jc w:val="both"/>
      </w:pPr>
      <w:r>
        <w:rPr>
          <w:b/>
        </w:rPr>
        <w:t xml:space="preserve">2.2 Local law. </w:t>
      </w:r>
      <w:r>
        <w:t xml:space="preserve">Where the law of a site's jurisdiction imposes an obligation beyond this Agreement, that obligation prevails at that site. The Supplier shall notify the Client of any such difference rather than absorbing it silently.</w:t>
      </w:r>
    </w:p>
    <w:p>
      <w:pPr>
        <w:spacing w:after="160"/>
        <w:jc w:val="both"/>
      </w:pPr>
      <w:r>
        <w:rPr>
          <w:b/>
        </w:rPr>
        <w:t xml:space="preserve">2.3 Central governance. </w:t>
      </w:r>
      <w:r>
        <w:t xml:space="preserve">Liability, indemnity, data protection and governance are managed centrally under this Agreement and are not varied site by site. A site-level agreement that purports to vary them has no effect.</w:t>
      </w:r>
    </w:p>
    <w:p>
      <w:pPr>
        <w:spacing w:after="160"/>
        <w:jc w:val="both"/>
      </w:pPr>
      <w:r>
        <w:rPr>
          <w:b/>
        </w:rPr>
        <w:t xml:space="preserve">2.4 Adding and removing sites. </w:t>
      </w:r>
      <w:r>
        <w:t xml:space="preserve">Sites are added or removed by amending the Site Schedule under clause 18, with the charges adjusted against </w:t>
      </w:r>
      <w:r>
        <w:rPr>
          <w:highlight w:val="yellow"/>
        </w:rPr>
        <w:t xml:space="preserve">[rate_card_reference]</w:t>
      </w:r>
      <w:r>
        <w:t xml:space="preserve">. No site is in scope until it appears in the Site Schedule.</w:t>
      </w:r>
    </w:p>
    <w:p>
      <w:pPr>
        <w:spacing w:before="280" w:after="120"/>
      </w:pPr>
      <w:r>
        <w:rPr>
          <w:b/>
          <w:caps/>
          <w:sz w:val="24"/>
        </w:rPr>
        <w:t xml:space="preserve">3. SUPPLIER OBLIGATIONS</w:t>
      </w:r>
    </w:p>
    <w:p>
      <w:pPr>
        <w:spacing w:after="160"/>
        <w:jc w:val="both"/>
      </w:pPr>
      <w:r>
        <w:rPr>
          <w:b/>
        </w:rPr>
        <w:t xml:space="preserve">3.1 Consolidated reporting. </w:t>
      </w:r>
      <w:r>
        <w:t xml:space="preserve">The Supplier shall report performance per site and in consolidation against </w:t>
      </w:r>
      <w:r>
        <w:rPr>
          <w:highlight w:val="yellow"/>
        </w:rPr>
        <w:t xml:space="preserve">[kpi_schedule]</w:t>
      </w:r>
      <w:r>
        <w:t xml:space="preserve">, within ten (10) business days of month end.</w:t>
      </w:r>
    </w:p>
    <w:p>
      <w:pPr>
        <w:spacing w:after="160"/>
        <w:jc w:val="both"/>
      </w:pPr>
      <w:r>
        <w:rPr>
          <w:b/>
        </w:rPr>
        <w:t xml:space="preserve">3.2 Single point of accountability. </w:t>
      </w:r>
      <w:r>
        <w:t xml:space="preserve">The Supplier shall name one account director accountable for the whole estate, whatever the local delivery structure.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Total Facilities Management Agreement (multi-site)</dc:title>
  <dc:creator>Default catalogue</dc:creator>
  <cp:lastModifiedBy>Default catalogue</cp:lastModifiedBy>
  <cp:revision>template</cp:revision>
  <dcterms:created xsi:type="dcterms:W3CDTF">2026-09-07T05:01:26Z</dcterms:created>
</cp:coreProperties>
</file>