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TOTAL FACILITIES MANAGEMENT AGREEMENT (UK)</w:t>
      </w:r>
    </w:p>
    <w:p>
      <w:pPr>
        <w:jc w:val="center"/>
        <w:spacing w:after="360"/>
      </w:pPr>
      <w:r>
        <w:rPr>
          <w:sz w:val="20"/>
          <w:color w:val="555555"/>
        </w:rPr>
        <w:t xml:space="preserve">Template tfm_uk · jurisdiction GB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after="160"/>
        <w:jc w:val="both"/>
      </w:pPr>
      <w:r>
        <w:rPr>
          <w:b/>
        </w:rPr>
        <w:t xml:space="preserve">Jurisdiction split. </w:t>
      </w:r>
      <w:r>
        <w:t xml:space="preserve">A TFM transfer moves the largest headcount of any FM contract, so TUPE is not an annex to it: it is a main-body allocation of employee liability. The compliance schedule also names UK statutes, which a global document cannot.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total facilities management services across </w:t>
      </w:r>
      <w:r>
        <w:rPr>
          <w:highlight w:val="yellow"/>
        </w:rPr>
        <w:t xml:space="preserve">[facility_names]</w:t>
      </w:r>
      <w:r>
        <w:t xml:space="preserve">, covering hard services, soft services and estate-wide governance, in the category </w:t>
      </w:r>
      <w:r>
        <w:rPr>
          <w:highlight w:val="yellow"/>
        </w:rPr>
        <w:t xml:space="preserve">[service_category]</w:t>
      </w:r>
      <w:r>
        <w:t xml:space="preserve">.</w:t>
      </w:r>
    </w:p>
    <w:p>
      <w:pPr>
        <w:spacing w:after="160"/>
        <w:jc w:val="both"/>
      </w:pPr>
      <w:r>
        <w:rPr>
          <w:b/>
        </w:rPr>
        <w:t xml:space="preserve">2.2 Statutory compliance. </w:t>
      </w:r>
      <w:r>
        <w:t xml:space="preserve">The Supplier shall discharge the Client's statutory obligations in respect of the maintained assets under the Regulatory Reform (Fire Safety) Order 2005, the Lifting Operations and Lifting Equipment Regulations 1998, the Electricity at Work Regulations 1989 and the Control of Legionella (ACOP L8), and shall maintain the records those regimes require.</w:t>
      </w:r>
    </w:p>
    <w:p>
      <w:pPr>
        <w:spacing w:after="160"/>
        <w:jc w:val="both"/>
      </w:pPr>
      <w:r>
        <w:rPr>
          <w:b/>
        </w:rPr>
        <w:t xml:space="preserve">2.3 Employee transfer. </w:t>
      </w:r>
      <w:r>
        <w:t xml:space="preserve">The parties acknowledge that TUPE applies on commencement and on exit. The employee liability information, the indemnities and the pension position are dealt with in clause 14, which is a main-body allocation and not a schedule.</w:t>
      </w:r>
    </w:p>
    <w:p>
      <w:pPr>
        <w:spacing w:after="160"/>
        <w:jc w:val="both"/>
      </w:pPr>
      <w:r>
        <w:rPr>
          <w:b/>
        </w:rPr>
        <w:t xml:space="preserve">2.4 Governance. </w:t>
      </w:r>
      <w:r>
        <w:t xml:space="preserve">The parties shall hold a monthly operational review and a quarterly commercial review, each minuted, with actions tracked to closure.</w:t>
      </w:r>
    </w:p>
    <w:p>
      <w:pPr>
        <w:spacing w:before="280" w:after="120"/>
      </w:pPr>
      <w:r>
        <w:rPr>
          <w:b/>
          <w:caps/>
          <w:sz w:val="24"/>
        </w:rPr>
        <w:t xml:space="preserve">3. SUPPLIER OBLIGATIONS</w:t>
      </w:r>
    </w:p>
    <w:p>
      <w:pPr>
        <w:spacing w:after="160"/>
        <w:jc w:val="both"/>
      </w:pPr>
      <w:r>
        <w:rPr>
          <w:b/>
        </w:rPr>
        <w:t xml:space="preserve">3.1 Self-delivery. </w:t>
      </w:r>
      <w:r>
        <w:t xml:space="preserve">The Supplier shall self-deliver not less than seventy per cent (70%) of the Services by value, and shall notify the Client before that proportion falls.</w:t>
      </w:r>
    </w:p>
    <w:p>
      <w:pPr>
        <w:spacing w:after="160"/>
        <w:jc w:val="both"/>
      </w:pPr>
      <w:r>
        <w:rPr>
          <w:b/>
        </w:rPr>
        <w:t xml:space="preserve">3.2 Compliance evidence. </w:t>
      </w:r>
      <w:r>
        <w:t xml:space="preserve">The Supplier shall maintain the statutory compliance record in the Client's system and shall notify the Client within twenty-four (24) hours of any failed inspection or item classified as an immediate danger.</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Total Facilities Management Agreement (UK)</dc:title>
  <dc:creator>Default catalogue</dc:creator>
  <cp:lastModifiedBy>Default catalogue</cp:lastModifiedBy>
  <cp:revision>template</cp:revision>
  <dcterms:created xsi:type="dcterms:W3CDTF">2026-09-07T05:01:26Z</dcterms:created>
</cp:coreProperties>
</file>