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SCOPE VARIATION AGREEMENT</w:t>
      </w:r>
    </w:p>
    <w:p>
      <w:pPr>
        <w:jc w:val="center"/>
        <w:spacing w:after="360"/>
      </w:pPr>
      <w:r>
        <w:rPr>
          <w:sz w:val="20"/>
          <w:color w:val="555555"/>
        </w:rPr>
        <w:t xml:space="preserve">Template variation_scope_global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variation. </w:t>
      </w:r>
      <w:r>
        <w:t xml:space="preserve">This Variation Agreement changes the services under the principal agreement between the parties with effect from </w:t>
      </w:r>
      <w:r>
        <w:rPr>
          <w:highlight w:val="yellow"/>
        </w:rPr>
        <w:t xml:space="preserve">[start_date]</w:t>
      </w:r>
      <w:r>
        <w:t xml:space="preserve">. The schedules state what is added, what is removed and what is unchanged.</w:t>
      </w:r>
    </w:p>
    <w:p>
      <w:pPr>
        <w:spacing w:after="160"/>
        <w:jc w:val="both"/>
      </w:pPr>
      <w:r>
        <w:rPr>
          <w:b/>
        </w:rPr>
        <w:t xml:space="preserve">2.2 Price adjustment. </w:t>
      </w:r>
      <w:r>
        <w:t xml:space="preserve">The Charges are adjusted as set out in the schedules, priced against </w:t>
      </w:r>
      <w:r>
        <w:rPr>
          <w:highlight w:val="yellow"/>
        </w:rPr>
        <w:t xml:space="preserve">[rate_card_reference]</w:t>
      </w:r>
      <w:r>
        <w:t xml:space="preserve">. Where the variation removes services, the reduction shall be calculated on the same basis as an addition.</w:t>
      </w:r>
    </w:p>
    <w:p>
      <w:pPr>
        <w:spacing w:after="160"/>
        <w:jc w:val="both"/>
      </w:pPr>
      <w:r>
        <w:rPr>
          <w:b/>
        </w:rPr>
        <w:t xml:space="preserve">2.3 Service levels. </w:t>
      </w:r>
      <w:r>
        <w:t xml:space="preserve">Where a variation changes the services, the service levels and the KPI schedule are adjusted with it. A service added without a service level is unmeasured.</w:t>
      </w:r>
    </w:p>
    <w:p>
      <w:pPr>
        <w:spacing w:after="160"/>
        <w:jc w:val="both"/>
      </w:pPr>
      <w:r>
        <w:rPr>
          <w:b/>
        </w:rPr>
        <w:t xml:space="preserve">2.4 Employee transfer. </w:t>
      </w:r>
      <w:r>
        <w:t xml:space="preserve">The parties shall confirm whether the variation triggers a relevant transfer of employees. Where it does, the employee liability information and the indemnities in the principal agreement apply.</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Scope Variation Agreement</dc:title>
  <dc:creator>Default catalogue</dc:creator>
  <cp:lastModifiedBy>Default catalogue</cp:lastModifiedBy>
  <cp:revision>template</cp:revision>
  <dcterms:created xsi:type="dcterms:W3CDTF">2026-09-07T05:01:26Z</dcterms:created>
</cp:coreProperties>
</file>