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  <w:t xml:space="preserve">Clone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שכפול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מהאינטרנט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snapshot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checkpoint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בצירוף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Pull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וממזג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Fetch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מהאינטרנט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Init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Blob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t xml:space="preserve">Tree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blob</w:t>
      </w:r>
      <w:r w:rsidDel="00000000" w:rsidR="00000000" w:rsidRPr="00000000">
        <w:rPr>
          <w:rtl w:val="1"/>
        </w:rPr>
        <w:t xml:space="preserve">ים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snapshot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working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directory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מסתעף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Tag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ומתייג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כגרסה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b w:val="1"/>
          <w:u w:val="single"/>
          <w:rtl w:val="0"/>
        </w:rPr>
        <w:t xml:space="preserve">SMB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NTLM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Kerberos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challenge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challenge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במתקפת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relay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NTLM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כישלון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הנתקף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redirect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SMB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MitM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ובמהלכה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MitM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 302 </w:t>
      </w:r>
      <w:r w:rsidDel="00000000" w:rsidR="00000000" w:rsidRPr="00000000">
        <w:rPr>
          <w:rtl w:val="1"/>
        </w:rPr>
        <w:t xml:space="preserve">ועושה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redirect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זדוני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התוקף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הקורבן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SSO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בווינדוז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MitM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שהקורבן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phishing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ופרסומות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זדוניות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NTLM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מייקרוסופטי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מתאמתת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challenge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challenge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משווה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וההתאמתות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ההתאמתות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נכשלה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ישנן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NTLM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relay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relay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MitM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מתחזה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הנתקף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NTLMv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brute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force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NTLM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למתקפות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dcsync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NTDS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NTLM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Kerberos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Kerberos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לדומיין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NTLM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