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0E19" w14:textId="3AD73DF1" w:rsidR="00B92F31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61B92E83" w14:textId="4E15ADD9" w:rsidR="009703DD" w:rsidRDefault="00312356" w:rsidP="009703DD">
      <w:pPr>
        <w:rPr>
          <w:lang w:val="en-IL"/>
        </w:rPr>
      </w:pPr>
      <w:r>
        <w:rPr>
          <w:lang w:val="en-IL"/>
        </w:rPr>
        <w:t>Writing a claim is called climing it. Claims could be valid. Claims that are other than valid are called invalid. Climing a claim is claiming it to be valid. These are all to be regarded as semantical rather than logical statments. The logica</w:t>
      </w:r>
      <w:r w:rsidR="009703DD">
        <w:rPr>
          <w:lang w:val="en-IL"/>
        </w:rPr>
        <w:t>l</w:t>
      </w:r>
      <w:r>
        <w:rPr>
          <w:lang w:val="en-IL"/>
        </w:rPr>
        <w:t>ly significant point is</w:t>
      </w:r>
      <w:r w:rsidR="009703DD">
        <w:rPr>
          <w:lang w:val="en-IL"/>
        </w:rPr>
        <w:t xml:space="preserve"> </w:t>
      </w:r>
      <w:r>
        <w:rPr>
          <w:lang w:val="en-IL"/>
        </w:rPr>
        <w:t xml:space="preserve">that just because a claim is claimed doesn’t mean that it is valid, but it does mean that </w:t>
      </w:r>
      <w:r w:rsidR="00A4525F">
        <w:rPr>
          <w:lang w:val="en-IL"/>
        </w:rPr>
        <w:t>we say it is valid.</w:t>
      </w:r>
      <w:r w:rsidR="009703DD">
        <w:rPr>
          <w:lang w:val="en-IL"/>
        </w:rPr>
        <w:t xml:space="preserve"> </w:t>
      </w:r>
    </w:p>
    <w:p w14:paraId="30BB3F17" w14:textId="77777777" w:rsidR="009703DD" w:rsidRDefault="009703DD" w:rsidP="009703DD">
      <w:pPr>
        <w:rPr>
          <w:lang w:val="en-IL"/>
        </w:rPr>
      </w:pPr>
    </w:p>
    <w:p w14:paraId="7D594E11" w14:textId="50919644" w:rsidR="009703DD" w:rsidRPr="00CA0EA0" w:rsidRDefault="009703DD" w:rsidP="009703DD">
      <w:pPr>
        <w:rPr>
          <w:lang w:val="en-IL"/>
        </w:rPr>
      </w:pPr>
      <w:r>
        <w:rPr>
          <w:lang w:val="en-IL"/>
        </w:rPr>
        <w:t xml:space="preserve">A claim is proven if it shown to algebricaly follow from valid claims. A proven claim is valid. Any other valid claim is called an Axium. We as rational humans endevour to make logical system with as few axiums as possible. </w:t>
      </w:r>
    </w:p>
    <w:p w14:paraId="3D62137D" w14:textId="77777777" w:rsidR="009703DD" w:rsidRDefault="009703DD" w:rsidP="00312356">
      <w:pPr>
        <w:rPr>
          <w:lang w:val="en-IL"/>
        </w:rPr>
      </w:pP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3FB59188" w14:textId="4A704752" w:rsidR="00CA0EA0" w:rsidRDefault="002F1687" w:rsidP="00312356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312356">
        <w:rPr>
          <w:lang w:val="en-IL"/>
        </w:rPr>
        <w:t>Claiming the deduction is caliming t</w:t>
      </w:r>
      <w:r w:rsidR="004B427D">
        <w:rPr>
          <w:lang w:val="en-IL"/>
        </w:rPr>
        <w:t xml:space="preserve">here could be no situation where the </w:t>
      </w:r>
      <w:r w:rsidR="00764FF6">
        <w:rPr>
          <w:lang w:val="en-IL"/>
        </w:rPr>
        <w:t xml:space="preserve">left one is </w:t>
      </w:r>
      <w:r w:rsidR="00312356">
        <w:rPr>
          <w:lang w:val="en-IL"/>
        </w:rPr>
        <w:t>valid</w:t>
      </w:r>
      <w:r w:rsidR="00764FF6">
        <w:rPr>
          <w:lang w:val="en-IL"/>
        </w:rPr>
        <w:t xml:space="preserve"> and the right </w:t>
      </w:r>
      <w:r w:rsidR="00312356">
        <w:rPr>
          <w:lang w:val="en-IL"/>
        </w:rPr>
        <w:t>is invalid.</w:t>
      </w:r>
    </w:p>
    <w:p w14:paraId="0401C144" w14:textId="525FF27E" w:rsidR="00CA0EA0" w:rsidRDefault="00CA0EA0" w:rsidP="00CA0EA0">
      <w:pPr>
        <w:rPr>
          <w:lang w:val="en-IL"/>
        </w:rPr>
      </w:pPr>
    </w:p>
    <w:p w14:paraId="5C1D3FFC" w14:textId="3A40CFFE" w:rsidR="00312356" w:rsidRDefault="004B668F" w:rsidP="00312356">
      <w:pPr>
        <w:rPr>
          <w:lang w:val="en-IL"/>
        </w:rPr>
      </w:pPr>
      <w:r>
        <w:rPr>
          <w:lang w:val="en-IL"/>
        </w:rPr>
        <w:t>Any claim on the left side</w:t>
      </w:r>
      <w:r w:rsidR="009A3845">
        <w:rPr>
          <w:lang w:val="en-IL"/>
        </w:rPr>
        <w:t xml:space="preserve"> of a deduction</w:t>
      </w:r>
      <w:r>
        <w:rPr>
          <w:lang w:val="en-IL"/>
        </w:rPr>
        <w:t xml:space="preserve"> is called a premise, any claim on the right is called</w:t>
      </w:r>
      <w:r w:rsidR="007A71F9">
        <w:rPr>
          <w:lang w:val="en-IL"/>
        </w:rPr>
        <w:t xml:space="preserve"> a</w:t>
      </w:r>
      <w:r>
        <w:rPr>
          <w:lang w:val="en-IL"/>
        </w:rPr>
        <w:t xml:space="preserve"> conclusion.</w:t>
      </w:r>
    </w:p>
    <w:p w14:paraId="6F007CB3" w14:textId="77777777" w:rsidR="00312356" w:rsidRDefault="00312356" w:rsidP="00312356">
      <w:pPr>
        <w:rPr>
          <w:lang w:val="en-IL"/>
        </w:rPr>
      </w:pPr>
    </w:p>
    <w:p w14:paraId="0CFA6E92" w14:textId="396A6443" w:rsidR="00764FF6" w:rsidRDefault="00764FF6" w:rsidP="00A4525F">
      <w:pPr>
        <w:rPr>
          <w:lang w:val="en-IL"/>
        </w:rPr>
      </w:pPr>
      <w:r>
        <w:rPr>
          <w:b/>
          <w:bCs/>
          <w:lang w:val="en-IL"/>
        </w:rPr>
        <w:t xml:space="preserve">Axium of self </w:t>
      </w:r>
      <w:r w:rsidR="00A4525F">
        <w:rPr>
          <w:b/>
          <w:bCs/>
          <w:lang w:val="en-IL"/>
        </w:rPr>
        <w:t>validity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6A725108" w:rsidR="00DD76AC" w:rsidRDefault="00266CA9" w:rsidP="00A4525F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 w:rsidR="00A4525F">
        <w:rPr>
          <w:lang w:val="en-IL"/>
        </w:rPr>
        <w:t xml:space="preserve"> takes two</w:t>
      </w:r>
      <w:r>
        <w:rPr>
          <w:lang w:val="en-IL"/>
        </w:rPr>
        <w:t xml:space="preserve"> claims </w:t>
      </w:r>
      <w:r w:rsidR="00A4525F">
        <w:rPr>
          <w:lang w:val="en-IL"/>
        </w:rPr>
        <w:t>and lists them as one claim.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5D819A1B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5001D519" w14:textId="4CCA158B" w:rsidR="000838C3" w:rsidRPr="000838C3" w:rsidRDefault="000838C3" w:rsidP="00A4525F">
      <w:pPr>
        <w:rPr>
          <w:lang w:val="en-IL"/>
        </w:rPr>
      </w:pPr>
      <w:r>
        <w:rPr>
          <w:lang w:val="en-IL"/>
        </w:rPr>
        <w:t xml:space="preserve">In other words if two </w:t>
      </w:r>
      <w:r w:rsidR="00A4525F">
        <w:rPr>
          <w:lang w:val="en-IL"/>
        </w:rPr>
        <w:t>claims</w:t>
      </w:r>
      <w:r>
        <w:rPr>
          <w:lang w:val="en-IL"/>
        </w:rPr>
        <w:t xml:space="preserve"> </w:t>
      </w:r>
      <w:r w:rsidR="00A4525F">
        <w:rPr>
          <w:lang w:val="en-IL"/>
        </w:rPr>
        <w:t>are valid</w:t>
      </w:r>
      <w:r>
        <w:rPr>
          <w:lang w:val="en-IL"/>
        </w:rPr>
        <w:t xml:space="preserve"> than their </w:t>
      </w:r>
      <w:r w:rsidR="00986B0C">
        <w:rPr>
          <w:i/>
          <w:iCs/>
          <w:lang w:val="en-IL"/>
        </w:rPr>
        <w:t>list</w:t>
      </w:r>
      <w:r>
        <w:rPr>
          <w:lang w:val="en-IL"/>
        </w:rPr>
        <w:t xml:space="preserve"> </w:t>
      </w:r>
      <w:r w:rsidR="00A4525F">
        <w:rPr>
          <w:lang w:val="en-IL"/>
        </w:rPr>
        <w:t>is valid as well.</w:t>
      </w:r>
    </w:p>
    <w:p w14:paraId="743961B9" w14:textId="02247F2B" w:rsidR="00582C8C" w:rsidRDefault="00D2491D" w:rsidP="00582C8C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4D2F3D3B" w14:textId="284CEB83" w:rsidR="00582C8C" w:rsidRDefault="00582C8C" w:rsidP="00582C8C">
      <w:pPr>
        <w:rPr>
          <w:lang w:val="en-IL"/>
        </w:rPr>
      </w:pPr>
    </w:p>
    <w:p w14:paraId="29F3BA5C" w14:textId="5750C15F" w:rsidR="00582C8C" w:rsidRPr="00582C8C" w:rsidRDefault="00582C8C" w:rsidP="00582C8C">
      <w:pPr>
        <w:rPr>
          <w:lang w:val="en-IL"/>
        </w:rPr>
      </w:pPr>
      <w:r>
        <w:rPr>
          <w:lang w:val="en-IL"/>
        </w:rPr>
        <w:t xml:space="preserve">Listing will be the </w:t>
      </w:r>
      <w:r w:rsidR="0020353C">
        <w:rPr>
          <w:lang w:val="en-IL"/>
        </w:rPr>
        <w:t xml:space="preserve">defining quality of </w:t>
      </w:r>
      <w:r w:rsidR="0020353C" w:rsidRPr="0020353C">
        <w:rPr>
          <w:i/>
          <w:iCs/>
          <w:lang w:val="en-IL"/>
        </w:rPr>
        <w:t>and</w:t>
      </w:r>
      <w:r w:rsidR="0020353C">
        <w:rPr>
          <w:lang w:val="en-IL"/>
        </w:rPr>
        <w:t>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4997D4EB" w:rsidR="00EE44EC" w:rsidRPr="001673A6" w:rsidRDefault="00EE44EC" w:rsidP="00331AC7">
      <w:pPr>
        <w:rPr>
          <w:lang w:val="en-IL"/>
        </w:rPr>
      </w:pPr>
      <w:r>
        <w:rPr>
          <w:lang w:val="en-IL"/>
        </w:rPr>
        <w:t xml:space="preserve">Qualities of the </w:t>
      </w:r>
      <w:r w:rsidRPr="001673A6">
        <w:rPr>
          <w:i/>
          <w:iCs/>
          <w:lang w:val="en-IL"/>
        </w:rPr>
        <w:t>deductive and</w:t>
      </w:r>
      <w:r w:rsidR="001673A6">
        <w:rPr>
          <w:i/>
          <w:iCs/>
          <w:lang w:val="en-IL"/>
        </w:rPr>
        <w:t>: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6DD9B268" w14:textId="7D3637C0" w:rsidR="004860F9" w:rsidRDefault="004860F9" w:rsidP="00C44AC7">
      <w:pPr>
        <w:rPr>
          <w:lang w:val="en-IL"/>
        </w:rPr>
      </w:pPr>
      <w:r>
        <w:rPr>
          <w:lang w:val="en-IL"/>
        </w:rPr>
        <w:t>Because of</w:t>
      </w:r>
      <w:r w:rsidR="00C44AC7">
        <w:rPr>
          <w:lang w:val="en-IL"/>
        </w:rPr>
        <w:t xml:space="preserve"> </w:t>
      </w:r>
      <w:r w:rsidR="00C44AC7">
        <w:rPr>
          <w:lang w:val="en-IL"/>
        </w:rPr>
        <w:t>the arbitrarity</w:t>
      </w:r>
      <w:r w:rsidR="00C44AC7">
        <w:rPr>
          <w:lang w:val="en-IL"/>
        </w:rPr>
        <w:t xml:space="preserve"> in the principle of</w:t>
      </w:r>
      <w:r>
        <w:rPr>
          <w:lang w:val="en-IL"/>
        </w:rPr>
        <w:t xml:space="preserve"> assignment also</w:t>
      </w:r>
    </w:p>
    <w:p w14:paraId="60A9017F" w14:textId="43575905" w:rsidR="004860F9" w:rsidRPr="004860F9" w:rsidRDefault="004860F9" w:rsidP="004860F9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q⋅p∴p⋅q</m:t>
          </m:r>
        </m:oMath>
      </m:oMathPara>
    </w:p>
    <w:p w14:paraId="539E2F6C" w14:textId="77777777" w:rsidR="004860F9" w:rsidRDefault="004860F9" w:rsidP="0061366D">
      <w:pPr>
        <w:rPr>
          <w:i/>
          <w:iCs/>
          <w:lang w:val="en-IL"/>
        </w:rPr>
      </w:pPr>
    </w:p>
    <w:p w14:paraId="7BF9F235" w14:textId="08FEDA34" w:rsidR="00EE44EC" w:rsidRDefault="00EE44EC" w:rsidP="004860F9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1673A6">
        <w:rPr>
          <w:lang w:val="en-IL"/>
        </w:rPr>
        <w:t>,</w:t>
      </w:r>
      <w:r w:rsidR="0061366D">
        <w:rPr>
          <w:lang w:val="en-IL"/>
        </w:rPr>
        <w:t xml:space="preserve"> </w:t>
      </w:r>
      <w:r w:rsidRPr="00EE44EC">
        <w:rPr>
          <w:lang w:val="en-IL"/>
        </w:rPr>
        <w:t>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7F4387FF" w14:textId="5CC53579" w:rsidR="001943E0" w:rsidRDefault="001943E0" w:rsidP="00DD76AC">
      <w:pPr>
        <w:rPr>
          <w:lang w:val="en-IL"/>
        </w:rPr>
      </w:pPr>
    </w:p>
    <w:p w14:paraId="14A15C45" w14:textId="77777777" w:rsidR="001943E0" w:rsidRPr="00E176CC" w:rsidRDefault="001943E0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0D5D7978" w:rsidR="00294AE5" w:rsidRDefault="0029455A" w:rsidP="00DD76AC">
      <w:pPr>
        <w:rPr>
          <w:lang w:val="en-IL"/>
        </w:rPr>
      </w:pPr>
      <w:r>
        <w:rPr>
          <w:lang w:val="en-IL"/>
        </w:rPr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243D2F17" w14:textId="7F4EA82F" w:rsidR="004D390B" w:rsidRPr="003943A6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p⋅q∴q⋅p∴q</m:t>
              </m:r>
            </m:e>
          </m:d>
        </m:oMath>
      </m:oMathPara>
    </w:p>
    <w:p w14:paraId="07970E56" w14:textId="7983EA96" w:rsidR="003943A6" w:rsidRDefault="003943A6" w:rsidP="00A6076E">
      <w:pPr>
        <w:rPr>
          <w:lang w:val="en-IL"/>
        </w:rPr>
      </w:pPr>
      <w:r>
        <w:rPr>
          <w:lang w:val="en-IL"/>
        </w:rPr>
        <w:t>Reduction doesn’t care about order</w:t>
      </w:r>
    </w:p>
    <w:p w14:paraId="6473DED9" w14:textId="5038F1FF" w:rsidR="002B5AB2" w:rsidRPr="00D27904" w:rsidRDefault="00727E80" w:rsidP="00727E80">
      <w:pPr>
        <w:pStyle w:val="Heading1"/>
        <w:rPr>
          <w:rFonts w:cstheme="minorBidi"/>
          <w:szCs w:val="32"/>
          <w:rtl/>
          <w:lang w:val="en-IL" w:bidi="he-IL"/>
        </w:rPr>
      </w:pPr>
      <w:r>
        <w:rPr>
          <w:lang w:val="en-IL"/>
        </w:rPr>
        <w:t xml:space="preserve">Some basic tools for </w:t>
      </w:r>
      <w:r w:rsidR="00D27904">
        <w:rPr>
          <w:lang w:val="en-IL"/>
        </w:rPr>
        <w:t>proof</w:t>
      </w:r>
    </w:p>
    <w:p w14:paraId="55E4034F" w14:textId="0D114A87" w:rsidR="002F2F38" w:rsidRDefault="002F2F38" w:rsidP="002F2F38">
      <w:pPr>
        <w:rPr>
          <w:b/>
          <w:bCs/>
          <w:lang w:val="en-IL"/>
        </w:rPr>
      </w:pPr>
    </w:p>
    <w:p w14:paraId="6B64C1E8" w14:textId="05FF5836" w:rsidR="002F2F38" w:rsidRDefault="002F2F38" w:rsidP="002F2F38">
      <w:pPr>
        <w:rPr>
          <w:b/>
          <w:bCs/>
          <w:lang w:val="en-IL"/>
        </w:rPr>
      </w:pPr>
      <w:r>
        <w:rPr>
          <w:b/>
          <w:bCs/>
          <w:lang w:val="en-IL"/>
        </w:rPr>
        <w:t>Axium of Acumulation</w:t>
      </w:r>
    </w:p>
    <w:p w14:paraId="2FE7CAF6" w14:textId="64B5EDCF" w:rsidR="002F2F38" w:rsidRPr="00D27904" w:rsidRDefault="00F962E9" w:rsidP="002F2F38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p∴q⋅r</m:t>
              </m:r>
            </m:e>
          </m:d>
        </m:oMath>
      </m:oMathPara>
    </w:p>
    <w:p w14:paraId="3271132A" w14:textId="36F8FA7D" w:rsidR="00D27904" w:rsidRDefault="00D27904" w:rsidP="002F2F38">
      <w:pPr>
        <w:rPr>
          <w:lang w:val="en-IL"/>
        </w:rPr>
      </w:pPr>
    </w:p>
    <w:p w14:paraId="4FA58E20" w14:textId="630ED74A" w:rsidR="00F962E9" w:rsidRDefault="00D27904" w:rsidP="00FE797A">
      <w:pPr>
        <w:rPr>
          <w:lang w:val="en-IL"/>
        </w:rPr>
      </w:pPr>
      <w:r>
        <w:rPr>
          <w:lang w:val="en-IL"/>
        </w:rPr>
        <w:t xml:space="preserve">This is required for any complex proof. </w:t>
      </w:r>
      <w:r w:rsidR="00505101">
        <w:rPr>
          <w:lang w:val="en-IL"/>
        </w:rPr>
        <w:t xml:space="preserve">Any conclusion we reach can be used </w:t>
      </w:r>
      <w:r w:rsidR="00FE797A">
        <w:rPr>
          <w:lang w:val="en-IL"/>
        </w:rPr>
        <w:t>to deduce a</w:t>
      </w:r>
      <w:r w:rsidR="00505101">
        <w:rPr>
          <w:lang w:val="en-IL"/>
        </w:rPr>
        <w:t xml:space="preserve"> further conclusion because the axium of transfer, but if we want to use</w:t>
      </w:r>
      <w:r w:rsidR="00FE797A">
        <w:rPr>
          <w:lang w:val="en-IL"/>
        </w:rPr>
        <w:t xml:space="preserve"> more than one conclusion we have to list them. This axium tell us that we are allowed to do just that.</w:t>
      </w:r>
    </w:p>
    <w:p w14:paraId="4B6618C2" w14:textId="26D0B361" w:rsidR="00DB0C24" w:rsidRDefault="00DB0C24" w:rsidP="00FE797A">
      <w:pPr>
        <w:rPr>
          <w:lang w:val="en-IL"/>
        </w:rPr>
      </w:pPr>
    </w:p>
    <w:p w14:paraId="2F7E4F1B" w14:textId="24351E05" w:rsidR="00DB0C24" w:rsidRPr="005D38BE" w:rsidRDefault="00DB0C24" w:rsidP="00C22F5B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Principle of eternal </w:t>
      </w:r>
      <w:r w:rsidR="009703DD">
        <w:rPr>
          <w:lang w:val="en-IL"/>
        </w:rPr>
        <w:t>valids</w:t>
      </w:r>
      <w:r>
        <w:rPr>
          <w:lang w:val="en-IL"/>
        </w:rPr>
        <w:t>:</w:t>
      </w:r>
      <w:r w:rsidR="005D38BE">
        <w:rPr>
          <w:lang w:val="en-IL"/>
        </w:rPr>
        <w:t xml:space="preserve"> from any claim </w:t>
      </w:r>
      <w:r w:rsidR="00C22F5B">
        <w:rPr>
          <w:lang w:val="en-IL"/>
        </w:rPr>
        <w:t>we can deduce itself</w:t>
      </w:r>
      <w:r w:rsidR="005D38BE">
        <w:rPr>
          <w:lang w:val="en-IL"/>
        </w:rPr>
        <w:t xml:space="preserve"> </w:t>
      </w:r>
      <w:r w:rsidR="00986B0C">
        <w:rPr>
          <w:i/>
          <w:iCs/>
          <w:lang w:val="en-IL"/>
        </w:rPr>
        <w:t>listed</w:t>
      </w:r>
      <w:r w:rsidR="005D38BE">
        <w:rPr>
          <w:lang w:val="en-IL"/>
        </w:rPr>
        <w:t xml:space="preserve"> </w:t>
      </w:r>
      <w:r w:rsidR="00986B0C">
        <w:rPr>
          <w:lang w:val="en-IL"/>
        </w:rPr>
        <w:t>with a</w:t>
      </w:r>
      <w:r w:rsidR="005D38BE">
        <w:rPr>
          <w:lang w:val="en-IL"/>
        </w:rPr>
        <w:t xml:space="preserve"> claim that </w:t>
      </w:r>
      <w:r w:rsidR="00986B0C">
        <w:rPr>
          <w:lang w:val="en-IL"/>
        </w:rPr>
        <w:t>always</w:t>
      </w:r>
      <w:r w:rsidR="009703DD">
        <w:rPr>
          <w:lang w:val="en-IL"/>
        </w:rPr>
        <w:t xml:space="preserve"> is</w:t>
      </w:r>
      <w:r w:rsidR="00986B0C">
        <w:rPr>
          <w:lang w:val="en-IL"/>
        </w:rPr>
        <w:t xml:space="preserve"> </w:t>
      </w:r>
      <w:r w:rsidR="009703DD">
        <w:rPr>
          <w:lang w:val="en-IL"/>
        </w:rPr>
        <w:t>valid</w:t>
      </w:r>
      <w:r w:rsidR="00986B0C">
        <w:rPr>
          <w:lang w:val="en-IL"/>
        </w:rPr>
        <w:t>.</w:t>
      </w:r>
      <w:r w:rsidR="00D84C39">
        <w:rPr>
          <w:lang w:val="en-IL"/>
        </w:rPr>
        <w:t xml:space="preserve"> </w:t>
      </w:r>
      <w:r w:rsidRPr="005D38BE">
        <w:rPr>
          <w:lang w:val="en-IL"/>
        </w:rPr>
        <w:t>(</w:t>
      </w:r>
      <w:r w:rsidR="00CA0EA0" w:rsidRPr="005D38BE">
        <w:rPr>
          <w:lang w:val="en-IL"/>
        </w:rPr>
        <w:t>such that it inclu</w:t>
      </w:r>
      <w:r w:rsidR="004B668F" w:rsidRPr="005D38BE">
        <w:rPr>
          <w:lang w:val="en-IL"/>
        </w:rPr>
        <w:t xml:space="preserve">de all the premises it required for itself) </w:t>
      </w:r>
    </w:p>
    <w:p w14:paraId="1BFB47FD" w14:textId="0E9868EC" w:rsidR="00D36181" w:rsidRDefault="00D36181" w:rsidP="00D36181">
      <w:pPr>
        <w:rPr>
          <w:lang w:val="en-IL"/>
        </w:rPr>
      </w:pPr>
      <w:r>
        <w:rPr>
          <w:lang w:val="en-IL"/>
        </w:rPr>
        <w:t>In this way if s is an a</w:t>
      </w:r>
      <w:bookmarkStart w:id="0" w:name="_GoBack"/>
      <w:bookmarkEnd w:id="0"/>
      <w:r>
        <w:rPr>
          <w:lang w:val="en-IL"/>
        </w:rPr>
        <w:t>xium</w:t>
      </w:r>
      <w:r w:rsidR="00301E1A">
        <w:rPr>
          <w:lang w:val="en-IL"/>
        </w:rPr>
        <w:t xml:space="preserve"> or a proved deduction than:</w:t>
      </w:r>
    </w:p>
    <w:p w14:paraId="1CA1A867" w14:textId="07FDCDAD" w:rsidR="00301E1A" w:rsidRPr="00D36181" w:rsidRDefault="00301E1A" w:rsidP="00301E1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p∴p⋅s</m:t>
          </m:r>
        </m:oMath>
      </m:oMathPara>
    </w:p>
    <w:p w14:paraId="637416AE" w14:textId="55C21872" w:rsidR="00E80816" w:rsidRDefault="00E80816" w:rsidP="00FE797A">
      <w:pPr>
        <w:rPr>
          <w:lang w:val="en-IL"/>
        </w:rPr>
      </w:pPr>
    </w:p>
    <w:p w14:paraId="16D164E8" w14:textId="593450F6" w:rsidR="00E80816" w:rsidRPr="006D1DF5" w:rsidRDefault="00E80816" w:rsidP="00E80816">
      <w:pPr>
        <w:rPr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p⋅r∴p⋅s</m:t>
              </m:r>
            </m:e>
          </m:d>
        </m:oMath>
      </m:oMathPara>
    </w:p>
    <w:p w14:paraId="74F010CB" w14:textId="69E00540" w:rsidR="006D1DF5" w:rsidRPr="00967924" w:rsidRDefault="00312356" w:rsidP="002F427D">
      <w:pPr>
        <w:rPr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p⋅r∴s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p⋅r∴p⋅s</m:t>
                      </m:r>
                    </m:e>
                  </m:d>
                </m:e>
              </m:eqArr>
            </m:e>
          </m:d>
        </m:oMath>
      </m:oMathPara>
    </w:p>
    <w:p w14:paraId="7884D141" w14:textId="77777777" w:rsidR="002F2F38" w:rsidRPr="002F2F38" w:rsidRDefault="002F2F38" w:rsidP="002F2F38">
      <w:pPr>
        <w:rPr>
          <w:b/>
          <w:bCs/>
          <w:lang w:val="en-IL"/>
        </w:rPr>
      </w:pPr>
    </w:p>
    <w:p w14:paraId="137DA121" w14:textId="67B9E6EA" w:rsidR="00A61B9F" w:rsidRPr="00166FEC" w:rsidRDefault="00A61B9F" w:rsidP="00961637">
      <w:pPr>
        <w:rPr>
          <w:rFonts w:ascii="Cambria Math" w:hAnsi="Cambria Math" w:cstheme="minorBidi"/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w:bookmarkStart w:id="1" w:name="_Hlk62640220"/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w:bookmarkEnd w:id="1"/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p⋅r∴q⋅s</m:t>
              </m:r>
            </m:e>
          </m:d>
        </m:oMath>
      </m:oMathPara>
    </w:p>
    <w:p w14:paraId="4ADC1F15" w14:textId="11AC2ECB" w:rsidR="006F307C" w:rsidRPr="00D84C39" w:rsidRDefault="00312356" w:rsidP="00D84C39">
      <w:pPr>
        <w:rPr>
          <w:rFonts w:ascii="Cambria Math" w:hAnsi="Cambria Math" w:cstheme="minorBidi"/>
          <w:i/>
          <w:iCs/>
          <w:lang w:val="en-I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p⋅r∴q⋅r∴q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p⋅r∴q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r∴s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p⋅r∴p⋅s∴s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Bidi"/>
                              <w:lang w:val="en-IL"/>
                            </w:rPr>
                            <m:t>p⋅r∴s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 w:cstheme="minorBidi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</m:t>
                      </m:r>
                    </m:e>
                  </m:d>
                </m:e>
              </m:d>
              <m:r>
                <w:rPr>
                  <w:rFonts w:ascii="Cambria Math" w:hAnsi="Cambria Math" w:cstheme="minorBidi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p⋅r∴s</m:t>
                      </m:r>
                    </m:e>
                  </m:d>
                </m:e>
              </m:d>
              <m:r>
                <w:rPr>
                  <w:rFonts w:ascii="Cambria Math" w:hAnsi="Cambria Math" w:cstheme="minorBidi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 w:cstheme="minorBidi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p⋅r∴s</m:t>
                      </m:r>
                    </m:e>
                  </m:d>
                  <m:r>
                    <w:rPr>
                      <w:rFonts w:ascii="Cambria Math" w:hAnsi="Cambria Math" w:cstheme="minorBidi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lang w:val="en-IL"/>
                        </w:rPr>
                        <m:t>p⋅r∴q⋅s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theme="minorBidi"/>
              <w:lang w:val="en-IL"/>
            </w:rPr>
            <w:br/>
          </m:r>
        </m:oMath>
      </m:oMathPara>
    </w:p>
    <w:p w14:paraId="3B0C7AE8" w14:textId="665E982A" w:rsidR="003943A6" w:rsidRPr="003943A6" w:rsidRDefault="003943A6" w:rsidP="003943A6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68D3E2C8" w14:textId="06B3C4CF" w:rsidR="003943A6" w:rsidRPr="003943A6" w:rsidRDefault="00312356" w:rsidP="00605155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)⋅(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⋅(r∴q)</m:t>
              </m:r>
            </m:e>
          </m:d>
        </m:oMath>
      </m:oMathPara>
    </w:p>
    <w:p w14:paraId="23AFFDF5" w14:textId="5DD4D6D9" w:rsidR="003943A6" w:rsidRDefault="003943A6" w:rsidP="003943A6">
      <w:pPr>
        <w:rPr>
          <w:iCs/>
          <w:lang w:val="en-IL"/>
        </w:rPr>
      </w:pPr>
      <w:r w:rsidRPr="003943A6">
        <w:rPr>
          <w:iCs/>
          <w:lang w:val="en-IL"/>
        </w:rPr>
        <w:t xml:space="preserve">An </w:t>
      </w:r>
      <w:r w:rsidRPr="003943A6">
        <w:rPr>
          <w:i/>
          <w:lang w:val="en-IL"/>
        </w:rPr>
        <w:t xml:space="preserve">and </w:t>
      </w:r>
      <w:r w:rsidRPr="003943A6">
        <w:rPr>
          <w:iCs/>
          <w:lang w:val="en-IL"/>
        </w:rPr>
        <w:t xml:space="preserve">conclusion could be </w:t>
      </w:r>
      <w:r w:rsidR="00C31E60">
        <w:rPr>
          <w:iCs/>
          <w:lang w:val="en-IL"/>
        </w:rPr>
        <w:t>seperated</w:t>
      </w:r>
    </w:p>
    <w:p w14:paraId="2D400562" w14:textId="0C1B5AE5" w:rsidR="00605155" w:rsidRDefault="00605155" w:rsidP="003943A6">
      <w:pPr>
        <w:rPr>
          <w:iCs/>
          <w:lang w:val="en-IL"/>
        </w:rPr>
      </w:pPr>
    </w:p>
    <w:p w14:paraId="107AB1F3" w14:textId="7A34A27C" w:rsidR="00605155" w:rsidRDefault="00605155" w:rsidP="003943A6">
      <w:pPr>
        <w:rPr>
          <w:iCs/>
          <w:lang w:val="en-IL"/>
        </w:rPr>
      </w:pPr>
      <w:r>
        <w:rPr>
          <w:iCs/>
          <w:lang w:val="en-IL"/>
        </w:rPr>
        <w:t>By applying it to iteself</w:t>
      </w:r>
    </w:p>
    <w:p w14:paraId="30B9912B" w14:textId="04400469" w:rsidR="003943A6" w:rsidRPr="00C31E60" w:rsidRDefault="00AB275B" w:rsidP="00AB275B">
      <w:pPr>
        <w:rPr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2CBB2292" w14:textId="77777777" w:rsidR="00C31E60" w:rsidRPr="00C31E60" w:rsidRDefault="00C31E60" w:rsidP="00C31E60">
      <w:pPr>
        <w:rPr>
          <w:lang w:val="en-IL"/>
        </w:rPr>
      </w:pPr>
      <w:r w:rsidRPr="00C31E60">
        <w:rPr>
          <w:lang w:val="en-IL"/>
        </w:rPr>
        <w:t xml:space="preserve">An </w:t>
      </w:r>
      <w:r w:rsidRPr="00C31E60">
        <w:rPr>
          <w:i/>
          <w:iCs/>
          <w:lang w:val="en-IL"/>
        </w:rPr>
        <w:t>and</w:t>
      </w:r>
      <w:r w:rsidRPr="00C31E60">
        <w:rPr>
          <w:lang w:val="en-IL"/>
        </w:rPr>
        <w:t xml:space="preserve"> conclusion could be reduced</w:t>
      </w:r>
    </w:p>
    <w:p w14:paraId="04F5127A" w14:textId="77777777" w:rsidR="00C31E60" w:rsidRPr="00C31E60" w:rsidRDefault="00C31E60" w:rsidP="00AB275B">
      <w:pPr>
        <w:rPr>
          <w:i/>
          <w:lang w:val="en-IL"/>
        </w:rPr>
      </w:pPr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42B8075D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07A6BE91" w:rsidR="007453C8" w:rsidRPr="004576AA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6A8CBE19" w:rsidR="00F93C26" w:rsidRPr="009970D7" w:rsidRDefault="00F93C26" w:rsidP="00F93C26">
      <w:pPr>
        <w:rPr>
          <w:i/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⋅r∴p⋅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⋅r≡p⋅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</m:e>
          </m:d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41E552F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</m:oMath>
      </m:oMathPara>
    </w:p>
    <w:p w14:paraId="4016B041" w14:textId="43A36860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7C4A3EA5" w14:textId="77777777" w:rsidR="009970D7" w:rsidRPr="009970D7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</m:oMathPara>
    </w:p>
    <w:p w14:paraId="5132AE50" w14:textId="3C96B27D" w:rsidR="00CE3800" w:rsidRPr="00FE2769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p w14:paraId="481DA65C" w14:textId="63826082" w:rsidR="00FE2769" w:rsidRDefault="00FE2769" w:rsidP="007C3FBF">
      <w:pPr>
        <w:rPr>
          <w:lang w:val="en-IL"/>
        </w:rPr>
      </w:pPr>
      <w:r>
        <w:rPr>
          <w:lang w:val="en-IL"/>
        </w:rPr>
        <w:t xml:space="preserve">And equivalence is also </w:t>
      </w:r>
      <w:r w:rsidR="007E50B9">
        <w:rPr>
          <w:lang w:val="en-IL"/>
        </w:rPr>
        <w:t>transitive alone</w:t>
      </w:r>
    </w:p>
    <w:p w14:paraId="1BBD5403" w14:textId="0824D6E1" w:rsidR="007E50B9" w:rsidRPr="000C71EE" w:rsidRDefault="007E50B9" w:rsidP="00A22C5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r∴p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IL"/>
                        </w:rPr>
                        <m:t>p≡r</m:t>
                      </m:r>
                    </m:e>
                  </m:d>
                </m:e>
              </m:eqArr>
            </m:e>
          </m:d>
        </m:oMath>
      </m:oMathPara>
    </w:p>
    <w:p w14:paraId="458080DD" w14:textId="6DDC8097" w:rsidR="00FE2769" w:rsidRDefault="00FE2769" w:rsidP="007C3FBF">
      <w:pPr>
        <w:rPr>
          <w:lang w:val="en-IL"/>
        </w:rPr>
      </w:pPr>
    </w:p>
    <w:p w14:paraId="3F3E06AF" w14:textId="49933BB8" w:rsidR="00FE2769" w:rsidRDefault="00FE2769" w:rsidP="007C3FBF">
      <w:pPr>
        <w:rPr>
          <w:lang w:val="en-IL"/>
        </w:rPr>
      </w:pPr>
    </w:p>
    <w:p w14:paraId="3066DB02" w14:textId="77777777" w:rsidR="00FE2769" w:rsidRPr="005B6144" w:rsidRDefault="00FE2769" w:rsidP="007C3FBF">
      <w:pPr>
        <w:rPr>
          <w:lang w:val="en-IL"/>
        </w:rPr>
      </w:pPr>
    </w:p>
    <w:p w14:paraId="373265C7" w14:textId="790D9775" w:rsidR="005B6144" w:rsidRDefault="008441C4" w:rsidP="007C3FBF">
      <w:pPr>
        <w:rPr>
          <w:lang w:val="en-IL"/>
        </w:rPr>
      </w:pPr>
      <w:r>
        <w:rPr>
          <w:lang w:val="en-IL"/>
        </w:rPr>
        <w:t>To sum up</w:t>
      </w:r>
    </w:p>
    <w:p w14:paraId="19786223" w14:textId="3A598B4B" w:rsidR="008441C4" w:rsidRDefault="008441C4" w:rsidP="007C3FBF">
      <w:pPr>
        <w:rPr>
          <w:lang w:val="en-IL"/>
        </w:rPr>
      </w:pPr>
    </w:p>
    <w:p w14:paraId="18418707" w14:textId="63CFD8B0" w:rsidR="008441C4" w:rsidRDefault="008441C4" w:rsidP="007C3FBF">
      <w:pPr>
        <w:rPr>
          <w:lang w:val="en-IL"/>
        </w:rPr>
      </w:pPr>
      <w:r>
        <w:rPr>
          <w:lang w:val="en-IL"/>
        </w:rPr>
        <w:t xml:space="preserve">Deduction is </w:t>
      </w:r>
    </w:p>
    <w:p w14:paraId="37B8D392" w14:textId="2A077B3F" w:rsidR="008441C4" w:rsidRDefault="008441C4" w:rsidP="008441C4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Reflecsive </w:t>
      </w:r>
      <m:oMath>
        <m:r>
          <w:rPr>
            <w:rFonts w:ascii="Cambria Math" w:hAnsi="Cambria Math"/>
            <w:lang w:val="en-IL"/>
          </w:rPr>
          <m:t xml:space="preserve"> p∴p</m:t>
        </m:r>
      </m:oMath>
    </w:p>
    <w:p w14:paraId="6D872050" w14:textId="310CC52F" w:rsidR="008441C4" w:rsidRPr="00147459" w:rsidRDefault="00147459" w:rsidP="00147459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T</w:t>
      </w:r>
      <w:r w:rsidR="008441C4">
        <w:rPr>
          <w:lang w:val="en-IL"/>
        </w:rPr>
        <w:t>ransitive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q∴r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p∴r</m:t>
            </m:r>
          </m:e>
        </m:d>
      </m:oMath>
    </w:p>
    <w:p w14:paraId="51F5771C" w14:textId="1C1DBA59" w:rsidR="00147459" w:rsidRDefault="00147459" w:rsidP="00C146DF">
      <w:pPr>
        <w:rPr>
          <w:lang w:val="en-IL"/>
        </w:rPr>
      </w:pPr>
    </w:p>
    <w:p w14:paraId="3B82A9BF" w14:textId="717370D4" w:rsidR="00C146DF" w:rsidRDefault="00C146DF" w:rsidP="00C146DF">
      <w:pPr>
        <w:rPr>
          <w:lang w:val="en-IL"/>
        </w:rPr>
      </w:pPr>
      <w:r>
        <w:rPr>
          <w:lang w:val="en-IL"/>
        </w:rPr>
        <w:t>The deductive and is</w:t>
      </w:r>
    </w:p>
    <w:p w14:paraId="74BC573E" w14:textId="1F65F2A3" w:rsidR="00C146DF" w:rsidRPr="00C146DF" w:rsidRDefault="00C146DF" w:rsidP="00C146DF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Reducible </w:t>
      </w:r>
      <m:oMath>
        <m:r>
          <w:rPr>
            <w:rFonts w:ascii="Cambria Math" w:hAnsi="Cambria Math"/>
            <w:lang w:val="en-IL"/>
          </w:rPr>
          <m:t>p⋅q∴p</m:t>
        </m:r>
      </m:oMath>
    </w:p>
    <w:p w14:paraId="251A0DFD" w14:textId="75C61005" w:rsidR="00C146DF" w:rsidRPr="00706592" w:rsidRDefault="00706592" w:rsidP="00706592">
      <w:pPr>
        <w:pStyle w:val="ListParagraph"/>
        <w:numPr>
          <w:ilvl w:val="0"/>
          <w:numId w:val="3"/>
        </w:numPr>
        <w:rPr>
          <w:lang w:val="en-IL"/>
        </w:rPr>
      </w:pPr>
      <w:r w:rsidRPr="00C146DF">
        <w:rPr>
          <w:lang w:val="en-IL"/>
        </w:rPr>
        <w:t>C</w:t>
      </w:r>
      <w:r w:rsidR="00C146DF" w:rsidRPr="00C146DF">
        <w:rPr>
          <w:lang w:val="en-IL"/>
        </w:rPr>
        <w:t>ommutative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p⋅q≡q⋅p</m:t>
        </m:r>
      </m:oMath>
    </w:p>
    <w:p w14:paraId="4A617D83" w14:textId="230F3033" w:rsidR="00706592" w:rsidRPr="004576AA" w:rsidRDefault="00F172C1" w:rsidP="00F172C1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Associative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p⋅q</m:t>
            </m:r>
          </m:e>
        </m:d>
        <m:r>
          <w:rPr>
            <w:rFonts w:ascii="Cambria Math" w:hAnsi="Cambria Math"/>
            <w:lang w:val="en-IL"/>
          </w:rPr>
          <m:t>⋅r≡p⋅(q⋅r)</m:t>
        </m:r>
      </m:oMath>
    </w:p>
    <w:p w14:paraId="27221DF6" w14:textId="77777777" w:rsidR="0020353C" w:rsidRDefault="0020353C" w:rsidP="004576AA">
      <w:pPr>
        <w:rPr>
          <w:lang w:val="en-IL"/>
        </w:rPr>
      </w:pPr>
    </w:p>
    <w:p w14:paraId="18B8CB4D" w14:textId="62E42EBF" w:rsidR="004576AA" w:rsidRDefault="00582C8C" w:rsidP="004576AA">
      <w:pPr>
        <w:rPr>
          <w:lang w:val="en-IL"/>
        </w:rPr>
      </w:pPr>
      <w:r>
        <w:rPr>
          <w:lang w:val="en-IL"/>
        </w:rPr>
        <w:t xml:space="preserve">Equivalance is </w:t>
      </w:r>
    </w:p>
    <w:p w14:paraId="66E2410E" w14:textId="1FEF8ED9" w:rsidR="0020353C" w:rsidRDefault="0020353C" w:rsidP="00754BD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Reflecsive</w:t>
      </w:r>
      <w:r w:rsidR="00754BD5">
        <w:rPr>
          <w:rFonts w:cstheme="minorBidi" w:hint="cs"/>
          <w:szCs w:val="24"/>
          <w:rtl/>
          <w:lang w:val="en-IL" w:bidi="he-IL"/>
        </w:rPr>
        <w:t xml:space="preserve"> </w:t>
      </w:r>
      <m:oMath>
        <m:r>
          <w:rPr>
            <w:rFonts w:ascii="Cambria Math" w:hAnsi="Cambria Math" w:cstheme="minorBidi"/>
            <w:szCs w:val="24"/>
            <w:lang w:val="en-IL" w:bidi="he-IL"/>
          </w:rPr>
          <m:t>p≡p</m:t>
        </m:r>
      </m:oMath>
    </w:p>
    <w:p w14:paraId="0995DDB4" w14:textId="4796ABCC" w:rsidR="0020353C" w:rsidRDefault="0020353C" w:rsidP="00A22C50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Transitive</w:t>
      </w:r>
      <w:r w:rsidR="00A22C50"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p≡r</m:t>
            </m:r>
          </m:e>
        </m:d>
      </m:oMath>
    </w:p>
    <w:p w14:paraId="251EEF15" w14:textId="00B9F354" w:rsidR="0020353C" w:rsidRPr="0020353C" w:rsidRDefault="00FB758C" w:rsidP="00FB758C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S</w:t>
      </w:r>
      <w:r w:rsidR="00754BD5">
        <w:rPr>
          <w:lang w:val="en-IL"/>
        </w:rPr>
        <w:t>ymetric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≡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q≡p</m:t>
            </m:r>
          </m:e>
        </m:d>
      </m:oMath>
    </w:p>
    <w:sectPr w:rsidR="0020353C" w:rsidRPr="002035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67E04"/>
    <w:multiLevelType w:val="hybridMultilevel"/>
    <w:tmpl w:val="867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5B"/>
    <w:multiLevelType w:val="hybridMultilevel"/>
    <w:tmpl w:val="375A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D9D"/>
    <w:multiLevelType w:val="hybridMultilevel"/>
    <w:tmpl w:val="C44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40B5"/>
    <w:multiLevelType w:val="hybridMultilevel"/>
    <w:tmpl w:val="38E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2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85"/>
    <w:rsid w:val="00040755"/>
    <w:rsid w:val="00044B4C"/>
    <w:rsid w:val="00044F68"/>
    <w:rsid w:val="00050F85"/>
    <w:rsid w:val="00054A1F"/>
    <w:rsid w:val="000712F6"/>
    <w:rsid w:val="000838C3"/>
    <w:rsid w:val="000A1262"/>
    <w:rsid w:val="000C0777"/>
    <w:rsid w:val="000C71EE"/>
    <w:rsid w:val="0010603D"/>
    <w:rsid w:val="00124BD8"/>
    <w:rsid w:val="001253BB"/>
    <w:rsid w:val="00147459"/>
    <w:rsid w:val="00166FEC"/>
    <w:rsid w:val="001673A6"/>
    <w:rsid w:val="001943E0"/>
    <w:rsid w:val="00196ABE"/>
    <w:rsid w:val="001D5CFA"/>
    <w:rsid w:val="0020353C"/>
    <w:rsid w:val="002375F6"/>
    <w:rsid w:val="00245E80"/>
    <w:rsid w:val="00256B29"/>
    <w:rsid w:val="00266CA9"/>
    <w:rsid w:val="00275072"/>
    <w:rsid w:val="00280A64"/>
    <w:rsid w:val="002877DD"/>
    <w:rsid w:val="00292031"/>
    <w:rsid w:val="0029455A"/>
    <w:rsid w:val="00294AE5"/>
    <w:rsid w:val="00295DEE"/>
    <w:rsid w:val="002A261F"/>
    <w:rsid w:val="002B5AB2"/>
    <w:rsid w:val="002E2E6A"/>
    <w:rsid w:val="002F1687"/>
    <w:rsid w:val="002F2F38"/>
    <w:rsid w:val="002F427D"/>
    <w:rsid w:val="00301E1A"/>
    <w:rsid w:val="00310925"/>
    <w:rsid w:val="00312356"/>
    <w:rsid w:val="00317362"/>
    <w:rsid w:val="00331AC7"/>
    <w:rsid w:val="0037194F"/>
    <w:rsid w:val="003943A6"/>
    <w:rsid w:val="003A57CF"/>
    <w:rsid w:val="003B5BE0"/>
    <w:rsid w:val="003B6358"/>
    <w:rsid w:val="003C6774"/>
    <w:rsid w:val="003D2910"/>
    <w:rsid w:val="003F52A7"/>
    <w:rsid w:val="004127D6"/>
    <w:rsid w:val="0042175C"/>
    <w:rsid w:val="004576AA"/>
    <w:rsid w:val="004753C7"/>
    <w:rsid w:val="004860F9"/>
    <w:rsid w:val="004B427D"/>
    <w:rsid w:val="004B668F"/>
    <w:rsid w:val="004D390B"/>
    <w:rsid w:val="004F414D"/>
    <w:rsid w:val="00505101"/>
    <w:rsid w:val="0055498E"/>
    <w:rsid w:val="005574E9"/>
    <w:rsid w:val="0058240B"/>
    <w:rsid w:val="00582C8C"/>
    <w:rsid w:val="005A2697"/>
    <w:rsid w:val="005B6144"/>
    <w:rsid w:val="005D38BE"/>
    <w:rsid w:val="005D5D98"/>
    <w:rsid w:val="005E0005"/>
    <w:rsid w:val="005F2C9C"/>
    <w:rsid w:val="005F3FB3"/>
    <w:rsid w:val="00605155"/>
    <w:rsid w:val="0061366D"/>
    <w:rsid w:val="00646A6D"/>
    <w:rsid w:val="006541A3"/>
    <w:rsid w:val="00674CB3"/>
    <w:rsid w:val="006D1DF5"/>
    <w:rsid w:val="006F307C"/>
    <w:rsid w:val="006F40F5"/>
    <w:rsid w:val="007021E9"/>
    <w:rsid w:val="00706592"/>
    <w:rsid w:val="00711DB1"/>
    <w:rsid w:val="0072132A"/>
    <w:rsid w:val="007226AD"/>
    <w:rsid w:val="00725EAC"/>
    <w:rsid w:val="00727E80"/>
    <w:rsid w:val="00742C5A"/>
    <w:rsid w:val="007453C8"/>
    <w:rsid w:val="00751AC1"/>
    <w:rsid w:val="00754BD5"/>
    <w:rsid w:val="00756580"/>
    <w:rsid w:val="00764FF6"/>
    <w:rsid w:val="00770068"/>
    <w:rsid w:val="00774132"/>
    <w:rsid w:val="00785E9D"/>
    <w:rsid w:val="007A71F9"/>
    <w:rsid w:val="007C3DE0"/>
    <w:rsid w:val="007C3FBF"/>
    <w:rsid w:val="007C5209"/>
    <w:rsid w:val="007D1E0F"/>
    <w:rsid w:val="007E50B9"/>
    <w:rsid w:val="007E587A"/>
    <w:rsid w:val="00804B19"/>
    <w:rsid w:val="00836B2F"/>
    <w:rsid w:val="008441C4"/>
    <w:rsid w:val="008451BB"/>
    <w:rsid w:val="008716F5"/>
    <w:rsid w:val="008E18E3"/>
    <w:rsid w:val="00926F27"/>
    <w:rsid w:val="00950832"/>
    <w:rsid w:val="009514E1"/>
    <w:rsid w:val="00961637"/>
    <w:rsid w:val="00967924"/>
    <w:rsid w:val="009703DD"/>
    <w:rsid w:val="0097476A"/>
    <w:rsid w:val="00986B0C"/>
    <w:rsid w:val="00996169"/>
    <w:rsid w:val="009970D7"/>
    <w:rsid w:val="009A3845"/>
    <w:rsid w:val="009D101C"/>
    <w:rsid w:val="009D49A3"/>
    <w:rsid w:val="009D6181"/>
    <w:rsid w:val="009E6ECE"/>
    <w:rsid w:val="009F7F79"/>
    <w:rsid w:val="00A03D8F"/>
    <w:rsid w:val="00A22C50"/>
    <w:rsid w:val="00A257DB"/>
    <w:rsid w:val="00A26AB8"/>
    <w:rsid w:val="00A37A18"/>
    <w:rsid w:val="00A4525F"/>
    <w:rsid w:val="00A56133"/>
    <w:rsid w:val="00A6076E"/>
    <w:rsid w:val="00A61B9F"/>
    <w:rsid w:val="00A632EA"/>
    <w:rsid w:val="00AA50A2"/>
    <w:rsid w:val="00AB13F2"/>
    <w:rsid w:val="00AB275B"/>
    <w:rsid w:val="00AC0AC2"/>
    <w:rsid w:val="00B2447E"/>
    <w:rsid w:val="00B573C8"/>
    <w:rsid w:val="00B60EEE"/>
    <w:rsid w:val="00B6435C"/>
    <w:rsid w:val="00B92F31"/>
    <w:rsid w:val="00BC630E"/>
    <w:rsid w:val="00BC740E"/>
    <w:rsid w:val="00BD6C9C"/>
    <w:rsid w:val="00BF2092"/>
    <w:rsid w:val="00C146DF"/>
    <w:rsid w:val="00C20EDB"/>
    <w:rsid w:val="00C22F5B"/>
    <w:rsid w:val="00C31E60"/>
    <w:rsid w:val="00C37F94"/>
    <w:rsid w:val="00C44AC7"/>
    <w:rsid w:val="00C52EA2"/>
    <w:rsid w:val="00C843E4"/>
    <w:rsid w:val="00C975C4"/>
    <w:rsid w:val="00CA0EA0"/>
    <w:rsid w:val="00CB2F00"/>
    <w:rsid w:val="00CB54D2"/>
    <w:rsid w:val="00CD17E1"/>
    <w:rsid w:val="00CD515D"/>
    <w:rsid w:val="00CE3800"/>
    <w:rsid w:val="00CF226D"/>
    <w:rsid w:val="00CF4B2E"/>
    <w:rsid w:val="00D067BD"/>
    <w:rsid w:val="00D20949"/>
    <w:rsid w:val="00D2491D"/>
    <w:rsid w:val="00D2770A"/>
    <w:rsid w:val="00D27904"/>
    <w:rsid w:val="00D309D6"/>
    <w:rsid w:val="00D36181"/>
    <w:rsid w:val="00D445E1"/>
    <w:rsid w:val="00D56784"/>
    <w:rsid w:val="00D602C0"/>
    <w:rsid w:val="00D74082"/>
    <w:rsid w:val="00D84B1C"/>
    <w:rsid w:val="00D84C39"/>
    <w:rsid w:val="00DB0C24"/>
    <w:rsid w:val="00DC259F"/>
    <w:rsid w:val="00DD76AC"/>
    <w:rsid w:val="00E176CC"/>
    <w:rsid w:val="00E33CBE"/>
    <w:rsid w:val="00E3431F"/>
    <w:rsid w:val="00E47E19"/>
    <w:rsid w:val="00E53EC9"/>
    <w:rsid w:val="00E54C0A"/>
    <w:rsid w:val="00E6403C"/>
    <w:rsid w:val="00E7096A"/>
    <w:rsid w:val="00E80816"/>
    <w:rsid w:val="00E95813"/>
    <w:rsid w:val="00EA7856"/>
    <w:rsid w:val="00EC48BC"/>
    <w:rsid w:val="00ED3244"/>
    <w:rsid w:val="00EE0328"/>
    <w:rsid w:val="00EE1EB2"/>
    <w:rsid w:val="00EE44EC"/>
    <w:rsid w:val="00F07223"/>
    <w:rsid w:val="00F13241"/>
    <w:rsid w:val="00F172C1"/>
    <w:rsid w:val="00F43D61"/>
    <w:rsid w:val="00F93C26"/>
    <w:rsid w:val="00F962E9"/>
    <w:rsid w:val="00FB5A6D"/>
    <w:rsid w:val="00FB758C"/>
    <w:rsid w:val="00FC5CFF"/>
    <w:rsid w:val="00FE2769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E80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727E8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Navon</dc:creator>
  <dc:description/>
  <cp:lastModifiedBy>Noga</cp:lastModifiedBy>
  <cp:revision>2</cp:revision>
  <dcterms:created xsi:type="dcterms:W3CDTF">2021-10-02T15:28:00Z</dcterms:created>
  <dcterms:modified xsi:type="dcterms:W3CDTF">2021-10-02T15:28:00Z</dcterms:modified>
  <dc:language>en-US</dc:language>
</cp:coreProperties>
</file>