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ind w:left="0" w:firstLine="0"/>
        <w:jc w:val="center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lang w:val="en-US"/>
        </w:rPr>
        <w:t>ORRA Power Interest Grid</w:t>
      </w:r>
    </w:p>
    <w:p w14:paraId="00000002">
      <w:pPr>
        <w:jc w:val="left"/>
        <w:rPr>
          <w:b w:val="off"/>
          <w:bCs w:val="off"/>
          <w:sz w:val="14"/>
          <w:szCs w:val="14"/>
          <w:u w:val="none"/>
        </w:rPr>
      </w:pPr>
    </w:p>
    <w:tbl>
      <w:tblPr>
        <w:tblStyle w:val="TableGrid"/>
        <w:tblW w:w="10883" w:type="dxa"/>
        <w:tblInd w:w="-1113" w:type="dxa"/>
      </w:tblPr>
      <w:tblGrid>
        <w:gridCol w:w="1839"/>
        <w:gridCol w:w="1736"/>
        <w:gridCol w:w="1908"/>
        <w:gridCol w:w="2006"/>
        <w:gridCol w:w="1259"/>
        <w:gridCol w:w="1347"/>
        <w:gridCol w:w="1475"/>
      </w:tblGrid>
      <w:tr>
        <w:trPr>
          <w:cnfStyle w:val="100000000000"/>
          <w:trHeight w:val="589" w:hRule="atLeast"/>
        </w:trPr>
        <w:tc>
          <w:tcPr>
            <w:cnfStyle w:val="100010000000"/>
            <w:tcW w:w="1871" w:type="dxa"/>
          </w:tcPr>
          <w:p w14:paraId="0000000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0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Stakeholder </w:t>
            </w:r>
          </w:p>
          <w:p w14:paraId="00000005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01000000"/>
            <w:tcW w:w="856" w:type="dxa"/>
          </w:tcPr>
          <w:p w14:paraId="0000000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0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Role </w:t>
            </w:r>
          </w:p>
          <w:p w14:paraId="00000008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10000000"/>
            <w:tcW w:w="2358" w:type="dxa"/>
          </w:tcPr>
          <w:p w14:paraId="0000000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0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Involvement </w:t>
            </w:r>
          </w:p>
          <w:p w14:paraId="0000000B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01000000"/>
            <w:tcW w:w="1687" w:type="dxa"/>
          </w:tcPr>
          <w:p w14:paraId="0000000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0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Impact </w:t>
            </w:r>
          </w:p>
          <w:p w14:paraId="0000000E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10000000"/>
            <w:tcW w:w="1198" w:type="dxa"/>
          </w:tcPr>
          <w:p w14:paraId="0000000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1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Power of </w:t>
            </w:r>
          </w:p>
          <w:p w14:paraId="0000001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Influence </w:t>
            </w:r>
          </w:p>
          <w:p w14:paraId="00000012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01000000"/>
            <w:tcW w:w="1286" w:type="dxa"/>
          </w:tcPr>
          <w:p w14:paraId="0000001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1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>Interest</w:t>
            </w:r>
          </w:p>
          <w:p w14:paraId="0000001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326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 Level </w:t>
            </w:r>
          </w:p>
          <w:p w14:paraId="00000016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  <w:tc>
          <w:tcPr>
            <w:cnfStyle w:val="100010000000"/>
            <w:tcW w:w="1627" w:type="dxa"/>
          </w:tcPr>
          <w:p w14:paraId="0000001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1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Engagement Level </w:t>
            </w:r>
          </w:p>
          <w:p w14:paraId="00000019">
            <w:pPr>
              <w:jc w:val="center"/>
              <w:rPr>
                <w:b/>
                <w:bCs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  <w:trHeight w:val="660" w:hRule="atLeast"/>
        </w:trPr>
        <w:tc>
          <w:tcPr>
            <w:cnfStyle w:val="000010000000"/>
            <w:tcW w:w="1871" w:type="dxa"/>
          </w:tcPr>
          <w:p w14:paraId="0000001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1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</w:pPr>
          </w:p>
          <w:p w14:paraId="0000001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Project Owner </w:t>
            </w:r>
          </w:p>
          <w:p w14:paraId="0000001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1E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1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Project Sponsor </w:t>
            </w:r>
          </w:p>
          <w:p w14:paraId="00000020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2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2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Provides vision, funding, and overall direction </w:t>
            </w:r>
          </w:p>
          <w:p w14:paraId="0000002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24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2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Influences project success and resource allocation </w:t>
            </w:r>
          </w:p>
          <w:p w14:paraId="00000026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2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2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2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2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2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2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2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2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2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  <w:trHeight w:val="588" w:hRule="atLeast"/>
        </w:trPr>
        <w:tc>
          <w:tcPr>
            <w:cnfStyle w:val="000010000000"/>
            <w:tcW w:w="1871" w:type="dxa"/>
          </w:tcPr>
          <w:p w14:paraId="0000003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Graphic Designer </w:t>
            </w:r>
          </w:p>
          <w:p w14:paraId="0000003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3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Visual Branding </w:t>
            </w:r>
          </w:p>
        </w:tc>
        <w:tc>
          <w:tcPr>
            <w:cnfStyle w:val="000010000000"/>
            <w:tcW w:w="2358" w:type="dxa"/>
          </w:tcPr>
          <w:p w14:paraId="0000003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Creates visual identity and marketing materials </w:t>
            </w:r>
          </w:p>
        </w:tc>
        <w:tc>
          <w:tcPr>
            <w:cnfStyle w:val="000001000000"/>
            <w:tcW w:w="1687" w:type="dxa"/>
          </w:tcPr>
          <w:p w14:paraId="0000003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- Affects brand perception and marketing effectiveness </w:t>
            </w:r>
          </w:p>
        </w:tc>
        <w:tc>
          <w:tcPr>
            <w:cnfStyle w:val="000010000000"/>
            <w:tcW w:w="1198" w:type="dxa"/>
          </w:tcPr>
          <w:p w14:paraId="0000003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</w:t>
            </w:r>
          </w:p>
        </w:tc>
        <w:tc>
          <w:tcPr>
            <w:cnfStyle w:val="000001000000"/>
            <w:tcW w:w="1286" w:type="dxa"/>
          </w:tcPr>
          <w:p w14:paraId="0000003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37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3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39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3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UI/UX Designer </w:t>
            </w:r>
          </w:p>
          <w:p w14:paraId="0000003B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3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User Experience </w:t>
            </w:r>
          </w:p>
          <w:p w14:paraId="0000003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3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Designs user interface and experience for products </w:t>
            </w:r>
          </w:p>
          <w:p w14:paraId="0000003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4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Directly impacts customer satisfaction and usability </w:t>
            </w:r>
          </w:p>
          <w:p w14:paraId="0000004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4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4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4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45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4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47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  <w:trHeight w:val="478" w:hRule="atLeast"/>
        </w:trPr>
        <w:tc>
          <w:tcPr>
            <w:cnfStyle w:val="000010000000"/>
            <w:tcW w:w="1871" w:type="dxa"/>
          </w:tcPr>
          <w:p w14:paraId="0000004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Social Media Marketing Specialist </w:t>
            </w:r>
          </w:p>
          <w:p w14:paraId="00000049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4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Marketing Campaigns </w:t>
            </w:r>
          </w:p>
          <w:p w14:paraId="0000004B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4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Develops and executes marketing strategies </w:t>
            </w:r>
          </w:p>
          <w:p w14:paraId="0000004D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4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Drives brand awareness and customer engagement </w:t>
            </w:r>
          </w:p>
        </w:tc>
        <w:tc>
          <w:tcPr>
            <w:cnfStyle w:val="000010000000"/>
            <w:tcW w:w="1198" w:type="dxa"/>
          </w:tcPr>
          <w:p w14:paraId="0000004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</w:tc>
        <w:tc>
          <w:tcPr>
            <w:cnfStyle w:val="000001000000"/>
            <w:tcW w:w="1286" w:type="dxa"/>
          </w:tcPr>
          <w:p w14:paraId="0000005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</w:tc>
        <w:tc>
          <w:tcPr>
            <w:cnfStyle w:val="000010000000"/>
            <w:tcW w:w="1627" w:type="dxa"/>
          </w:tcPr>
          <w:p w14:paraId="0000005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5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Sales Team </w:t>
            </w:r>
          </w:p>
          <w:p w14:paraId="0000005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5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Sales Execution </w:t>
            </w:r>
          </w:p>
          <w:p w14:paraId="00000055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5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Engages with customers to drive sales </w:t>
            </w:r>
          </w:p>
          <w:p w14:paraId="00000057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5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Directly impacts revenue generation and customer relationships </w:t>
            </w:r>
          </w:p>
          <w:p w14:paraId="00000059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5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5B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5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5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5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5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  <w:trHeight w:val="569" w:hRule="atLeast"/>
        </w:trPr>
        <w:tc>
          <w:tcPr>
            <w:cnfStyle w:val="000010000000"/>
            <w:tcW w:w="1871" w:type="dxa"/>
          </w:tcPr>
          <w:p w14:paraId="0000006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Quality Control Manager </w:t>
            </w:r>
          </w:p>
          <w:p w14:paraId="0000006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6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Product Quality </w:t>
            </w:r>
          </w:p>
          <w:p w14:paraId="0000006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6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Oversees product quality assurance and compliance </w:t>
            </w:r>
          </w:p>
        </w:tc>
        <w:tc>
          <w:tcPr>
            <w:cnfStyle w:val="000001000000"/>
            <w:tcW w:w="1687" w:type="dxa"/>
          </w:tcPr>
          <w:p w14:paraId="0000006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Ensures product meets quality standards and customer expectations </w:t>
            </w:r>
          </w:p>
        </w:tc>
        <w:tc>
          <w:tcPr>
            <w:cnfStyle w:val="000010000000"/>
            <w:tcW w:w="1198" w:type="dxa"/>
          </w:tcPr>
          <w:p w14:paraId="0000006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67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6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69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6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6B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6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Customer Support Team </w:t>
            </w:r>
          </w:p>
          <w:p w14:paraId="0000006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6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Customer Interaction </w:t>
            </w:r>
          </w:p>
          <w:p w14:paraId="0000006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7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Addresses customer inquiries and feedback </w:t>
            </w:r>
          </w:p>
          <w:p w14:paraId="0000007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7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- Influences customer satisfaction and retention </w:t>
            </w:r>
          </w:p>
          <w:p w14:paraId="0000007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7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</w:t>
            </w:r>
          </w:p>
          <w:p w14:paraId="00000075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7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77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7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79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7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Delivery Team </w:t>
            </w:r>
          </w:p>
          <w:p w14:paraId="0000007B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7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Logistics </w:t>
            </w:r>
          </w:p>
          <w:p w14:paraId="0000007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7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Manages product distribution and delivery </w:t>
            </w:r>
          </w:p>
          <w:p w14:paraId="0000007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8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- Affects customer satisfaction and operational efficiency </w:t>
            </w:r>
          </w:p>
          <w:p w14:paraId="0000008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82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Medium</w:t>
            </w:r>
          </w:p>
        </w:tc>
        <w:tc>
          <w:tcPr>
            <w:cnfStyle w:val="000001000000"/>
            <w:tcW w:w="1286" w:type="dxa"/>
          </w:tcPr>
          <w:p w14:paraId="0000008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Medium</w:t>
            </w:r>
          </w:p>
        </w:tc>
        <w:tc>
          <w:tcPr>
            <w:cnfStyle w:val="000010000000"/>
            <w:tcW w:w="1627" w:type="dxa"/>
          </w:tcPr>
          <w:p w14:paraId="0000008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Active </w:t>
            </w:r>
          </w:p>
          <w:p w14:paraId="00000085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8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Accountant </w:t>
            </w:r>
          </w:p>
          <w:p w14:paraId="00000087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8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Financial Oversight </w:t>
            </w:r>
          </w:p>
          <w:p w14:paraId="00000089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8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 </w:t>
            </w: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Manages budget and financial reporting </w:t>
            </w:r>
          </w:p>
          <w:p w14:paraId="0000008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8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- Influences financial health and project feasibility </w:t>
            </w:r>
          </w:p>
          <w:p w14:paraId="0000008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</w:p>
          <w:p w14:paraId="0000008E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8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  <w:p w14:paraId="0000009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 </w:t>
            </w:r>
          </w:p>
          <w:p w14:paraId="0000009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9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</w:t>
            </w:r>
          </w:p>
          <w:p w14:paraId="0000009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9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>Active</w:t>
            </w:r>
          </w:p>
        </w:tc>
      </w:tr>
      <w:tr>
        <w:trPr>
          <w:cnfStyle w:val="000000000000"/>
          <w:trHeight w:val="575" w:hRule="atLeast"/>
        </w:trPr>
        <w:tc>
          <w:tcPr>
            <w:cnfStyle w:val="000010000000"/>
            <w:tcW w:w="1871" w:type="dxa"/>
          </w:tcPr>
          <w:p w14:paraId="0000009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Market Research Analyst </w:t>
            </w:r>
          </w:p>
          <w:p w14:paraId="00000096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9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color w:val="000000"/>
                <w:sz w:val="14"/>
                <w:szCs w:val="18"/>
                <w:rtl w:val="off"/>
                <w:lang w:val="en-US"/>
              </w:rPr>
              <w:t xml:space="preserve">Consumer Insights </w:t>
            </w:r>
          </w:p>
        </w:tc>
        <w:tc>
          <w:tcPr>
            <w:cnfStyle w:val="000010000000"/>
            <w:tcW w:w="2358" w:type="dxa"/>
          </w:tcPr>
          <w:p w14:paraId="00000098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Analyzes market trends and customer preferences</w:t>
            </w:r>
          </w:p>
        </w:tc>
        <w:tc>
          <w:tcPr>
            <w:cnfStyle w:val="000001000000"/>
            <w:tcW w:w="1687" w:type="dxa"/>
          </w:tcPr>
          <w:p w14:paraId="00000099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Medium Provides insights that shape marketing and product strategies</w:t>
              <w:tab/>
            </w:r>
          </w:p>
        </w:tc>
        <w:tc>
          <w:tcPr>
            <w:cnfStyle w:val="000010000000"/>
            <w:tcW w:w="1198" w:type="dxa"/>
          </w:tcPr>
          <w:p w14:paraId="0000009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Medium </w:t>
            </w:r>
          </w:p>
        </w:tc>
        <w:tc>
          <w:tcPr>
            <w:cnfStyle w:val="000001000000"/>
            <w:tcW w:w="1286" w:type="dxa"/>
          </w:tcPr>
          <w:p w14:paraId="0000009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 xml:space="preserve">High </w:t>
            </w:r>
          </w:p>
        </w:tc>
        <w:tc>
          <w:tcPr>
            <w:cnfStyle w:val="000010000000"/>
            <w:tcW w:w="1627" w:type="dxa"/>
          </w:tcPr>
          <w:p w14:paraId="0000009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color w:val="000000"/>
                <w:sz w:val="14"/>
                <w:szCs w:val="14"/>
                <w:lang w:val="en-US"/>
              </w:rPr>
              <w:t>Active</w:t>
            </w: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9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lang w:val="en-US"/>
              </w:rPr>
            </w:pPr>
          </w:p>
          <w:p w14:paraId="0000009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Product Development Team </w:t>
            </w:r>
          </w:p>
          <w:p w14:paraId="0000009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856" w:type="dxa"/>
          </w:tcPr>
          <w:p w14:paraId="000000A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>Product Improvements</w:t>
            </w:r>
          </w:p>
        </w:tc>
        <w:tc>
          <w:tcPr>
            <w:cnfStyle w:val="000010000000"/>
            <w:tcW w:w="2358" w:type="dxa"/>
          </w:tcPr>
          <w:p w14:paraId="000000A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>Collaborates on product enhancements and features</w:t>
            </w:r>
          </w:p>
          <w:p w14:paraId="000000A2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A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High - Affects product quality and market competitiveness </w:t>
            </w:r>
          </w:p>
          <w:p w14:paraId="000000A4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A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High </w:t>
            </w:r>
          </w:p>
          <w:p w14:paraId="000000A6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A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High </w:t>
            </w:r>
          </w:p>
          <w:p w14:paraId="000000A8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A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Consultative </w:t>
            </w:r>
          </w:p>
          <w:p w14:paraId="000000AA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AB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Compliance Officer</w:t>
              <w:tab/>
            </w:r>
          </w:p>
        </w:tc>
        <w:tc>
          <w:tcPr>
            <w:cnfStyle w:val="000001000000"/>
            <w:tcW w:w="856" w:type="dxa"/>
          </w:tcPr>
          <w:p w14:paraId="000000A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Regulatory Compliance </w:t>
            </w:r>
          </w:p>
          <w:p w14:paraId="000000AD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2358" w:type="dxa"/>
          </w:tcPr>
          <w:p w14:paraId="000000A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Ensures products meet industry regulations </w:t>
            </w:r>
          </w:p>
          <w:p w14:paraId="000000AF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687" w:type="dxa"/>
          </w:tcPr>
          <w:p w14:paraId="000000B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High - Influences legal and operational compliance </w:t>
            </w:r>
          </w:p>
          <w:p w14:paraId="000000B1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198" w:type="dxa"/>
          </w:tcPr>
          <w:p w14:paraId="000000B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High </w:t>
            </w:r>
          </w:p>
          <w:p w14:paraId="000000B3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01000000"/>
            <w:tcW w:w="1286" w:type="dxa"/>
          </w:tcPr>
          <w:p w14:paraId="000000B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Medium </w:t>
            </w:r>
          </w:p>
          <w:p w14:paraId="000000B5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  <w:tc>
          <w:tcPr>
            <w:cnfStyle w:val="000010000000"/>
            <w:tcW w:w="1627" w:type="dxa"/>
          </w:tcPr>
          <w:p w14:paraId="000000B6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  <w:p w14:paraId="000000B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Consultative </w:t>
            </w:r>
          </w:p>
          <w:p w14:paraId="000000B8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871" w:type="dxa"/>
          </w:tcPr>
          <w:p w14:paraId="000000B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rFonts w:ascii="Segoe UI"/>
                <w:b w:val="off"/>
                <w:bCs w:val="off"/>
                <w:color w:val="000000"/>
                <w:sz w:val="14"/>
                <w:szCs w:val="14"/>
                <w:u w:val="none"/>
                <w:rtl w:val="off"/>
                <w:lang w:val="en-US"/>
              </w:rPr>
              <w:t>Investors/Shareholders</w:t>
            </w:r>
          </w:p>
        </w:tc>
        <w:tc>
          <w:tcPr>
            <w:cnfStyle w:val="000001000000"/>
            <w:tcW w:w="856" w:type="dxa"/>
          </w:tcPr>
          <w:p w14:paraId="000000BA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Financial Stakeholder</w:t>
              <w:tab/>
            </w:r>
          </w:p>
        </w:tc>
        <w:tc>
          <w:tcPr>
            <w:cnfStyle w:val="000010000000"/>
            <w:tcW w:w="2358" w:type="dxa"/>
          </w:tcPr>
          <w:p w14:paraId="000000BB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Provide funding and expect returns on investment</w:t>
              <w:tab/>
            </w:r>
          </w:p>
        </w:tc>
        <w:tc>
          <w:tcPr>
            <w:cnfStyle w:val="000001000000"/>
            <w:tcW w:w="1687" w:type="dxa"/>
          </w:tcPr>
          <w:p w14:paraId="000000BC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High - Influence overall direction and funding availability</w:t>
              <w:tab/>
            </w:r>
          </w:p>
        </w:tc>
        <w:tc>
          <w:tcPr>
            <w:cnfStyle w:val="000010000000"/>
            <w:tcW w:w="1198" w:type="dxa"/>
          </w:tcPr>
          <w:p w14:paraId="000000BD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High</w:t>
            </w:r>
          </w:p>
        </w:tc>
        <w:tc>
          <w:tcPr>
            <w:cnfStyle w:val="000001000000"/>
            <w:tcW w:w="1286" w:type="dxa"/>
          </w:tcPr>
          <w:p w14:paraId="000000BE">
            <w:pPr>
              <w:ind w:left="0" w:firstLine="0"/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  <w:r>
              <w:rPr>
                <w:b w:val="off"/>
                <w:bCs w:val="off"/>
                <w:sz w:val="14"/>
                <w:szCs w:val="14"/>
                <w:u w:val="none"/>
                <w:lang w:val="en-US"/>
              </w:rPr>
              <w:t>Medium</w:t>
            </w:r>
          </w:p>
        </w:tc>
        <w:tc>
          <w:tcPr>
            <w:cnfStyle w:val="000010000000"/>
            <w:tcW w:w="1627" w:type="dxa"/>
          </w:tcPr>
          <w:p w14:paraId="000000B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4"/>
                <w:szCs w:val="14"/>
                <w:lang w:val="en-US"/>
              </w:rPr>
            </w:pPr>
            <w:r>
              <w:rPr>
                <w:rFonts w:ascii="Segoe UI"/>
                <w:color w:val="000000"/>
                <w:sz w:val="14"/>
                <w:szCs w:val="14"/>
                <w:rtl w:val="off"/>
                <w:lang w:val="en-US"/>
              </w:rPr>
              <w:t xml:space="preserve">Informative </w:t>
            </w:r>
          </w:p>
          <w:p w14:paraId="000000C0">
            <w:pPr>
              <w:jc w:val="center"/>
              <w:rPr>
                <w:b w:val="off"/>
                <w:bCs w:val="off"/>
                <w:sz w:val="14"/>
                <w:szCs w:val="14"/>
                <w:u w:val="none"/>
              </w:rPr>
            </w:pPr>
          </w:p>
        </w:tc>
      </w:tr>
    </w:tbl>
    <w:p w14:paraId="000000C1">
      <w:pPr>
        <w:jc w:val="left"/>
        <w:rPr>
          <w:b w:val="off"/>
          <w:bCs w:val="off"/>
          <w:sz w:val="14"/>
          <w:szCs w:val="14"/>
          <w:u w:val="none"/>
        </w:rPr>
      </w:pP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C3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C2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before="35" w:after="0" w:line="240" w:lineRule="auto"/>
        <w:ind w:left="792" w:hanging="36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 Ibrahem</dc:creator>
  <cp:lastModifiedBy>Noha Ibrahem</cp:lastModifiedBy>
</cp:coreProperties>
</file>