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44"/>
                <w:szCs w:val="44"/>
              </w:rPr>
              <w:t xml:space="preserve">INTERLEX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VIRTUAL ZONE — GEORGIA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4CC"/>
                <w:sz w:val="20"/>
                <w:szCs w:val="20"/>
              </w:rPr>
              <w:t xml:space="preserve">Client Brief — IT Companies and Technology Businesses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0"/>
                <w:szCs w:val="20"/>
              </w:rPr>
              <w:t xml:space="preserve">0% VAT on IT service exports  ·  5% dividend tax  ·  Preferential CIT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3E0" w:sz="1"/>
              <w:left w:val="single" w:color="B8962E" w:sz="8"/>
              <w:bottom w:val="single" w:color="C8D3E0" w:sz="1"/>
              <w:right w:val="none" w:color="FFFFFF" w:sz="0"/>
            </w:tcBorders>
            <w:shd w:fill="E8E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Virtual Zone (VZ) is a special status for IT companies in Georgia.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Benefits: 0% VAT on IT services supplied to foreign clients; CIT only on domestic-source income.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Requirement: IT activity must account for at least 80% of revenue from foreign sources.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Obtaining VZ status: application through the Georgia Revenue Service (~10 business days).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completed: ___________________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20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InterLex manager: ___________________</w:t>
            </w:r>
          </w:p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Applicant and Company Information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Company name (existing or planned)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Your nationality and country of residence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the company already registered in Georgia?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need to obtain VZ status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need full registration + VZ in one package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If already registered — registration date and TIN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IT Activity — VZ Eligibility</w:t>
            </w:r>
          </w:p>
        </w:tc>
      </w:tr>
    </w:tbl>
    <w:p>
      <w:pPr>
        <w:spacing w:after="80" w:before="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Virtual Zone covers specific types of IT activity. Eligibility must be confirmed.</w:t>
      </w:r>
    </w:p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IT activity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Custom software development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SaaS / cloud products and platforms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Mobile applications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Web development and digital agency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IT consulting and outsourcing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Cybersecurity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Data analytics / Data Science / AI &amp; ML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Game development (GameDev)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Other IT — will describe below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Description of your product or service (in plain language)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Where are your clients located?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Exclusively abroad (non-residents of Georgia) — 100%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Primarily abroad (more than 80%)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Mixed client base — need assessment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Primarily in Georgia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Financial Metrics and Revenue Structure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Expected annual IT revenue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Under $50,000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$50,000 – $200,000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$200,000 – $1 million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Over $1 million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do you receive payments from foreign clients?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SWIFT transfers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Stripe / PayPal / other international payment processors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Cryptocurrency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Mixed approach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are client relationships formalised?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Development / service agreements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SaaS subscriptions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Partner / agency agreements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Other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Team and Employees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Number of employees / contractors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Founder only (1 person)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2–5 people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6–20 people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Over 20 people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Team location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Team based in Georgia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Remote team abroad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Mixed structure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need help with employment contracts under Georgian law?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Possibly — to confirm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Banking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have a business account in a Georgian bank?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at bank: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need help opening one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In the process of opening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need foreign currency accounts (USD, EUR)?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Are you currently experiencing any issues receiving payments from foreign clients?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Tax History and Current Status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the company currently registered as a VAT payer?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sure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Have there been any tax audits, penalties or outstanding tax liabilities?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will explain below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Clarifications / additional information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Additional Questions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7.1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Desired timeline to obtain VZ status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Urgent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Within 1 month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1–3 months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rush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7.2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Additional questions and comments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Contact Details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name: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Position / role: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/ WhatsApp: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time to call: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</w:tbl>
    <w:p>
      <w:pPr>
        <w:spacing w:after="320" w:before="0"/>
      </w:pPr>
    </w:p>
    <w:p>
      <w:pPr>
        <w:pBdr>
          <w:bottom w:val="single" w:color="B8962E" w:sz="4" w:space="1"/>
        </w:pBdr>
        <w:spacing w:after="80" w:before="0"/>
      </w:pPr>
    </w:p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D4F"/>
                <w:sz w:val="22"/>
                <w:szCs w:val="22"/>
              </w:rPr>
              <w:t xml:space="preserve">Thank you for completing this brief!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Please send the completed document to hello@interlex.work or hand it directly to your InterLex manager.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We will get back to you within one business day to confirm your consultation.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2" w:space="4"/>
      </w:pBdr>
      <w:spacing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interlex.work  |  interlex.kz  |  interlex.ge  |  hello@interlex.work  |  +7 700 007 0021</w:t>
    </w:r>
    <w:r>
      <w:rPr>
        <w:rFonts w:ascii="Arial" w:cs="Arial" w:eastAsia="Arial" w:hAnsi="Arial"/>
        <w:color w:val="6B7280"/>
        <w:sz w:val="15"/>
        <w:szCs w:val="15"/>
      </w:rPr>
      <w:t xml:space="preserve">      p.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2" w:space="4"/>
      </w:pBdr>
      <w:spacing w:after="0"/>
      <w:jc w:val="right"/>
    </w:pPr>
    <w:r>
      <w:rPr>
        <w:rFonts w:ascii="Arial" w:cs="Arial" w:eastAsia="Arial" w:hAnsi="Arial"/>
        <w:color w:val="1B2D4F"/>
        <w:sz w:val="17"/>
        <w:szCs w:val="17"/>
      </w:rPr>
      <w:t xml:space="preserve">InterLex  |  Virtual Zone Georgia — IT Companies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2026-04-25T14:13:59.219Z</dcterms:created>
  <dcterms:modified xsi:type="dcterms:W3CDTF">2026-04-25T14:13:59.219Z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