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44"/>
                <w:szCs w:val="44"/>
              </w:rPr>
              <w:t xml:space="preserve">INTERLEX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SEZ AND SPECIAL REGIMES IN KAZAKHSTAN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Client Brief — AIFC, PIT, SEZ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Zero CIT  ·  VAT Exemptions  ·  Simplified Visa Regime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AIFC (Astana International Financial Centre) — finance, IT, consulting; zero taxes until 2066.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PIT (Park of Innovative Technologies) — IT &amp; innovation; exempt from CIT and VAT.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ICDF and other SEZs — manufacturing, logistics, processing; tax and customs benefits.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regime has specific requirements for activity type and minimum investment.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completed: ___________________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20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InterLex manager: ___________________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Applicant Information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Company name / project name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Country of registration of the parent entity (if any)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Brief description of business and planned activity in Kazakhstan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Target Special Regime</w:t>
            </w:r>
          </w:p>
        </w:tc>
      </w:tr>
    </w:tbl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If unsure — describe your activity and budget; InterLex will select the right regime.</w:t>
      </w:r>
    </w:p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AIFC (Astana International Financial Centre)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PIT (Park of Innovative Technologies 'Alatau')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ICDF (International Centre of Trade and Finance)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SEZ 'Khorgos — Eastern Gates' (logistics, trade)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SEZ 'Astana — Technopolis' (manufacturing, R&amp;D)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SEZ 'Pavlodar', 'Karabatan', 'Sea Port Aktau' (industry)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a comparative analysis — have not decided yet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Business Activity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activity within the special regime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Does your activity match the SEZ profile?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(do you know whether your activity qualifies for the chosen zone?)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activity qualifies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sure — need eligibility check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please help select a suitable regime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Will the company work with Kazakhstan residents?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(or exclusively with foreign clients / partners?)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Investment and Project Scale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investment volume (approximate)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Under $100,000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$100,000 – $500,000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$500,000 – $5 million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Over $5 million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yet determined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number of jobs in Kazakhstan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1–5 employees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6–20 employees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21–50 employees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Over 50 employees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 of local employees (KZ residents) — approximate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office / production space on SEZ territory required?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registered address only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Tax Benefits and Goals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Which benefits are most important for your project?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Zero Corporate Income Tax (CIT)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Zero VAT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Customs duty exemption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Simplified labour law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Simplified visa regime for foreign employees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Foreign currency operations and international jurisdiction (AIFC)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there existing tax obligations you need to optimise?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Current Status and Additional Questions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 stage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Idea — need analysis from scratch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Company registered — need to transfer to SEZ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Already in SEZ — need compliance / benefits assistance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Desired timeline for obtaining SEZ resident status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Urgent (within 1 month)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1–3 months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3–6 months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rush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questions and comments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Contact Details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 / role: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/ WhatsApp: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time to call: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</w:tbl>
    <w:p>
      <w:pPr>
        <w:spacing w:after="320" w:before="0"/>
      </w:pPr>
    </w:p>
    <w:p>
      <w:pPr>
        <w:pBdr>
          <w:bottom w:val="single" w:color="B8962E" w:sz="4" w:space="1"/>
        </w:pBdr>
        <w:spacing w:after="80" w:before="0"/>
      </w:pP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Thank you for completing this brief!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Please send the completed document to hello@interlex.work or hand it directly to your InterLex manager.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 will get back to you within one business day to confirm your consultation.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p.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SEZ and Special Regimes — Kazakhstan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2026-04-25T14:13:59.183Z</dcterms:created>
  <dcterms:modified xsi:type="dcterms:W3CDTF">2026-04-25T14:13:59.183Z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