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2E"/>
                <w:sz w:val="44"/>
                <w:szCs w:val="44"/>
              </w:rPr>
              <w:t xml:space="preserve">INTERLEX</w:t>
            </w:r>
          </w:p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СЭЗ И СПЕЦИАЛЬНЫЕ РЕЖИМЫ КАЗАХСТАНА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0B4CC"/>
                <w:sz w:val="20"/>
                <w:szCs w:val="20"/>
              </w:rPr>
              <w:t xml:space="preserve">Бриф клиента — AIFC, ПИТ, МЦФФ, СЭЗ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B8962E"/>
                <w:sz w:val="20"/>
                <w:szCs w:val="20"/>
              </w:rPr>
              <w:t xml:space="preserve">Нулевой КПН · Льготный НДС · Упрощённый визовый режим</w:t>
            </w:r>
          </w:p>
        </w:tc>
      </w:tr>
    </w:tbl>
    <w:p>
      <w:pPr>
        <w:spacing w:after="1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C8D3E0" w:sz="1"/>
              <w:left w:val="single" w:color="B8962E" w:sz="8"/>
              <w:bottom w:val="single" w:color="C8D3E0" w:sz="1"/>
              <w:right w:val="none" w:color="FFFFFF" w:sz="0"/>
            </w:tcBorders>
            <w:shd w:fill="E8EDF4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AIFC (Astana International Financial Centre) — финансовые, IT, консалтинговые компании; нулевые налоги до 2066 г.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ПИТ (Парк инновационных технологий) — IT, инновации; освобождение от КПН и НДС.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МЦФФ и другие СЭЗ — производство, логистика, переработка; налоговые и таможенные льготы.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Каждый режим имеет свои требования к виду деятельности и минимальным инвестициям.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2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Дата заполнения: ___________________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20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InterLex: ___________________</w:t>
            </w:r>
          </w:p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Сведения о заявителе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Название компании / проекта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Страна регистрации материнской структуры (если есть)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1.3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Краткое описание бизнеса и планируемой деятельности в КЗ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Целевой специальный режим</w:t>
            </w:r>
          </w:p>
        </w:tc>
      </w:tr>
    </w:tbl>
    <w:p>
      <w:pPr>
        <w:spacing w:after="80" w:before="0"/>
      </w:pPr>
    </w:p>
    <w:p>
      <w:pPr>
        <w:spacing w:after="50" w:before="5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Если не уверены — опишите деятельность и бюджет; InterLex подберёт подходящий режим.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AIFC (Астана Интернэшнл Финансиал Сентр)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ПИТ (Парк инновационных технологий «Алатау»)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МЦФФ (Международный центр торговли и финансов)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СЭЗ «Хоргос — Восточные ворота» (логистика, торговля)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СЭЗ «Астана — Технополис» (производство, R&amp;D)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СЭЗ «Павлодар», «Карабатан», «Морпорт Актау» (промышленность)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Нужен сравнительный анализ — пока не выбрали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Вид деятельности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Основной вид деятельности в рамках специального режима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Соответствие деятельности профилю СЭЗ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(знаете ли вы, что ваша деятельность подпадает под требования выбранной зоны?)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 — деятельность соответствует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уверены — нужна проверка соответствия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— помогите подобрать подходящий режим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3.3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Планируется ли работа с резидентами Казахстана?</w:t>
            </w:r>
            <w:r>
              <w:rPr>
                <w:rFonts w:ascii="Arial" w:cs="Arial" w:eastAsia="Arial" w:hAnsi="Arial"/>
                <w:i/>
                <w:iCs/>
                <w:color w:val="6B7280"/>
                <w:sz w:val="17"/>
                <w:szCs w:val="17"/>
              </w:rPr>
              <w:t xml:space="preserve">  (или только с иностранными клиентами / партнёрами?)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Инвестиции и масштаб проекта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Объём планируемых инвестиций (ориентировочно)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До $100 000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$100 000 — $500 000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$500 000 — $5 млн</w:t>
            </w:r>
          </w:p>
        </w:tc>
      </w:tr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$5 млн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Пока не определено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Планируемое количество рабочих мест в Казахстане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1–5 сотрудников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6–20 сотрудников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21–50 сотрудников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Более 50 сотрудников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Доля местных сотрудников (резидентов КЗ) — ориентировочно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4.4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Требуется ли офис / производственные площади на территории СЭЗ?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Да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Нет — нужен юридический адрес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Пока не определились</w:t>
            </w:r>
          </w:p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Налоговые льготы и цели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Какие льготы наиболее важны для вашего проекта?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Нулевой КПН (корпоративный подоходный налог)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Нулевой НДС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Освобождение от таможенных пошлин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Упрощённое трудовое законодательство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Упрощённый визовый режим для иностранных сотрудников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Работа в иностранной валюте и международная юрисдикция (AIFC)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5.2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Есть ли у компании текущие налоговые обязательства, которые нужно оптимизировать?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Текущий статус и дополнительные вопросы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Стадия проекта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Идея — нужен анализ с нуля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Компания зарегистрирована — нужно перевести в СЭЗ</w:t>
            </w:r>
          </w:p>
        </w:tc>
      </w:tr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Уже в СЭЗ — нужна помощь с соответствием / льготами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6.2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Желаемые сроки получения статуса резидента СЭЗ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Срочно (до 1 месяца)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1–3 месяца</w:t>
            </w:r>
          </w:p>
        </w:tc>
      </w:tr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3–6 месяцев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☐  Не срочно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34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6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2D4F"/>
                <w:sz w:val="19"/>
                <w:szCs w:val="19"/>
              </w:rPr>
              <w:t xml:space="preserve">6.3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Дополнительные вопросы и комментарии</w:t>
            </w:r>
          </w:p>
        </w:tc>
      </w:tr>
    </w:tbl>
    <w:tbl>
      <w:tblPr>
        <w:tblpPr w:tblpX="560" w:horzAnchor="margin"/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left w:type="dxa" w:w="560"/>
        </w:tblCellMar>
      </w:tblPr>
      <w:tblGrid>
        <w:gridCol w:w="9346"/>
      </w:tblGrid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  <w:tr>
        <w:trPr>
          <w:trHeight w:val="340" w:hRule="exact"/>
        </w:trPr>
        <w:tc>
          <w:tcPr>
            <w:tcW w:type="dxa" w:w="934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shd w:fill="F3F6F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/>
        </w:tc>
      </w:tr>
    </w:tbl>
    <w:p>
      <w:pPr>
        <w:spacing w:after="2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D4F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Контактные данные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Фамилия и имя: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Должность / роль: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Телефон / WhatsApp: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E-mail: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Telegram: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Удобное время для звонка: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single" w:color="C8D3E0" w:sz="1"/>
              <w:right w:val="none" w:color="FFFFFF" w:sz="0"/>
            </w:tcBorders>
            <w:tcMar>
              <w:top w:type="dxa" w:w="50"/>
              <w:left w:type="dxa" w:w="110"/>
              <w:bottom w:type="dxa" w:w="50"/>
              <w:right w:type="dxa" w:w="0"/>
            </w:tcMar>
          </w:tcPr>
          <w:p/>
        </w:tc>
      </w:tr>
    </w:tbl>
    <w:p>
      <w:pPr>
        <w:spacing w:after="320" w:before="0"/>
      </w:pPr>
    </w:p>
    <w:p>
      <w:pPr>
        <w:pBdr>
          <w:bottom w:val="single" w:color="B8962E" w:sz="4" w:space="1"/>
        </w:pBdr>
        <w:spacing w:after="80" w:before="0"/>
      </w:pPr>
    </w:p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DF4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2D4F"/>
                <w:sz w:val="22"/>
                <w:szCs w:val="22"/>
              </w:rPr>
              <w:t xml:space="preserve">Спасибо за заполнение брифа!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F2937"/>
                <w:sz w:val="19"/>
                <w:szCs w:val="19"/>
              </w:rPr>
              <w:t xml:space="preserve">Отправьте заполненный документ: hello@interlex.work  или передайте менеджеру напрямую.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Мы свяжемся с вами в течение одного рабочего дня.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2" w:space="4"/>
      </w:pBdr>
      <w:spacing w:before="80"/>
      <w:jc w:val="center"/>
    </w:pPr>
    <w:r>
      <w:rPr>
        <w:rFonts w:ascii="Arial" w:cs="Arial" w:eastAsia="Arial" w:hAnsi="Arial"/>
        <w:color w:val="6B7280"/>
        <w:sz w:val="15"/>
        <w:szCs w:val="15"/>
      </w:rPr>
      <w:t xml:space="preserve">interlex.work  |  interlex.kz  |  interlex.ge  |  hello@interlex.work  |  +7 700 007 0021</w:t>
    </w:r>
    <w:r>
      <w:rPr>
        <w:rFonts w:ascii="Arial" w:cs="Arial" w:eastAsia="Arial" w:hAnsi="Arial"/>
        <w:color w:val="6B7280"/>
        <w:sz w:val="15"/>
        <w:szCs w:val="15"/>
      </w:rPr>
      <w:t xml:space="preserve">      стр. </w:t>
    </w:r>
    <w:r>
      <w:rPr>
        <w:rFonts w:ascii="Arial" w:cs="Arial" w:eastAsia="Arial" w:hAnsi="Arial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2E" w:sz="2" w:space="4"/>
      </w:pBdr>
      <w:spacing w:after="0"/>
      <w:jc w:val="right"/>
    </w:pPr>
    <w:r>
      <w:rPr>
        <w:rFonts w:ascii="Arial" w:cs="Arial" w:eastAsia="Arial" w:hAnsi="Arial"/>
        <w:color w:val="1B2D4F"/>
        <w:sz w:val="17"/>
        <w:szCs w:val="17"/>
      </w:rPr>
      <w:t xml:space="preserve">InterLex  |  СЭЗ и специальные режимы Казахстана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2026-04-25T14:04:10.808Z</dcterms:created>
  <dcterms:modified xsi:type="dcterms:W3CDTF">2026-04-25T14:04:10.808Z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