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1407FF" w14:textId="77777777" w:rsidR="009E2D51" w:rsidRDefault="009E2D51" w:rsidP="003E15AA">
      <w:pPr>
        <w:contextualSpacing/>
      </w:pPr>
    </w:p>
    <w:p w14:paraId="7B83A596" w14:textId="77777777" w:rsidR="009E2D51" w:rsidRDefault="00000000" w:rsidP="003E15AA">
      <w:pPr>
        <w:contextualSpacing/>
        <w:jc w:val="center"/>
      </w:pPr>
      <w:r>
        <w:rPr>
          <w:noProof/>
        </w:rPr>
        <w:drawing>
          <wp:inline distT="0" distB="0" distL="0" distR="0" wp14:anchorId="435F149B" wp14:editId="0CE268D9">
            <wp:extent cx="1171525" cy="14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1525" cy="1440000"/>
                    </a:xfrm>
                    <a:prstGeom prst="rect">
                      <a:avLst/>
                    </a:prstGeom>
                    <a:ln w="12700">
                      <a:solidFill>
                        <a:srgbClr val="000000"/>
                      </a:solidFill>
                    </a:ln>
                  </pic:spPr>
                </pic:pic>
              </a:graphicData>
            </a:graphic>
          </wp:inline>
        </w:drawing>
      </w:r>
    </w:p>
    <w:p w14:paraId="0474778A" w14:textId="77777777" w:rsidR="009E2D51" w:rsidRDefault="009E2D51" w:rsidP="003E15AA">
      <w:pPr>
        <w:contextualSpacing/>
      </w:pPr>
    </w:p>
    <w:p w14:paraId="031A88FB" w14:textId="77777777" w:rsidR="009E2D51" w:rsidRDefault="00000000" w:rsidP="003E15AA">
      <w:pPr>
        <w:contextualSpacing/>
        <w:jc w:val="center"/>
      </w:pPr>
      <w:r>
        <w:t xml:space="preserve">UNIVERSIDAD DEL </w:t>
      </w:r>
      <w:commentRangeStart w:id="0"/>
      <w:r>
        <w:t>ISTMO</w:t>
      </w:r>
      <w:commentRangeEnd w:id="0"/>
      <w:r>
        <w:rPr>
          <w:rStyle w:val="CommentReference"/>
          <w:sz w:val="24"/>
          <w:szCs w:val="24"/>
        </w:rPr>
        <w:commentReference w:id="0"/>
      </w:r>
    </w:p>
    <w:p w14:paraId="73AC5001" w14:textId="572D9AB1" w:rsidR="009E2D51" w:rsidRDefault="00000000" w:rsidP="003E15AA">
      <w:pPr>
        <w:contextualSpacing/>
        <w:jc w:val="center"/>
      </w:pPr>
      <w:r>
        <w:t>FACULTAD DE INGENIERÍA</w:t>
      </w:r>
    </w:p>
    <w:p w14:paraId="34862C87" w14:textId="77777777" w:rsidR="009E2D51" w:rsidRDefault="009E2D51" w:rsidP="003E15AA">
      <w:pPr>
        <w:contextualSpacing/>
      </w:pPr>
    </w:p>
    <w:p w14:paraId="1A66FBC1" w14:textId="77777777" w:rsidR="009E2D51" w:rsidRDefault="009E2D51" w:rsidP="003E15AA">
      <w:pPr>
        <w:contextualSpacing/>
      </w:pPr>
    </w:p>
    <w:p w14:paraId="2FDF2AA1" w14:textId="77777777" w:rsidR="001B18B0" w:rsidRDefault="001B18B0" w:rsidP="003E15AA">
      <w:pPr>
        <w:contextualSpacing/>
      </w:pPr>
    </w:p>
    <w:p w14:paraId="1FF9EE7D" w14:textId="77777777" w:rsidR="001B18B0" w:rsidRDefault="001B18B0" w:rsidP="003E15AA">
      <w:pPr>
        <w:contextualSpacing/>
      </w:pPr>
    </w:p>
    <w:p w14:paraId="54176098" w14:textId="77777777" w:rsidR="001B18B0" w:rsidRDefault="001B18B0" w:rsidP="003E15AA">
      <w:pPr>
        <w:contextualSpacing/>
      </w:pPr>
    </w:p>
    <w:p w14:paraId="2AB35C04" w14:textId="77777777" w:rsidR="001B18B0" w:rsidRDefault="001B18B0" w:rsidP="003E15AA">
      <w:pPr>
        <w:contextualSpacing/>
      </w:pPr>
    </w:p>
    <w:p w14:paraId="03815549" w14:textId="77777777" w:rsidR="001B18B0" w:rsidRDefault="001B18B0" w:rsidP="003E15AA">
      <w:pPr>
        <w:contextualSpacing/>
      </w:pPr>
    </w:p>
    <w:p w14:paraId="7BD4E43D" w14:textId="77777777" w:rsidR="009E2D51" w:rsidRDefault="009E2D51" w:rsidP="003E15AA">
      <w:pPr>
        <w:contextualSpacing/>
      </w:pPr>
    </w:p>
    <w:p w14:paraId="3F96C6E9" w14:textId="2181EFB8" w:rsidR="009E2D51" w:rsidRDefault="00000000" w:rsidP="003E15AA">
      <w:pPr>
        <w:contextualSpacing/>
        <w:jc w:val="center"/>
      </w:pPr>
      <w:r>
        <w:t>ANTEPROYECTO</w:t>
      </w:r>
    </w:p>
    <w:p w14:paraId="1659A706" w14:textId="77777777" w:rsidR="009E2D51" w:rsidRDefault="00000000" w:rsidP="003E15AA">
      <w:pPr>
        <w:contextualSpacing/>
        <w:jc w:val="center"/>
      </w:pPr>
      <w:r>
        <w:t>AUDITORÍA AUTOMATIZADA DE VULNERABILIDADES OWASP EN DJANGO REST CON RAG</w:t>
      </w:r>
    </w:p>
    <w:p w14:paraId="08694482" w14:textId="77777777" w:rsidR="009E2D51" w:rsidRDefault="009E2D51" w:rsidP="003E15AA">
      <w:pPr>
        <w:contextualSpacing/>
      </w:pPr>
    </w:p>
    <w:p w14:paraId="4975F2F6" w14:textId="77777777" w:rsidR="009E2D51" w:rsidRDefault="009E2D51" w:rsidP="003E15AA">
      <w:pPr>
        <w:contextualSpacing/>
      </w:pPr>
    </w:p>
    <w:p w14:paraId="4CF6A900" w14:textId="77777777" w:rsidR="009E2D51" w:rsidRDefault="009E2D51" w:rsidP="003E15AA">
      <w:pPr>
        <w:contextualSpacing/>
      </w:pPr>
    </w:p>
    <w:p w14:paraId="6DF4138E" w14:textId="77777777" w:rsidR="001B18B0" w:rsidRDefault="001B18B0" w:rsidP="003E15AA">
      <w:pPr>
        <w:contextualSpacing/>
      </w:pPr>
    </w:p>
    <w:p w14:paraId="3F2F2003" w14:textId="77777777" w:rsidR="001B18B0" w:rsidRDefault="001B18B0" w:rsidP="003E15AA">
      <w:pPr>
        <w:contextualSpacing/>
      </w:pPr>
    </w:p>
    <w:p w14:paraId="65B14D0A" w14:textId="77777777" w:rsidR="001B18B0" w:rsidRDefault="001B18B0" w:rsidP="003E15AA">
      <w:pPr>
        <w:contextualSpacing/>
      </w:pPr>
    </w:p>
    <w:p w14:paraId="5BC901C1" w14:textId="017F05FD" w:rsidR="009E2D51" w:rsidRDefault="00000000" w:rsidP="003E15AA">
      <w:pPr>
        <w:contextualSpacing/>
        <w:jc w:val="center"/>
      </w:pPr>
      <w:r>
        <w:t>DIDVIN NOHEL ESTRADA PINEDA</w:t>
      </w:r>
    </w:p>
    <w:p w14:paraId="4026CDAA" w14:textId="77777777" w:rsidR="003E15AA" w:rsidRDefault="003E15AA" w:rsidP="003E15AA">
      <w:pPr>
        <w:contextualSpacing/>
        <w:jc w:val="center"/>
      </w:pPr>
    </w:p>
    <w:p w14:paraId="495539BB" w14:textId="0B29080F" w:rsidR="009E2D51" w:rsidRDefault="00000000" w:rsidP="003E15AA">
      <w:pPr>
        <w:contextualSpacing/>
        <w:jc w:val="center"/>
      </w:pPr>
      <w:r>
        <w:t xml:space="preserve">Guatemala, </w:t>
      </w:r>
      <w:commentRangeStart w:id="1"/>
      <w:r>
        <w:t>29 de julio</w:t>
      </w:r>
      <w:commentRangeEnd w:id="1"/>
      <w:r>
        <w:rPr>
          <w:rStyle w:val="CommentReference"/>
          <w:sz w:val="24"/>
          <w:szCs w:val="24"/>
        </w:rPr>
        <w:commentReference w:id="1"/>
      </w:r>
      <w:r>
        <w:t xml:space="preserve"> de 2026</w:t>
      </w:r>
    </w:p>
    <w:p w14:paraId="659494FF" w14:textId="77777777" w:rsidR="009E2D51" w:rsidRDefault="009E2D51" w:rsidP="003E15AA">
      <w:pPr>
        <w:contextualSpacing/>
        <w:sectPr w:rsidR="009E2D51">
          <w:pgSz w:w="12240" w:h="15840"/>
          <w:pgMar w:top="1418" w:right="1418" w:bottom="1418" w:left="1985" w:header="708" w:footer="708" w:gutter="0"/>
          <w:cols w:space="720"/>
          <w:docGrid w:linePitch="360"/>
        </w:sectPr>
      </w:pPr>
    </w:p>
    <w:p w14:paraId="1024E137" w14:textId="77777777" w:rsidR="009E2D51" w:rsidRDefault="00000000" w:rsidP="003E15AA">
      <w:pPr>
        <w:contextualSpacing/>
        <w:jc w:val="center"/>
      </w:pPr>
      <w:r>
        <w:rPr>
          <w:b/>
          <w:bCs/>
        </w:rPr>
        <w:lastRenderedPageBreak/>
        <w:t>INTRODUCCIÓN</w:t>
      </w:r>
    </w:p>
    <w:p w14:paraId="190D7CE0" w14:textId="77777777" w:rsidR="003E15AA" w:rsidRDefault="003E15AA" w:rsidP="003E15AA">
      <w:pPr>
        <w:contextualSpacing/>
      </w:pPr>
    </w:p>
    <w:p w14:paraId="71E0C801" w14:textId="270A9DC1" w:rsidR="009E2D51" w:rsidRDefault="003E15AA" w:rsidP="003E15AA">
      <w:pPr>
        <w:contextualSpacing/>
      </w:pPr>
      <w:r>
        <w:t xml:space="preserve">     </w:t>
      </w:r>
      <w:commentRangeStart w:id="2"/>
      <w:r>
        <w:t>El</w:t>
      </w:r>
      <w:commentRangeEnd w:id="2"/>
      <w:r>
        <w:rPr>
          <w:rStyle w:val="CommentReference"/>
          <w:sz w:val="24"/>
          <w:szCs w:val="24"/>
        </w:rPr>
        <w:commentReference w:id="2"/>
      </w:r>
      <w:r>
        <w:t xml:space="preserve"> crecimiento exponencial de las interfaces de programación de aplicaciones de tipo transferencia de estado representacional (</w:t>
      </w:r>
      <w:r>
        <w:rPr>
          <w:i/>
          <w:iCs/>
        </w:rPr>
        <w:t>REST</w:t>
      </w:r>
      <w:r>
        <w:t xml:space="preserve">) ha transformado la arquitectura de los sistemas de información modernos. Investigaciones recientes evidencian que las interfaces de programación de aplicaciones REST se han convertido en el principal vector de ataque en los ecosistemas digitales modernos: Atlidakis et al. (2019) demostraron la presencia sistemática de vulnerabilidades explotables en API REST de producción mediante pruebas automatizadas, y Zhou et al. (2019) identificaron que los patrones de vulnerabilidad en aplicaciones Python son estructuralmente recurrentes y detectables. En este contexto, Django REST </w:t>
      </w:r>
      <w:r>
        <w:rPr>
          <w:i/>
          <w:iCs/>
        </w:rPr>
        <w:t>Framework</w:t>
      </w:r>
      <w:r>
        <w:t xml:space="preserve"> —la biblioteca de desarrollo de </w:t>
      </w:r>
      <w:r>
        <w:rPr>
          <w:i/>
          <w:iCs/>
        </w:rPr>
        <w:t>software</w:t>
      </w:r>
      <w:r>
        <w:t xml:space="preserve"> de Python más utilizada para la construcción de interfaces de programación de aplicaciones— acumula más de un millón de descargas mensuales en el repositorio PyPI, lo que refleja su prevalencia en entornos de producción a nivel mundial.</w:t>
      </w:r>
    </w:p>
    <w:p w14:paraId="5765C413" w14:textId="77777777" w:rsidR="009E2D51" w:rsidRDefault="00000000" w:rsidP="003E15AA">
      <w:pPr>
        <w:contextualSpacing/>
      </w:pPr>
      <w:r>
        <w:t xml:space="preserve">     A pesar de esta adopción masiva, las herramientas de análisis de seguridad de uso general disponibles en la actualidad —entre ellas Bandit, Semgrep y OWASP ZAP— no comprenden los patrones internos de Django REST </w:t>
      </w:r>
      <w:r>
        <w:rPr>
          <w:i/>
          <w:iCs/>
        </w:rPr>
        <w:t>Framework</w:t>
      </w:r>
      <w:r>
        <w:t>.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14:paraId="761FF486" w14:textId="77777777" w:rsidR="009E2D51" w:rsidRDefault="00000000" w:rsidP="003E15AA">
      <w:pPr>
        <w:contextualSpacing/>
      </w:pPr>
      <w:r>
        <w:t xml:space="preserve">     El objetivo general del presente trabajo consiste en desarrollar una herramienta de interfaz de línea de comandos (</w:t>
      </w:r>
      <w:r>
        <w:rPr>
          <w:i/>
          <w:iCs/>
        </w:rPr>
        <w:t>CLI</w:t>
      </w:r>
      <w:r>
        <w:t xml:space="preserve">) que automatice la auditoría de seguridad de interfaces de programación de aplicaciones desarrolladas con Django REST </w:t>
      </w:r>
      <w:r>
        <w:rPr>
          <w:i/>
          <w:iCs/>
        </w:rPr>
        <w:t>Framework</w:t>
      </w:r>
      <w: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 La justificación de este trabajo radica en la necesidad de reducir el tiempo entre la introducción de una vulnerabilidad y su detección, sin depender de servicios externos ni de </w:t>
        <w:lastRenderedPageBreak/>
        <w:t>conectividad a la red, lo que lo hace viable en entornos restringidos y con código fuente propietario.</w:t>
      </w:r>
    </w:p>
    <w:p w14:paraId="42F4C0E6" w14:textId="77777777" w:rsidR="009E2D51" w:rsidRDefault="00000000" w:rsidP="003E15AA">
      <w:pPr>
        <w:contextualSpacing/>
      </w:pPr>
      <w:r>
        <w:t xml:space="preserve">     El método adoptado combina análisis estático de código fuente —mediante inspección de Árboles de Sintaxis Abstracta con el módulo estándar </w:t>
      </w:r>
      <w:r>
        <w:rPr>
          <w:i/>
          <w:iCs/>
        </w:rPr>
        <w:t>ast</w:t>
      </w:r>
      <w:r>
        <w:t xml:space="preserve"> de Python— con análisis dinámico mediante sondas HTTP que interactúan con una instancia en ejecución del proyecto auditado. Las recomendaciones de remediación se generan a través de un </w:t>
      </w:r>
      <w:r>
        <w:rPr>
          <w:i/>
          <w:iCs/>
        </w:rPr>
        <w:t>pipeline</w:t>
      </w:r>
      <w:r>
        <w:t xml:space="preserve"> de Generación Aumentada por Recuperación que consulta una base de conocimiento local indexada en ChromaDB y utiliza el modelo Mistral 7B ejecutado mediante Ollama. La herramienta es evaluada con métricas de precisión y </w:t>
      </w:r>
      <w:r>
        <w:rPr>
          <w:i/>
          <w:iCs/>
        </w:rPr>
        <w:t>recall</w:t>
      </w:r>
      <w:r>
        <w:t xml:space="preserve"> en un entorno controlado y en tres proyectos externos de código abierto.</w:t>
      </w:r>
    </w:p>
    <w:p w14:paraId="0684D2A0" w14:textId="77777777" w:rsidR="009E2D51" w:rsidRDefault="00000000" w:rsidP="003E15AA">
      <w:pPr>
        <w:contextualSpacing/>
      </w:pPr>
      <w:r>
        <w:t xml:space="preserve">     La motivación personal del autor surge de la observación directa, durante el ejercicio profesional en el ecosistema de desarrollo Python en Guatemala, de vulnerabilidades recurrentes en interfaces de programación de aplicaciones construidas con Django REST </w:t>
      </w:r>
      <w:r>
        <w:rPr>
          <w:i/>
          <w:iCs/>
        </w:rPr>
        <w:t>Framework</w:t>
      </w:r>
      <w:r>
        <w:t xml:space="preserve">: serializadores con </w:t>
      </w:r>
      <w:r>
        <w:rPr>
          <w:i/>
          <w:iCs/>
        </w:rPr>
        <w:t>fields = '__all__'</w:t>
      </w:r>
      <w:r>
        <w:t xml:space="preserve"> que exponen campos de contraseña en las respuestas JSON, vistas sin </w:t>
      </w:r>
      <w:r>
        <w:rPr>
          <w:i/>
          <w:iCs/>
        </w:rPr>
        <w:t>permission_classes</w:t>
      </w:r>
      <w:r>
        <w:t xml:space="preserve"> que permiten acceso sin autenticación, y configuraciones </w:t>
      </w:r>
      <w:r>
        <w:rPr>
          <w:i/>
          <w:iCs/>
        </w:rPr>
        <w:t>DEBUG = True</w:t>
      </w:r>
      <w: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14:paraId="3090EDB6" w14:textId="77777777" w:rsidR="009E2D51" w:rsidRDefault="00000000" w:rsidP="003E15AA">
      <w:pPr>
        <w:contextualSpacing/>
      </w:pPr>
      <w:r>
        <w:br w:type="page"/>
      </w:r>
    </w:p>
    <w:p w14:paraId="42FC31B0" w14:textId="77777777" w:rsidR="009E2D51" w:rsidRDefault="00000000" w:rsidP="003E15AA">
      <w:pPr>
        <w:contextualSpacing/>
        <w:jc w:val="center"/>
      </w:pPr>
      <w:r>
        <w:rPr>
          <w:b/>
          <w:bCs/>
        </w:rPr>
        <w:lastRenderedPageBreak/>
        <w:t>1. MARCO DE REFERENCIA</w:t>
      </w:r>
    </w:p>
    <w:p w14:paraId="0471D4E0" w14:textId="77777777" w:rsidR="003E15AA" w:rsidRDefault="003E15AA" w:rsidP="003E15AA">
      <w:pPr>
        <w:contextualSpacing/>
        <w:jc w:val="left"/>
        <w:rPr>
          <w:b/>
          <w:bCs/>
        </w:rPr>
      </w:pPr>
    </w:p>
    <w:p w14:paraId="600B0D38" w14:textId="6CE0BAF9" w:rsidR="009E2D51" w:rsidRDefault="00000000" w:rsidP="003E15AA">
      <w:pPr>
        <w:contextualSpacing/>
        <w:jc w:val="left"/>
      </w:pPr>
      <w:r>
        <w:rPr>
          <w:b/>
          <w:bCs/>
        </w:rPr>
        <w:t>1.1 ANTECEDENTES</w:t>
      </w:r>
    </w:p>
    <w:p w14:paraId="230706D8" w14:textId="77777777" w:rsidR="009E2D51" w:rsidRDefault="00000000" w:rsidP="003E15AA">
      <w:pPr>
        <w:contextualSpacing/>
      </w:pPr>
      <w:r>
        <w:t xml:space="preserve">     Las interfaces de programación de aplicaciones han experimentado un proceso de estandarización que comenzó con la adopción generalizada del estilo arquitectónico REST, definido formalmente por Roy Fielding en su disertación doctoral del año 2000. </w:t>
      </w:r>
      <w:r>
        <w:rPr>
          <w:i/>
          <w:iCs/>
        </w:rPr>
        <w:t>Representational State Transfer</w:t>
      </w:r>
      <w: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FootnoteReference"/>
        </w:rPr>
        <w:footnoteReference w:id="1"/>
      </w:r>
    </w:p>
    <w:p w14:paraId="5F9E5CB7" w14:textId="77777777" w:rsidR="009E2D51" w:rsidRDefault="00000000" w:rsidP="003E15AA">
      <w:pPr>
        <w:contextualSpacing/>
      </w:pPr>
      <w:r>
        <w:t xml:space="preserve">     La preocupación por la seguridad de las interfaces de programación de aplicaciones se formalizó con la fundación de OWASP (Open Worldwide Application Security Project) en 2001, organización sin fines de lucro dedicada a mejorar la seguridad del </w:t>
      </w:r>
      <w:r>
        <w:rPr>
          <w:i/>
          <w:iCs/>
        </w:rPr>
        <w:t>software</w:t>
      </w:r>
      <w:r>
        <w:t>.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FootnoteReference"/>
        </w:rPr>
        <w:footnoteReference w:id="2"/>
      </w:r>
    </w:p>
    <w:p w14:paraId="5957C6EC" w14:textId="77777777" w:rsidR="009E2D51" w:rsidRDefault="00000000" w:rsidP="003E15AA">
      <w:pPr>
        <w:contextualSpacing/>
      </w:pPr>
      <w:r>
        <w:t xml:space="preserve">     En el campo del análisis estático de </w:t>
      </w:r>
      <w:r>
        <w:rPr>
          <w:i/>
          <w:iCs/>
        </w:rPr>
        <w:t>software</w:t>
      </w:r>
      <w: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i/>
          <w:iCs/>
        </w:rPr>
        <w:t>Framework</w:t>
      </w:r>
      <w:r>
        <w:t xml:space="preserve"> ni de las categorías del OWASP API Security Top 10. En forma paralela, Semgrep surgió como motor de análisis estático de patrones multi-lenguaje; su conjunto de reglas </w:t>
      </w:r>
      <w:r>
        <w:rPr>
          <w:i/>
          <w:iCs/>
        </w:rPr>
        <w:t>p/django</w:t>
      </w:r>
      <w:r>
        <w:t xml:space="preserve"> cubre inyección SQL y protección CSRF, sin abordar los patrones de autenticación y autorización internos de Django REST </w:t>
      </w:r>
      <w:r>
        <w:rPr>
          <w:i/>
          <w:iCs/>
        </w:rPr>
        <w:t>Framework</w:t>
      </w:r>
      <w:r>
        <w:t xml:space="preserve">. Chess y McGraw (2004) establecieron que el análisis </w:t>
        <w:lastRenderedPageBreak/>
        <w:t>estático permite detectar clases de problemas estructurales que escapan a la revisión manual de código.</w:t>
      </w:r>
      <w:r>
        <w:rPr>
          <w:rStyle w:val="FootnoteReference"/>
        </w:rPr>
        <w:footnoteReference w:id="3"/>
      </w:r>
    </w:p>
    <w:p w14:paraId="177741E6" w14:textId="77777777" w:rsidR="009E2D51" w:rsidRDefault="00000000" w:rsidP="003E15AA">
      <w:pPr>
        <w:contextualSpacing/>
      </w:pPr>
      <w:r>
        <w:t xml:space="preserve">     Los primeros trabajos que vinculan modelos de lenguaje de gran escala con la seguridad del </w:t>
      </w:r>
      <w:r>
        <w:rPr>
          <w:i/>
          <w:iCs/>
        </w:rPr>
        <w:t>software</w:t>
      </w:r>
      <w:r>
        <w:t xml:space="preserve"> datan del período 2021-2023. Pearce et al. (2023)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i/>
          <w:iCs/>
        </w:rPr>
        <w:t>pipeline</w:t>
      </w:r>
      <w:r>
        <w:t xml:space="preserve"> de Generación Aumentada por Recuperación en la arquitectura del presente trabajo.</w:t>
      </w:r>
      <w:r>
        <w:rPr>
          <w:rStyle w:val="FootnoteReference"/>
        </w:rPr>
        <w:footnoteReference w:id="4"/>
      </w:r>
    </w:p>
    <w:p w14:paraId="5527D930" w14:textId="77777777" w:rsidR="009E2D51" w:rsidRDefault="00000000" w:rsidP="003E15AA">
      <w:pPr>
        <w:contextualSpacing/>
      </w:pPr>
      <w:r>
        <w:t xml:space="preserve">     El paradigma de Generación Aumentada por Recuperación fue formalizado por Lewis et al. (2020)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FootnoteReference"/>
        </w:rPr>
        <w:footnoteReference w:id="5"/>
      </w:r>
    </w:p>
    <w:p w14:paraId="74C3EEF6" w14:textId="77777777" w:rsidR="009E2D51" w:rsidRDefault="00000000" w:rsidP="003E15AA">
      <w:pPr>
        <w:contextualSpacing/>
      </w:pPr>
      <w:r>
        <w:t xml:space="preserve">     La relevancia de Reimers y Gurevych (2019)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i/>
          <w:iCs/>
        </w:rPr>
        <w:t>all-MiniLM-L6-v2</w:t>
      </w:r>
      <w:r>
        <w:t xml:space="preserve"> —derivado de la arquitectura Sentence-BERT— puede procesar cientos de fragmentos de texto por segundo en CPU, eliminando la necesidad de hardware especializado para la fase de indexación y recuperación del </w:t>
      </w:r>
      <w:r>
        <w:rPr>
          <w:i/>
          <w:iCs/>
        </w:rPr>
        <w:t>pipeline</w:t>
      </w:r>
      <w:r>
        <w:t xml:space="preserve"> RAG. Esta característica es indispensable para el objetivo de operación completamente local de la herramienta.</w:t>
      </w:r>
      <w:r>
        <w:rPr>
          <w:rStyle w:val="FootnoteReference"/>
        </w:rPr>
        <w:footnoteReference w:id="6"/>
      </w:r>
    </w:p>
    <w:p w14:paraId="1BB33C1F" w14:textId="77777777" w:rsidR="009E2D51" w:rsidRDefault="00000000" w:rsidP="003E15AA">
      <w:pPr>
        <w:contextualSpacing/>
      </w:pPr>
      <w:r>
        <w:t xml:space="preserve">     Un antecedente de especial relevancia en el ámbito de la cuantización de modelos de lenguaje es el trabajo de Jiang et al. (2023) que introdujo el modelo Mistral 7B.</w:t>
      </w:r>
      <w:r>
        <w:rPr>
          <w:rStyle w:val="FootnoteReference"/>
        </w:rPr>
        <w:footnoteReference w:id="7"/>
      </w:r>
    </w:p>
    <w:p>
      <w:pPr>
        <w:contextualSpacing/>
      </w:pPr>
      <w:r>
        <w:t xml:space="preserve">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w:t>
      </w:r>
      <w:r>
        <w:rPr>
          <w:rStyle w:val="FootnoteReference"/>
        </w:rPr>
        <w:footnoteReference w:id="8"/>
      </w:r>
      <w:r>
        <w:t xml:space="preserve"> En su variante cuantizada Q4_K_M, Mistral 7B requiere aproximadamente cuatro gigabytes de memoria RAM para su ejecución, lo que lo hace compatible con el </w:t>
      </w:r>
      <w:r>
        <w:rPr>
          <w:i/>
          <w:iCs/>
        </w:rPr>
        <w:t>hardware</w:t>
      </w:r>
      <w:r>
        <w:t xml:space="preserve"> disponible en estaciones de trabajo de desarrollo típicas. La herramienta Ollama facilita la gestión de modelos cuantizados mediante una interfaz REST local, eliminando la complejidad de la configuración directa del </w:t>
      </w:r>
      <w:r>
        <w:rPr>
          <w:i/>
          <w:iCs/>
        </w:rPr>
        <w:t>runtime</w:t>
      </w:r>
      <w:r>
        <w:t xml:space="preserve"> de inferencia y permitiendo que la herramienta de auditoría interactúe con el modelo mediante llamadas HTTP estándar</w:t>
      </w:r>
      <w:commentRangeStart w:id="4"/>
      <w:r>
        <w:t>.</w:t>
      </w:r>
      <w:commentRangeEnd w:id="4"/>
      <w:r>
        <w:rPr>
          <w:rStyle w:val="CommentReference"/>
          <w:sz w:val="24"/>
          <w:szCs w:val="24"/>
        </w:rPr>
        <w:commentReference w:id="4"/>
      </w:r>
    </w:p>
    <w:p w14:paraId="46162231" w14:textId="77777777" w:rsidR="009E2D51" w:rsidRDefault="00000000" w:rsidP="003E15AA">
      <w:pPr>
        <w:contextualSpacing/>
      </w:pPr>
      <w:r>
        <w:t xml:space="preserve">     En el contexto centroamericano, la literatura sobre herramientas de seguridad para el desarrollo de software adaptadas a entornos con recursos limitados es escasa. La mayoría de los estudios sobre análisis de vulnerabilidades en </w:t>
      </w:r>
      <w:r>
        <w:rPr>
          <w:i/>
          <w:iCs/>
        </w:rPr>
        <w:t>frameworks web</w:t>
      </w:r>
      <w:r>
        <w:t xml:space="preserve">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14:paraId="0E140C8F" w14:textId="77777777" w:rsidR="003E15AA" w:rsidRDefault="003E15AA" w:rsidP="003E15AA">
      <w:pPr>
        <w:contextualSpacing/>
        <w:jc w:val="left"/>
        <w:rPr>
          <w:b/>
          <w:bCs/>
        </w:rPr>
      </w:pPr>
    </w:p>
    <w:p w14:paraId="5A2A7CBA" w14:textId="1E0056F1" w:rsidR="009E2D51" w:rsidRDefault="00000000" w:rsidP="003E15AA">
      <w:pPr>
        <w:contextualSpacing/>
        <w:jc w:val="left"/>
      </w:pPr>
      <w:r>
        <w:rPr>
          <w:b/>
          <w:bCs/>
        </w:rPr>
        <w:t>1.2 SITUACIÓN ACTUAL</w:t>
      </w:r>
    </w:p>
    <w:p w14:paraId="2AFFDDFD" w14:textId="77777777" w:rsidR="009E2D51" w:rsidRDefault="00000000" w:rsidP="003E15AA">
      <w:pPr>
        <w:contextualSpacing/>
      </w:pPr>
      <w:r>
        <w:t xml:space="preserve">     Django REST </w:t>
      </w:r>
      <w:r>
        <w:rPr>
          <w:i/>
          <w:iCs/>
        </w:rPr>
        <w:t>Framework</w:t>
      </w:r>
      <w: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w:t>
        <w:lastRenderedPageBreak/>
        <w:t>medios digitales y servicios financieros. Su popularidad implica que los patrones de configuración inseguros que esta biblioteca permite —y que no son detectados por las herramientas existentes— tienen un impacto potencial de alcance masivo.</w:t>
      </w:r>
    </w:p>
    <w:p w14:paraId="34F3F466" w14:textId="77777777" w:rsidR="009E2D51" w:rsidRPr="00B5669C" w:rsidRDefault="00000000" w:rsidP="003E15AA">
      <w:pPr>
        <w:contextualSpacing/>
        <w:rPr>
          <w:color w:val="EE0000"/>
        </w:rPr>
      </w:pPr>
      <w:r>
        <w:t xml:space="preserve">     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i/>
          <w:iCs/>
        </w:rPr>
        <w:t>p/django</w:t>
      </w:r>
      <w:r>
        <w:t xml:space="preserve"> de Semgrep no produjo ningún hallazgo relevante. OWASP ZAP, por operar exclusivamente a nivel HTTP sin acceso al código fuente, tampoco detectó los patrones de configuración internos de Django REST </w:t>
      </w:r>
      <w:r>
        <w:rPr>
          <w:i/>
          <w:iCs/>
        </w:rPr>
        <w:t>Framework</w:t>
      </w:r>
      <w:r>
        <w:t>. Viglianisi et al. (2020)</w:t>
      </w:r>
      <w:r>
        <w:rPr>
          <w:rStyle w:val="FootnoteReference"/>
        </w:rPr>
        <w:footnoteReference w:id="9"/>
      </w:r>
    </w:p>
    <w:p>
      <w:pPr>
        <w:contextualSpacing/>
        <w:rPr>
          <w:color w:val="EE0000"/>
        </w:rPr>
      </w:pPr>
      <w:r>
        <w:t xml:space="preserve">     y Atlidakis et al. (2019)</w:t>
      </w:r>
      <w:r>
        <w:rPr>
          <w:rStyle w:val="FootnoteReference"/>
        </w:rPr>
        <w:footnoteReference w:id="10"/>
      </w:r>
      <w:r>
        <w:t xml:space="preserve"> confirmaron limitaciones equivalentes en herramientas de pruebas de caja negra para API REST, que tampoco inspeccionan el código fuente</w:t>
      </w:r>
      <w:r>
        <w:rPr/>
        <w:t>.</w:t>
      </w:r>
    </w:p>
    <w:p w14:paraId="0DF3BD75" w14:textId="77777777" w:rsidR="009E2D51" w:rsidRDefault="00000000" w:rsidP="003E15AA">
      <w:pPr>
        <w:contextualSpacing/>
      </w:pPr>
      <w:r>
        <w:t xml:space="preserve">     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i/>
          <w:iCs/>
        </w:rPr>
        <w:t>token</w:t>
      </w:r>
      <w:r>
        <w:t>, transmisión de código fuente propietario hacia servidores externos, e incompatibilidad con entornos sin acceso a internet o con regulaciones estrictas de privacidad de datos.</w:t>
      </w:r>
      <w:r>
        <w:rPr>
          <w:rStyle w:val="FootnoteReference"/>
        </w:rPr>
        <w:footnoteReference w:id="11"/>
      </w:r>
    </w:p>
    <w:p w14:paraId="5AB7E128" w14:textId="77777777" w:rsidR="009E2D51" w:rsidRDefault="00000000" w:rsidP="003E15AA">
      <w:pPr>
        <w:contextualSpacing/>
      </w:pPr>
      <w:r>
        <w:t xml:space="preserve">     La regulación de privacidad de datos en América Latina ha evolucionado significativamente en los últimos años. Guatemala cuenta con la Ley de Acceso a la Información Pública (Decreto 57-2008), y múltiples países de la región han adoptado </w:t>
        <w:lastRenderedPageBreak/>
        <w:t>regulaciones análogas al Reglamento General de Protección de Datos (GDPR) europeo. Estas regulaciones imponen restricciones sobre la transmisión de datos personales a servidores 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14:paraId="5B45A973" w14:textId="77777777" w:rsidR="009E2D51" w:rsidRDefault="00000000" w:rsidP="003E15AA">
      <w:pPr>
        <w:contextualSpacing/>
      </w:pPr>
      <w:r>
        <w:t xml:space="preserve">     La convergencia de estas limitaciones —ausencia de herramientas de análisis especializadas para Django REST </w:t>
      </w:r>
      <w:r>
        <w:rPr>
          <w:i/>
          <w:iCs/>
        </w:rPr>
        <w:t>Framework</w:t>
      </w:r>
      <w: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i/>
          <w:iCs/>
        </w:rPr>
        <w:t>Framework</w:t>
      </w:r>
      <w:r>
        <w:t xml:space="preserve"> para construir sistemas críticos.</w:t>
      </w:r>
    </w:p>
    <w:p w14:paraId="1A828C87" w14:textId="77777777" w:rsidR="009E2D51" w:rsidRPr="00B5669C" w:rsidRDefault="00000000" w:rsidP="003E15AA">
      <w:pPr>
        <w:contextualSpacing/>
        <w:rPr>
          <w:color w:val="EE0000"/>
        </w:rPr>
      </w:pPr>
      <w:r>
        <w:t xml:space="preserve">     En términos de madurez tecnológica, la disponibilidad de herramientas como Ollama y ChromaDB en versiones estables representa una ventana de oportunidad para implementar sistemas RAG locales en entornos de producción.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i/>
          <w:iCs/>
        </w:rPr>
        <w:t>transformer</w:t>
      </w:r>
      <w:r>
        <w:t xml:space="preserve"> optimizadas para CPU (Mistral 7B)</w:t>
      </w:r>
      <w:r>
        <w:rPr>
          <w:rStyle w:val="FootnoteReference"/>
        </w:rPr>
        <w:footnoteReference w:id="12"/>
      </w:r>
    </w:p>
    <w:p>
      <w:pPr>
        <w:contextualSpacing/>
        <w:rPr>
          <w:color w:val="EE0000"/>
        </w:rPr>
      </w:pPr>
      <w:r>
        <w:t xml:space="preserve">     y bases de datos vectoriales embebibles (ChromaDB)</w:t>
      </w:r>
      <w:r>
        <w:rPr>
          <w:rStyle w:val="FootnoteReference"/>
        </w:rPr>
        <w:footnoteReference w:id="13"/>
      </w:r>
      <w:r>
        <w:t xml:space="preserve"> ha reducido los requisitos de </w:t>
      </w:r>
      <w:r>
        <w:rPr>
          <w:i/>
          <w:iCs/>
        </w:rPr>
        <w:t>hardware</w:t>
      </w:r>
      <w:r>
        <w:t xml:space="preserve"> a niveles accesibles para estaciones de trabajo de desarrollo estándar, habilitando la categoría de herramientas de análisis de seguridad aumentadas por inteligencia artificial que el presente trabajo explora</w:t>
      </w:r>
      <w:r>
        <w:rPr/>
        <w:t>.</w:t>
      </w:r>
    </w:p>
    <w:p w14:paraId="54D1DDFA" w14:textId="77777777" w:rsidR="003E15AA" w:rsidRDefault="003E15AA" w:rsidP="003E15AA">
      <w:pPr>
        <w:contextualSpacing/>
        <w:jc w:val="left"/>
        <w:rPr>
          <w:b/>
          <w:bCs/>
        </w:rPr>
      </w:pPr>
    </w:p>
    <w:p w14:paraId="1D55D22A" w14:textId="3232757C" w:rsidR="009E2D51" w:rsidRDefault="00000000" w:rsidP="003E15AA">
      <w:pPr>
        <w:contextualSpacing/>
        <w:jc w:val="left"/>
      </w:pPr>
      <w:r>
        <w:rPr>
          <w:b/>
          <w:bCs/>
        </w:rPr>
        <w:lastRenderedPageBreak/>
        <w:t>1.3 MARCO TEÓRICO</w:t>
      </w:r>
    </w:p>
    <w:p>
      <w:pPr>
        <w:contextualSpacing/>
      </w:pPr>
      <w:r>
        <w:rPr/>
        <w:t xml:space="preserve">     La Figura No. 1 presenta la arquitectura general del sistema de auditoría propuesto, compuesta por cinco módulos que operan en secuencia: el analizador estático, el analizador dinámico, la base de conocimiento RAG, el pipeline de generación con el modelo de lenguaje y el generador de reportes.</w:t>
      </w:r>
    </w:p>
    <w:p w14:paraId="006C54CD" w14:textId="77777777" w:rsidR="009E2D51" w:rsidRDefault="00000000" w:rsidP="003E15AA">
      <w:pPr>
        <w:contextualSpacing/>
        <w:jc w:val="center"/>
      </w:pPr>
      <w:commentRangeStart w:id="5"/>
      <w:r>
        <w:rPr/>
        <w:t>Figura No. 1</w:t>
      </w:r>
      <w:commentRangeEnd w:id="5"/>
      <w:r>
        <w:rPr>
          <w:rStyle w:val="CommentReference"/>
          <w:sz w:val="24"/>
          <w:szCs w:val="24"/>
        </w:rPr>
        <w:commentReference w:id="5"/>
      </w:r>
    </w:p>
    <w:p w14:paraId="56FDF125" w14:textId="77777777" w:rsidR="009E2D51" w:rsidRDefault="00000000" w:rsidP="003E15AA">
      <w:pPr>
        <w:contextualSpacing/>
        <w:jc w:val="center"/>
      </w:pPr>
      <w:r>
        <w:rPr/>
        <w:t>ARQUITECTURA DEL SISTEMA DE AUDITORÍA DE SEGURIDAD</w:t>
      </w:r>
    </w:p>
    <w:p w14:paraId="67190CE1" w14:textId="77777777" w:rsidR="009E2D51" w:rsidRDefault="00000000" w:rsidP="003E15AA">
      <w:pPr>
        <w:contextualSpacing/>
        <w:jc w:val="center"/>
      </w:pPr>
      <w:r>
        <w:rPr>
          <w:noProof/>
        </w:rPr>
        <w:drawing>
          <wp:inline distT="0" distB="0" distL="0" distR="0" wp14:anchorId="5606562C" wp14:editId="4C24C63A">
            <wp:extent cx="4762500" cy="1905000"/>
            <wp:effectExtent l="0" t="0" r="0" b="0"/>
            <wp:docPr id="278061608" name="Imagen 2780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905000"/>
                    </a:xfrm>
                    <a:prstGeom prst="rect">
                      <a:avLst/>
                    </a:prstGeom>
                    <a:ln w="12700">
                      <a:solidFill>
                        <a:srgbClr val="000000"/>
                      </a:solidFill>
                    </a:ln>
                  </pic:spPr>
                </pic:pic>
              </a:graphicData>
            </a:graphic>
          </wp:inline>
        </w:drawing>
      </w:r>
    </w:p>
    <w:p w14:paraId="47100362" w14:textId="77777777" w:rsidR="009E2D51" w:rsidRDefault="00000000" w:rsidP="003E15AA">
      <w:pPr>
        <w:ind w:left="668"/>
        <w:contextualSpacing/>
        <w:jc w:val="left"/>
      </w:pPr>
      <w:r>
        <w:rPr>
          <w:sz w:val="20"/>
          <w:szCs w:val="20"/>
        </w:rPr>
        <w:t>Fuente: Propia.</w:t>
      </w:r>
    </w:p>
    <w:p w14:paraId="4C5E92CE" w14:textId="77777777" w:rsidR="009E2D51" w:rsidRDefault="00000000" w:rsidP="003E15AA">
      <w:pPr>
        <w:contextualSpacing/>
        <w:jc w:val="left"/>
      </w:pPr>
      <w:commentRangeStart w:id="6"/>
      <w:r>
        <w:t xml:space="preserve">1.3.1 </w:t>
      </w:r>
      <w:r>
        <w:rPr>
          <w:u w:val="single"/>
        </w:rPr>
        <w:t xml:space="preserve">Seguridad de </w:t>
      </w:r>
      <w:r>
        <w:rPr>
          <w:u w:val="single"/>
        </w:rPr>
        <w:t xml:space="preserve">Aplicaciones </w:t>
      </w:r>
      <w:r>
        <w:rPr>
          <w:u w:val="single"/>
          <w:i/>
          <w:iCs/>
        </w:rPr>
        <w:t>Web</w:t>
      </w:r>
      <w:r>
        <w:rPr>
          <w:u w:val="single"/>
        </w:rPr>
        <w:t xml:space="preserve"> </w:t>
      </w:r>
      <w:r>
        <w:rPr>
          <w:u w:val="single"/>
        </w:rPr>
        <w:t xml:space="preserve">y </w:t>
      </w:r>
      <w:r>
        <w:rPr>
          <w:highlight w:val="cyan"/>
          <w:u w:val="single"/>
        </w:rPr>
        <w:t>API</w:t>
      </w:r>
      <w:r>
        <w:rPr>
          <w:u w:val="single"/>
        </w:rPr>
        <w:t xml:space="preserve"> REST</w:t>
      </w:r>
      <w:commentRangeEnd w:id="6"/>
      <w:r>
        <w:rPr>
          <w:rStyle w:val="CommentReference"/>
          <w:sz w:val="24"/>
          <w:szCs w:val="24"/>
        </w:rPr>
        <w:commentReference w:id="6"/>
      </w:r>
    </w:p>
    <w:p w14:paraId="6332B842" w14:textId="77777777" w:rsidR="009E2D51" w:rsidRDefault="00000000" w:rsidP="003E15AA">
      <w:pPr>
        <w:contextualSpacing/>
      </w:pPr>
      <w:r>
        <w:t xml:space="preserve">     La seguridad de las aplicaciones web abarca el conjunto de controles, prácticas y tecnologías destinados a proteger los sistemas que intercambian información a través de protocolos de internet. En el contexto de las interfaces de programación de aplicaciones de tipo REST, la superficie de ataque difiere de la de las aplicaciones web tradicionales en aspectos estructurales que determinan el tipo de vulnerabilidades más frecuentes.</w:t>
      </w:r>
      <w:r>
        <w:rPr>
          <w:rStyle w:val="FootnoteReference"/>
        </w:rPr>
        <w:footnoteReference w:id="14"/>
      </w:r>
    </w:p>
    <w:p w14:paraId="2BD3AA7F" w14:textId="77777777" w:rsidR="009E2D51" w:rsidRDefault="00000000" w:rsidP="003E15AA">
      <w:pPr>
        <w:contextualSpacing/>
      </w:pPr>
      <w:r>
        <w:t xml:space="preserve">     Las aplicaciones web tradicionales operan bajo un paradigma orientado al documento: el servidor genera HTML completo que el navegador renderiza, y el estado de la sesión reside en el servidor mediante cookies. Las interfaces de programación de aplicaciones REST rompen este paradigma al separar por completo la lógica de presentación de la lógica de negocio, exponiendo recursos de datos estructurados que múltiples tipos de clientes —aplicaciones móviles, </w:t>
      </w:r>
      <w:r>
        <w:rPr>
          <w:i/>
          <w:iCs/>
        </w:rPr>
        <w:t>frontends</w:t>
      </w:r>
      <w: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14:paraId="7240A0E7" w14:textId="77777777" w:rsidR="009E2D51" w:rsidRDefault="00000000" w:rsidP="003E15AA">
      <w:pPr>
        <w:contextualSpacing/>
      </w:pPr>
      <w:r>
        <w:t xml:space="preserve">     Viglianisi et al. (2020) identificaron que los ataques contra interfaces de programación de aplicaciones REST se concentran en los puntos donde el sistema acepta </w:t>
      </w:r>
      <w:commentRangeStart w:id="7"/>
      <w:r>
        <w:t>entrada</w:t>
      </w:r>
      <w:commentRangeEnd w:id="7"/>
      <w:r>
        <w:rPr>
          <w:rStyle w:val="CommentReference"/>
          <w:sz w:val="24"/>
          <w:szCs w:val="24"/>
        </w:rPr>
        <w:commentReference w:id="7"/>
      </w:r>
      <w:r>
        <w:t xml:space="preserve"> del usuario, procesa datos o toma decisiones de autorización. En dichas interfaces, </w:t>
        <w:lastRenderedPageBreak/>
        <w:t xml:space="preserve">estas tres zonas coinciden en cada </w:t>
      </w:r>
      <w:r>
        <w:rPr>
          <w:i/>
          <w:iCs/>
        </w:rPr>
        <w:t>endpoint</w:t>
      </w:r>
      <w:r>
        <w:t xml:space="preserve"> expuesto: el identificador de recurso en la URL constituye entrada del usuario, el cuerpo JSON de la petición contiene datos a procesar, y los encabezados de autorización determinan las decisiones de acceso. La multiplicación de </w:t>
      </w:r>
      <w:r>
        <w:rPr>
          <w:i/>
          <w:iCs/>
        </w:rPr>
        <w:t>endpoints</w:t>
      </w:r>
      <w:r>
        <w:t xml:space="preserve"> y la variedad de clientes que los consumen amplifican la superficie de ataque respecto de las aplicaciones web monolíticas.</w:t>
      </w:r>
      <w:r>
        <w:rPr>
          <w:rStyle w:val="FootnoteReference"/>
        </w:rPr>
        <w:footnoteReference w:id="15"/>
      </w:r>
    </w:p>
    <w:p w14:paraId="28172CE0" w14:textId="77777777" w:rsidR="003424B8" w:rsidRDefault="003424B8" w:rsidP="003E15AA">
      <w:pPr>
        <w:contextualSpacing/>
        <w:jc w:val="left"/>
      </w:pPr>
    </w:p>
    <w:p w14:paraId="3469A4CC" w14:textId="4D8CA809" w:rsidR="009E2D51" w:rsidRDefault="00000000" w:rsidP="003E15AA">
      <w:pPr>
        <w:contextualSpacing/>
        <w:jc w:val="left"/>
      </w:pPr>
      <w:r>
        <w:t xml:space="preserve">1.3.1.1 </w:t>
      </w:r>
      <w:r>
        <w:rPr>
          <w:u w:val="single"/>
        </w:rPr>
        <w:t>El paradigma REST</w:t>
      </w:r>
    </w:p>
    <w:p w14:paraId="53E3E8B8" w14:textId="77777777" w:rsidR="009E2D51" w:rsidRDefault="00000000" w:rsidP="003E15AA">
      <w:pPr>
        <w:contextualSpacing/>
      </w:pPr>
      <w:r>
        <w:t xml:space="preserve">     Fielding definió en su disertación doctoral (2000) seis restricciones arquitectónicas que caracterizan el estilo REST: (1) separación cliente-servidor, (2) comunicación sin estado, (3) respuestas </w:t>
      </w:r>
      <w:r>
        <w:rPr>
          <w:i/>
          <w:iCs/>
        </w:rPr>
        <w:t>cacheables</w:t>
      </w:r>
      <w:r>
        <w:t>,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FootnoteReference"/>
        </w:rPr>
        <w:footnoteReference w:id="16"/>
      </w:r>
    </w:p>
    <w:p w14:paraId="6963C70A" w14:textId="77777777" w:rsidR="009E2D51" w:rsidRDefault="00000000" w:rsidP="003E15AA">
      <w:pPr>
        <w:contextualSpacing/>
      </w:pPr>
      <w:r>
        <w:t xml:space="preserve">     La restricción de interfaz uniforme es la que más impacto tiene sobre la seguridad. Al exigir que cada recurso sea identificable mediante un URI único y que las operaciones sobre él se expresen mediante verbos HTTP estándar (GET, POST, PUT, PATCH, DELETE), REST crea una estructura predecible que facilita tanto el consumo legítimo como el abuso malicioso. Un atacante que comprende la estructura de </w:t>
      </w:r>
      <w:commentRangeStart w:id="8"/>
      <w:r>
        <w:t xml:space="preserve">URI </w:t>
      </w:r>
      <w:commentRangeEnd w:id="8"/>
      <w:r>
        <w:rPr>
          <w:rStyle w:val="CommentReference"/>
          <w:sz w:val="24"/>
          <w:szCs w:val="24"/>
        </w:rPr>
        <w:commentReference w:id="8"/>
      </w:r>
      <w:r>
        <w:t xml:space="preserve">de una interfaz de programación de aplicaciones REST puede intentar enumerar recursos incrementando identificadores numéricos, descubrir </w:t>
      </w:r>
      <w:r>
        <w:rPr>
          <w:i/>
          <w:iCs/>
        </w:rPr>
        <w:t>endpoints</w:t>
      </w:r>
      <w:r>
        <w:t xml:space="preserve"> no documentados mediante fuerza bruta de rutas, o inferir la estructura del modelo de datos a partir de los campos devueltos en las respuestas.</w:t>
      </w:r>
    </w:p>
    <w:p w14:paraId="44570AA2" w14:textId="77777777" w:rsidR="003424B8" w:rsidRDefault="003424B8" w:rsidP="003E15AA">
      <w:pPr>
        <w:contextualSpacing/>
        <w:jc w:val="left"/>
      </w:pPr>
    </w:p>
    <w:p w14:paraId="33D7AF90" w14:textId="1C214B6B" w:rsidR="009E2D51" w:rsidRDefault="00000000" w:rsidP="003E15AA">
      <w:pPr>
        <w:contextualSpacing/>
        <w:jc w:val="left"/>
      </w:pPr>
      <w:r>
        <w:t xml:space="preserve">1.3.1.2 </w:t>
      </w:r>
      <w:r>
        <w:rPr>
          <w:u w:val="single"/>
        </w:rPr>
        <w:t>API REST como superficie de ataque</w:t>
      </w:r>
    </w:p>
    <w:p w14:paraId="7476F47C" w14:textId="77777777" w:rsidR="009E2D51" w:rsidRDefault="00000000" w:rsidP="003E15AA">
      <w:pPr>
        <w:contextualSpacing/>
      </w:pPr>
      <w:r>
        <w:t xml:space="preserve">     A diferencia de las aplicaciones web que renderizan HTML en el servidor, las interfaces de programación de aplicaciones REST exponen directamente recursos de datos en formato JSON o XML, con autenticación basada en </w:t>
      </w:r>
      <w:r>
        <w:rPr>
          <w:i/>
          <w:iCs/>
        </w:rPr>
        <w:t>tokens</w:t>
      </w:r>
      <w:r>
        <w:t xml:space="preserve"> y mayor autonomía del cliente </w:t>
        <w:lastRenderedPageBreak/>
        <w:t>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Chess y McGraw (2004) definen la superficie de ataque como el conjunto de puntos de entrada a través de los cuales un atacante puede intentar introducir datos o extraer información del sistema.</w:t>
      </w:r>
      <w:r>
        <w:rPr>
          <w:rStyle w:val="FootnoteReference"/>
        </w:rPr>
        <w:footnoteReference w:id="17"/>
      </w:r>
    </w:p>
    <w:p w14:paraId="128E3CB3" w14:textId="77777777" w:rsidR="009E2D51" w:rsidRDefault="00000000" w:rsidP="003E15AA">
      <w:pPr>
        <w:contextualSpacing/>
      </w:pPr>
      <w:r>
        <w:t xml:space="preserve">     La naturaleza stateless de REST implica que cada petición debe contener toda la información necesaria para ser procesada, incluyendo las credenciales de autenticación. Esto se implementa típicamente mediante </w:t>
      </w:r>
      <w:r>
        <w:rPr>
          <w:i/>
          <w:iCs/>
        </w:rPr>
        <w:t>tokens</w:t>
      </w:r>
      <w:r>
        <w:t xml:space="preserve"> JWT (JSON Web Tokens) o claves de API incluidas en encabezados HTTP. Si estos mecanismos se implementan incorrectamente —por ejemplo, omitiendo la validación del </w:t>
      </w:r>
      <w:r>
        <w:rPr>
          <w:i/>
          <w:iCs/>
        </w:rPr>
        <w:t>token</w:t>
      </w:r>
      <w: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i/>
          <w:iCs/>
        </w:rPr>
        <w:t>token</w:t>
      </w:r>
      <w:r>
        <w:t xml:space="preserve"> en cada </w:t>
      </w:r>
      <w:r>
        <w:rPr>
          <w:i/>
          <w:iCs/>
        </w:rPr>
        <w:t>endpoint</w:t>
      </w:r>
      <w:r>
        <w:t xml:space="preserve"> es la única barrera entre el cliente y los datos.</w:t>
      </w:r>
    </w:p>
    <w:p w14:paraId="7DB5B493" w14:textId="77777777" w:rsidR="003424B8" w:rsidRDefault="003424B8" w:rsidP="003E15AA">
      <w:pPr>
        <w:contextualSpacing/>
        <w:jc w:val="left"/>
      </w:pPr>
    </w:p>
    <w:p w14:paraId="75BB580B" w14:textId="0A87257C" w:rsidR="009E2D51" w:rsidRDefault="00000000" w:rsidP="003E15AA">
      <w:pPr>
        <w:contextualSpacing/>
        <w:jc w:val="left"/>
      </w:pPr>
      <w:r>
        <w:t xml:space="preserve">1.3.1.3 </w:t>
      </w:r>
      <w:r>
        <w:rPr>
          <w:u w:val="single"/>
        </w:rPr>
        <w:t>Estadísticas y tendencias de vulnerabilidades en API</w:t>
      </w:r>
    </w:p>
    <w:p w14:paraId="2F2DA6F7" w14:textId="77777777" w:rsidR="009E2D51" w:rsidRPr="00B5669C" w:rsidRDefault="00000000" w:rsidP="003E15AA">
      <w:pPr>
        <w:contextualSpacing/>
        <w:rPr>
          <w:color w:val="EE0000"/>
        </w:rPr>
      </w:pPr>
      <w:r>
        <w:t xml:space="preserve">     La investigación académica sobre vulnerabilidades en interfaces de programación de aplicaciones REST evidencia una creciente preocupación por su seguridad. Atlidakis et al. (2019) demostraron mediante pruebas de caja negra sobre servicios REST reales que una proporción significativa de interfaces presenta vulnerabilidades explotables automáticamente.</w:t>
      </w:r>
      <w:r>
        <w:rPr>
          <w:rStyle w:val="FootnoteReference"/>
        </w:rPr>
        <w:footnoteReference w:id="18"/>
      </w:r>
    </w:p>
    <w:p>
      <w:pPr>
        <w:contextualSpacing/>
        <w:rPr>
          <w:color w:val="EE0000"/>
        </w:rPr>
      </w:pPr>
      <w:r>
        <w:t xml:space="preserve">     Zhou et al. (2019), mediante análisis de grafos de flujo de código sobre proyectos de código abierto, identificaron que los patrones de vulnerabilidad en aplicaciones Python son estructuralmente recurrentes y detectables mediante análisis estático, lo que fundamenta la viabilidad del enfoque del presente trabajo</w:t>
      </w:r>
      <w:r>
        <w:rPr/>
        <w:t>.</w:t>
      </w:r>
      <w:r>
        <w:rPr>
          <w:rStyle w:val="FootnoteReference"/>
        </w:rPr>
        <w:footnoteReference w:id="19"/>
      </w:r>
    </w:p>
    <w:p w14:paraId="056B2D12" w14:textId="77777777" w:rsidR="009E2D51" w:rsidRDefault="00000000" w:rsidP="003E15AA">
      <w:pPr>
        <w:contextualSpacing/>
      </w:pPr>
      <w:r>
        <w:t xml:space="preserve">     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FootnoteReference"/>
        </w:rPr>
        <w:footnoteReference w:id="20"/>
      </w:r>
    </w:p>
    <w:p w14:paraId="4E4DD84D" w14:textId="77777777" w:rsidR="003424B8" w:rsidRDefault="003424B8" w:rsidP="003E15AA">
      <w:pPr>
        <w:contextualSpacing/>
        <w:jc w:val="left"/>
      </w:pPr>
    </w:p>
    <w:p w14:paraId="7BACCF1F" w14:textId="3EDD63E3" w:rsidR="009E2D51" w:rsidRDefault="00000000" w:rsidP="003E15AA">
      <w:pPr>
        <w:contextualSpacing/>
        <w:jc w:val="left"/>
      </w:pPr>
      <w:r>
        <w:t xml:space="preserve">1.3.2 </w:t>
      </w:r>
      <w:r>
        <w:rPr>
          <w:u w:val="single"/>
        </w:rPr>
        <w:t>OWASP API Security Top 10 (2023)</w:t>
      </w:r>
    </w:p>
    <w:p w14:paraId="2F92D252" w14:textId="77777777" w:rsidR="009E2D51" w:rsidRDefault="00000000" w:rsidP="003E15AA">
      <w:pPr>
        <w:contextualSpacing/>
      </w:pPr>
      <w:r>
        <w:t xml:space="preserve">     OWASP (Open Worldwide Application Security Project) es una organización sin fines de lucro fundada en 2001 cuya misión consiste en mejorar la seguridad del </w:t>
      </w:r>
      <w:r>
        <w:rPr>
          <w:i/>
          <w:iCs/>
        </w:rPr>
        <w:t>software</w:t>
      </w:r>
      <w: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La edición 2023 identifica diez categorías de vulnerabilidades; el presente trabajo aborda seis de ellas.</w:t>
      </w:r>
      <w:r>
        <w:rPr>
          <w:rStyle w:val="FootnoteReference"/>
        </w:rPr>
        <w:footnoteReference w:id="21"/>
      </w:r>
    </w:p>
    <w:p w14:paraId="2E9B6995" w14:textId="77777777" w:rsidR="009E2D51" w:rsidRDefault="00000000" w:rsidP="003E15AA">
      <w:pPr>
        <w:contextualSpacing/>
      </w:pPr>
      <w:r>
        <w:t xml:space="preserve">     La metodología de construcción del OWASP API Security Top 10 se basa en la recopilación de datos de incidentes reales reportados por la industria, el análisis de bases de datos de vulnerabilidades públicas como la NVD del NIST, y la consulta con expertos de seguridad de organizaciones de referencia mundial. La edición 2023 incorporó cambios </w:t>
        <w:lastRenderedPageBreak/>
        <w:t>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FootnoteReference"/>
        </w:rPr>
        <w:footnoteReference w:id="22"/>
      </w:r>
    </w:p>
    <w:p w14:paraId="1B2E5225" w14:textId="77777777" w:rsidR="009E2D51" w:rsidRDefault="00000000" w:rsidP="003E15AA">
      <w:pPr>
        <w:contextualSpacing/>
      </w:pPr>
      <w:r>
        <w:t xml:space="preserve">     Para el presente trabajo, la selección de las seis categorías a cubrir se realizó con base en dos criterios: (1) la existencia de un indicador de riesgo detectable en el código fuente de Django REST </w:t>
      </w:r>
      <w:r>
        <w:rPr>
          <w:i/>
          <w:iCs/>
        </w:rPr>
        <w:t>Framework</w:t>
      </w:r>
      <w:r>
        <w:t xml:space="preserve"> mediante análisis estático de Árboles de Sintaxis Abstracta o mediante sonda HTTP, y (2) la frecuencia documentada de cada categoría en proyectos Django REST </w:t>
      </w:r>
      <w:r>
        <w:rPr>
          <w:i/>
          <w:iCs/>
        </w:rPr>
        <w:t>Framework</w:t>
      </w:r>
      <w: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 quedaron fuera del alcance porque requieren análisis de lógica de negocio específica o inspección de flujo de datos interprocedural, capacidades que exceden el alcance de una herramienta de análisis estático general.</w:t>
      </w:r>
    </w:p>
    <w:p w14:paraId="2D9E28BE" w14:textId="77777777" w:rsidR="003424B8" w:rsidRDefault="003424B8" w:rsidP="003E15AA">
      <w:pPr>
        <w:contextualSpacing/>
        <w:jc w:val="left"/>
        <w:rPr>
          <w:lang w:val="en-US"/>
        </w:rPr>
      </w:pPr>
    </w:p>
    <w:p w14:paraId="5B122730" w14:textId="1B6FDDD6" w:rsidR="009E2D51" w:rsidRPr="001B18B0" w:rsidRDefault="00000000" w:rsidP="003E15AA">
      <w:pPr>
        <w:contextualSpacing/>
        <w:jc w:val="left"/>
        <w:rPr>
          <w:lang w:val="en-US"/>
        </w:rPr>
      </w:pPr>
      <w:r>
        <w:rPr>
          <w:lang w:val="en-US"/>
        </w:rPr>
        <w:t xml:space="preserve">1.3.2.1 </w:t>
      </w:r>
      <w:r>
        <w:rPr>
          <w:u w:val="single"/>
          <w:lang w:val="en-US"/>
        </w:rPr>
        <w:t xml:space="preserve">API1:2023 — </w:t>
      </w:r>
      <w:r>
        <w:rPr>
          <w:u w:val="single"/>
          <w:lang w:val="en-US"/>
          <w:i/>
          <w:iCs/>
        </w:rPr>
        <w:t>Broken Object Level Authorization</w:t>
      </w:r>
      <w:r>
        <w:rPr>
          <w:u w:val="single"/>
          <w:lang w:val="en-US"/>
        </w:rPr>
        <w:t xml:space="preserve"> (BOLA)</w:t>
      </w:r>
    </w:p>
    <w:p w14:paraId="62763CCB" w14:textId="77777777" w:rsidR="009E2D51" w:rsidRDefault="00000000" w:rsidP="003E15AA">
      <w:pPr>
        <w:contextualSpacing/>
      </w:pPr>
      <w:r>
        <w:t xml:space="preserve">     Esta categoría —conocida también como IDOR (</w:t>
      </w:r>
      <w:r>
        <w:rPr>
          <w:i/>
          <w:iCs/>
        </w:rPr>
        <w:t>Insecure Direct Object Reference</w:t>
      </w:r>
      <w:r>
        <w:t xml:space="preserve">)— ocurre cuando el servidor no verifica que el usuario autenticado tiene derecho a acceder al objeto específico identificado en la ruta URL. El escenario típico consiste en que el usuario A accede a </w:t>
      </w:r>
      <w:r>
        <w:rPr>
          <w:i/>
          <w:iCs/>
        </w:rPr>
        <w:t>/api/orders/1/</w:t>
      </w:r>
      <w:r>
        <w:t xml:space="preserve"> siendo que ese pedido pertenece al usuario B. En Django REST </w:t>
      </w:r>
      <w:r>
        <w:rPr>
          <w:i/>
          <w:iCs/>
        </w:rPr>
        <w:t>Framework</w:t>
      </w:r>
      <w:r>
        <w:t xml:space="preserve">, el indicador de riesgo detectado por la herramienta consiste en parámetros numéricos en la ruta URL sin filtrado explícito por </w:t>
      </w:r>
      <w:r>
        <w:rPr>
          <w:i/>
          <w:iCs/>
        </w:rPr>
        <w:t>request.user</w:t>
      </w:r>
      <w:r>
        <w:t xml:space="preserve"> en el método </w:t>
      </w:r>
      <w:r>
        <w:rPr>
          <w:i/>
          <w:iCs/>
        </w:rPr>
        <w:t>get_queryset()</w:t>
      </w:r>
      <w:r>
        <w:t>. El impacto es la exposición masiva de datos de múltiples usuarios mediante enumeración secuencial de identificadores.</w:t>
      </w:r>
      <w:r>
        <w:rPr>
          <w:rStyle w:val="FootnoteReference"/>
        </w:rPr>
        <w:footnoteReference w:id="23"/>
      </w:r>
    </w:p>
    <w:p w14:paraId="08937C24" w14:textId="77777777" w:rsidR="003424B8" w:rsidRDefault="003424B8" w:rsidP="003E15AA">
      <w:pPr>
        <w:contextualSpacing/>
        <w:jc w:val="left"/>
      </w:pPr>
    </w:p>
    <w:p w14:paraId="4380430B" w14:textId="77777777" w:rsidR="003424B8" w:rsidRDefault="003424B8" w:rsidP="003E15AA">
      <w:pPr>
        <w:contextualSpacing/>
        <w:jc w:val="left"/>
      </w:pPr>
    </w:p>
    <w:p w14:paraId="6D072836" w14:textId="1D0E2A7A" w:rsidR="009E2D51" w:rsidRDefault="00000000" w:rsidP="003E15AA">
      <w:pPr>
        <w:contextualSpacing/>
        <w:jc w:val="left"/>
      </w:pPr>
      <w:r>
        <w:lastRenderedPageBreak/>
        <w:t xml:space="preserve">1.3.2.2 </w:t>
      </w:r>
      <w:r>
        <w:rPr>
          <w:u w:val="single"/>
        </w:rPr>
        <w:t xml:space="preserve">API2:2023 — </w:t>
      </w:r>
      <w:r>
        <w:rPr>
          <w:u w:val="single"/>
          <w:i/>
          <w:iCs/>
        </w:rPr>
        <w:t>Broken Authentication</w:t>
      </w:r>
    </w:p>
    <w:p w14:paraId="469E921C" w14:textId="77777777" w:rsidR="009E2D51" w:rsidRDefault="00000000" w:rsidP="003E15AA">
      <w:pPr>
        <w:contextualSpacing/>
      </w:pPr>
      <w:r>
        <w:t xml:space="preserve">     Esta categoría engloba mecanismos de autenticación implementados incorrectamente. En Django REST </w:t>
      </w:r>
      <w:r>
        <w:rPr>
          <w:i/>
          <w:iCs/>
        </w:rPr>
        <w:t>Framework</w:t>
      </w:r>
      <w:r>
        <w:t xml:space="preserve">, la configuración de </w:t>
      </w:r>
      <w:r>
        <w:rPr>
          <w:i/>
          <w:iCs/>
        </w:rPr>
        <w:t>permission_classes</w:t>
      </w:r>
      <w:r>
        <w:t xml:space="preserve"> determina qué clase de cliente puede acceder a cada vista. La ausencia de este atributo en una vista, cuando no existe una configuración global explícita de </w:t>
      </w:r>
      <w:r>
        <w:rPr>
          <w:i/>
          <w:iCs/>
        </w:rPr>
        <w:t>DEFAULT_PERMISSION_CLASSES</w:t>
      </w:r>
      <w:r>
        <w:t xml:space="preserve"> en </w:t>
      </w:r>
      <w:r>
        <w:rPr>
          <w:i/>
          <w:iCs/>
        </w:rPr>
        <w:t>settings.py</w:t>
      </w:r>
      <w:r>
        <w:t xml:space="preserve">, resulta en que la vista aplique el permiso por defecto </w:t>
      </w:r>
      <w:r>
        <w:rPr>
          <w:i/>
          <w:iCs/>
        </w:rPr>
        <w:t>AllowAny</w:t>
      </w:r>
      <w:r>
        <w:t>, permitiendo el acceso sin autenticación. Esta situación es frecuente en proyectos que crecen sin una política de permisos centralizada.</w:t>
      </w:r>
      <w:r>
        <w:rPr>
          <w:rStyle w:val="FootnoteReference"/>
        </w:rPr>
        <w:footnoteReference w:id="24"/>
      </w:r>
    </w:p>
    <w:p w14:paraId="362F1E76" w14:textId="77777777" w:rsidR="003424B8" w:rsidRDefault="003424B8" w:rsidP="003E15AA">
      <w:pPr>
        <w:contextualSpacing/>
        <w:jc w:val="left"/>
        <w:rPr>
          <w:lang w:val="en-US"/>
        </w:rPr>
      </w:pPr>
    </w:p>
    <w:p w14:paraId="4C5804A1" w14:textId="76B5C40D" w:rsidR="009E2D51" w:rsidRPr="001B18B0" w:rsidRDefault="00000000" w:rsidP="003E15AA">
      <w:pPr>
        <w:contextualSpacing/>
        <w:jc w:val="left"/>
        <w:rPr>
          <w:lang w:val="en-US"/>
        </w:rPr>
      </w:pPr>
      <w:r>
        <w:rPr>
          <w:lang w:val="en-US"/>
        </w:rPr>
        <w:t xml:space="preserve">1.3.2.3 </w:t>
      </w:r>
      <w:r>
        <w:rPr>
          <w:u w:val="single"/>
          <w:lang w:val="en-US"/>
        </w:rPr>
        <w:t xml:space="preserve">API3:2023 — </w:t>
      </w:r>
      <w:r>
        <w:rPr>
          <w:u w:val="single"/>
          <w:lang w:val="en-US"/>
          <w:i/>
          <w:iCs/>
        </w:rPr>
        <w:t>Broken Object Property Level Authorization</w:t>
      </w:r>
    </w:p>
    <w:p w14:paraId="67B660C3" w14:textId="77777777" w:rsidR="009E2D51" w:rsidRDefault="00000000" w:rsidP="003E15AA">
      <w:pPr>
        <w:contextualSpacing/>
      </w:pPr>
      <w:r>
        <w:t xml:space="preserve">     Esta categoría cubre la exposición o modificación no autorizada de propiedades individuales de los objetos. En Django REST </w:t>
      </w:r>
      <w:r>
        <w:rPr>
          <w:i/>
          <w:iCs/>
        </w:rPr>
        <w:t>Framework</w:t>
      </w:r>
      <w:r>
        <w:t xml:space="preserve">, los </w:t>
      </w:r>
      <w:r>
        <w:rPr>
          <w:i/>
          <w:iCs/>
        </w:rPr>
        <w:t>ModelSerializer</w:t>
      </w:r>
      <w:r>
        <w:t xml:space="preserve"> con </w:t>
      </w:r>
      <w:r>
        <w:rPr>
          <w:i/>
          <w:iCs/>
        </w:rPr>
        <w:t>fields = '__all__'</w:t>
      </w:r>
      <w:r>
        <w:t xml:space="preserve"> exponen todos los campos del modelo sin evaluación de su sensibilidad. Los campos </w:t>
      </w:r>
      <w:r>
        <w:rPr>
          <w:i/>
          <w:iCs/>
        </w:rPr>
        <w:t>password</w:t>
      </w:r>
      <w:r>
        <w:t xml:space="preserve">, </w:t>
      </w:r>
      <w:r>
        <w:rPr>
          <w:i/>
          <w:iCs/>
        </w:rPr>
        <w:t>is_admin</w:t>
      </w:r>
      <w:r>
        <w:t xml:space="preserve"> o identificadores internos sin marcar como </w:t>
      </w:r>
      <w:r>
        <w:rPr>
          <w:i/>
          <w:iCs/>
        </w:rPr>
        <w:t>write_only</w:t>
      </w:r>
      <w:r>
        <w:t xml:space="preserve"> o </w:t>
      </w:r>
      <w:r>
        <w:rPr>
          <w:i/>
          <w:iCs/>
        </w:rPr>
        <w:t>read_only</w:t>
      </w:r>
      <w:r>
        <w:t xml:space="preserve"> representan patrones de riesgo concretos que la herramienta detecta.</w:t>
      </w:r>
      <w:r>
        <w:rPr>
          <w:rStyle w:val="FootnoteReference"/>
        </w:rPr>
        <w:footnoteReference w:id="25"/>
      </w:r>
    </w:p>
    <w:p w14:paraId="2F555850" w14:textId="77777777" w:rsidR="003424B8" w:rsidRDefault="003424B8" w:rsidP="003E15AA">
      <w:pPr>
        <w:contextualSpacing/>
        <w:jc w:val="left"/>
      </w:pPr>
    </w:p>
    <w:p w14:paraId="5AAB1598" w14:textId="48B05262" w:rsidR="009E2D51" w:rsidRDefault="00000000" w:rsidP="003E15AA">
      <w:pPr>
        <w:contextualSpacing/>
        <w:jc w:val="left"/>
      </w:pPr>
      <w:r>
        <w:t xml:space="preserve">1.3.2.4 </w:t>
      </w:r>
      <w:r>
        <w:rPr>
          <w:u w:val="single"/>
        </w:rPr>
        <w:t xml:space="preserve">API4:2023 — </w:t>
      </w:r>
      <w:r>
        <w:rPr>
          <w:u w:val="single"/>
          <w:i/>
          <w:iCs/>
        </w:rPr>
        <w:t>Unrestricted Resource Consumption</w:t>
      </w:r>
    </w:p>
    <w:p w14:paraId="7068529D" w14:textId="77777777" w:rsidR="009E2D51" w:rsidRDefault="00000000" w:rsidP="003E15AA">
      <w:pPr>
        <w:contextualSpacing/>
      </w:pPr>
      <w:r>
        <w:t xml:space="preserve">     La ausencia de límites en el consumo de recursos de la interfaz de programación de aplicaciones permite ataques de fuerza bruta y denegación de servicio. En Django REST </w:t>
      </w:r>
      <w:r>
        <w:rPr>
          <w:i/>
          <w:iCs/>
        </w:rPr>
        <w:t>Framework</w:t>
      </w:r>
      <w:r>
        <w:t xml:space="preserve">, la protección nativa se implementa mediante </w:t>
      </w:r>
      <w:r>
        <w:rPr>
          <w:i/>
          <w:iCs/>
        </w:rPr>
        <w:t>DEFAULT_THROTTLE_CLASSES</w:t>
      </w:r>
      <w:r>
        <w:t xml:space="preserve"> y </w:t>
      </w:r>
      <w:r>
        <w:rPr>
          <w:i/>
          <w:iCs/>
        </w:rPr>
        <w:t>DEFAULT_THROTTLE_RATES</w:t>
      </w:r>
      <w:r>
        <w:t xml:space="preserve"> en la configuración de Django REST </w:t>
      </w:r>
      <w:r>
        <w:rPr>
          <w:i/>
          <w:iCs/>
        </w:rPr>
        <w:t>Framework</w:t>
      </w:r>
      <w:r>
        <w:t xml:space="preserve"> del archivo </w:t>
      </w:r>
      <w:r>
        <w:rPr>
          <w:i/>
          <w:iCs/>
        </w:rPr>
        <w:t>settings.py</w:t>
      </w:r>
      <w:r>
        <w:t>. La ausencia de esta configuración constituye el indicador de riesgo detectado por el analizador estático.</w:t>
      </w:r>
      <w:r>
        <w:rPr>
          <w:rStyle w:val="FootnoteReference"/>
        </w:rPr>
        <w:footnoteReference w:id="26"/>
      </w:r>
    </w:p>
    <w:p w14:paraId="749D607D" w14:textId="77777777" w:rsidR="003424B8" w:rsidRDefault="003424B8" w:rsidP="003E15AA">
      <w:pPr>
        <w:contextualSpacing/>
        <w:jc w:val="left"/>
      </w:pPr>
    </w:p>
    <w:p w14:paraId="6D364E8A" w14:textId="548B81FC" w:rsidR="009E2D51" w:rsidRPr="003424B8" w:rsidRDefault="00000000" w:rsidP="003E15AA">
      <w:pPr>
        <w:contextualSpacing/>
        <w:jc w:val="left"/>
        <w:rPr>
          <w:lang w:val="en-US"/>
        </w:rPr>
      </w:pPr>
      <w:r>
        <w:rPr>
          <w:lang w:val="en-US"/>
        </w:rPr>
        <w:t xml:space="preserve">1.3.2.5 </w:t>
      </w:r>
      <w:r>
        <w:rPr>
          <w:u w:val="single"/>
          <w:lang w:val="en-US"/>
        </w:rPr>
        <w:t xml:space="preserve">API5:2023 — </w:t>
      </w:r>
      <w:r>
        <w:rPr>
          <w:u w:val="single"/>
          <w:lang w:val="en-US"/>
          <w:i/>
          <w:iCs/>
        </w:rPr>
        <w:t>Broken Function Level Authorization</w:t>
      </w:r>
    </w:p>
    <w:p w14:paraId="576FE790" w14:textId="77777777" w:rsidR="009E2D51" w:rsidRDefault="00000000" w:rsidP="003E15AA">
      <w:pPr>
        <w:contextualSpacing/>
      </w:pPr>
      <w:r>
        <w:t xml:space="preserve">     Esta categoría ocurre cuando los </w:t>
      </w:r>
      <w:r>
        <w:rPr>
          <w:i/>
          <w:iCs/>
        </w:rPr>
        <w:t>endpoints</w:t>
      </w:r>
      <w:r>
        <w:t xml:space="preserve"> administrativos o de mayor privilegio son accesibles sin verificación adecuada del rol del usuario. La herramienta detecta este patrón </w:t>
        <w:lastRenderedPageBreak/>
        <w:t>dinámicamente enviando peticiones como usuario con privilegios estándar a rutas que contienen indicadores administrativos en la URL, y verificando si la respuesta HTTP indica acceso concedido.</w:t>
      </w:r>
      <w:r>
        <w:rPr>
          <w:rStyle w:val="FootnoteReference"/>
        </w:rPr>
        <w:footnoteReference w:id="27"/>
      </w:r>
    </w:p>
    <w:p w14:paraId="189BC6B9" w14:textId="77777777" w:rsidR="003424B8" w:rsidRDefault="003424B8" w:rsidP="003E15AA">
      <w:pPr>
        <w:contextualSpacing/>
        <w:jc w:val="left"/>
      </w:pPr>
    </w:p>
    <w:p w14:paraId="7B135AA6" w14:textId="74771CE1" w:rsidR="009E2D51" w:rsidRDefault="00000000" w:rsidP="003E15AA">
      <w:pPr>
        <w:contextualSpacing/>
        <w:jc w:val="left"/>
      </w:pPr>
      <w:r>
        <w:t xml:space="preserve">1.3.2.6 </w:t>
      </w:r>
      <w:r>
        <w:rPr>
          <w:u w:val="single"/>
        </w:rPr>
        <w:t xml:space="preserve">API8:2023 — </w:t>
      </w:r>
      <w:r>
        <w:rPr>
          <w:u w:val="single"/>
          <w:i/>
          <w:iCs/>
        </w:rPr>
        <w:t>Security Misconfiguration</w:t>
      </w:r>
    </w:p>
    <w:p w14:paraId="30897C41" w14:textId="77777777" w:rsidR="009E2D51" w:rsidRDefault="00000000" w:rsidP="003E15AA">
      <w:pPr>
        <w:contextualSpacing/>
      </w:pPr>
      <w:r>
        <w:t xml:space="preserve">     Las configuraciones inseguras por defecto constituyen la categoría más frecuente en proyectos Django. La más crítica es </w:t>
      </w:r>
      <w:r>
        <w:rPr>
          <w:i/>
          <w:iCs/>
        </w:rPr>
        <w:t>DEBUG = True</w:t>
      </w:r>
      <w:r>
        <w:t xml:space="preserve"> en entornos de producción: cuando Django opera en modo depuración, cada excepción no manejada expone en la respuesta HTTP el </w:t>
      </w:r>
      <w:r>
        <w:rPr>
          <w:i/>
          <w:iCs/>
        </w:rPr>
        <w:t>stack trace</w:t>
      </w:r>
      <w: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FootnoteReference"/>
        </w:rPr>
        <w:footnoteReference w:id="28"/>
      </w:r>
    </w:p>
    <w:p w14:paraId="25709D4F" w14:textId="77777777" w:rsidR="009E2D51" w:rsidRDefault="00000000" w:rsidP="003E15AA">
      <w:pPr>
        <w:contextualSpacing/>
      </w:pPr>
      <w:r>
        <w:t xml:space="preserve">     Es importante destacar que las categorías anteriores del OWASP API Security Top 10 no son vulnerabilidades mutuamente excluyentes: en proyectos reales, la presencia de una categoría suele correlacionarse con la presencia de otras. Por ejemplo, un proyecto con </w:t>
      </w:r>
      <w:r>
        <w:rPr>
          <w:i/>
          <w:iCs/>
        </w:rPr>
        <w:t>permission_classes</w:t>
      </w:r>
      <w:r>
        <w:t xml:space="preserve"> ausentes (API2) frecuentemente también exhibe </w:t>
      </w:r>
      <w:r>
        <w:rPr>
          <w:i/>
          <w:iCs/>
        </w:rPr>
        <w:t>ModelSerializer</w:t>
      </w:r>
      <w:r>
        <w:t xml:space="preserve"> con </w:t>
      </w:r>
      <w:r>
        <w:rPr>
          <w:i/>
          <w:iCs/>
        </w:rPr>
        <w:t>fields = '__all__'</w:t>
      </w:r>
      <w:r>
        <w:t xml:space="preserve"> (API3) y carece de </w:t>
      </w:r>
      <w:r>
        <w:rPr>
          <w:i/>
          <w:iCs/>
        </w:rPr>
        <w:t>DEFAULT_THROTTLE_CLASSES</w:t>
      </w:r>
      <w: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FootnoteReference"/>
        </w:rPr>
        <w:footnoteReference w:id="29"/>
      </w:r>
    </w:p>
    <w:p w14:paraId="6C4FB56A" w14:textId="77777777" w:rsidR="009E2D51" w:rsidRDefault="00000000" w:rsidP="003E15AA">
      <w:pPr>
        <w:contextualSpacing/>
      </w:pPr>
      <w:r>
        <w:t xml:space="preserve">     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evaluadas contra categorías de vulnerabilidades reconocidas por la industria. Una herramienta que genera reportes estructurados y trazables a categorías OWASP específicas </w:t>
        <w:lastRenderedPageBreak/>
        <w:t>facilita la producción de dicha evidencia de forma automatizada y reproducible, reduciendo el costo de las auditorías de cumplimiento y aumentando la frecuencia con que pueden realizarse.</w:t>
      </w:r>
      <w:r>
        <w:rPr>
          <w:rStyle w:val="FootnoteReference"/>
        </w:rPr>
        <w:footnoteReference w:id="30"/>
      </w:r>
    </w:p>
    <w:p w14:paraId="33343236" w14:textId="77777777" w:rsidR="003424B8" w:rsidRDefault="003424B8" w:rsidP="003E15AA">
      <w:pPr>
        <w:contextualSpacing/>
        <w:jc w:val="left"/>
      </w:pPr>
    </w:p>
    <w:p w14:paraId="48EF9BEB" w14:textId="22690D69" w:rsidR="009E2D51" w:rsidRDefault="00000000" w:rsidP="003E15AA">
      <w:pPr>
        <w:contextualSpacing/>
        <w:jc w:val="left"/>
      </w:pPr>
      <w:r>
        <w:t xml:space="preserve">1.3.3 </w:t>
      </w:r>
      <w:r>
        <w:rPr>
          <w:u w:val="single"/>
        </w:rPr>
        <w:t xml:space="preserve">Django REST Framework</w:t>
      </w:r>
    </w:p>
    <w:p w14:paraId="2B3D5C51" w14:textId="77777777" w:rsidR="009E2D51" w:rsidRDefault="00000000" w:rsidP="003E15AA">
      <w:pPr>
        <w:contextualSpacing/>
      </w:pPr>
      <w:r>
        <w:t xml:space="preserve">     Django es un </w:t>
      </w:r>
      <w:r>
        <w:rPr>
          <w:i/>
          <w:iCs/>
        </w:rPr>
        <w:t>framework</w:t>
      </w:r>
      <w:r>
        <w:t xml:space="preserve"> de desarrollo web de alto nivel para Python, fundamentado en el principio DRY (</w:t>
      </w:r>
      <w:r>
        <w:rPr>
          <w:i/>
          <w:iCs/>
        </w:rPr>
        <w:t>Don't Repeat Yourself</w:t>
      </w:r>
      <w:r>
        <w:t>). Adoptado por organizaciones como Instagram, Pinterest y Disqus para servir miles de millones de peticiones diarias, proporciona un ORM (</w:t>
      </w:r>
      <w:r>
        <w:rPr>
          <w:i/>
          <w:iCs/>
        </w:rPr>
        <w:t>Object-Relational Mapper</w:t>
      </w:r>
      <w:r>
        <w:t xml:space="preserve">), un sistema de autenticación, un panel de administración y protecciones de seguridad activadas por defecto. Django REST </w:t>
      </w:r>
      <w:r>
        <w:rPr>
          <w:i/>
          <w:iCs/>
        </w:rPr>
        <w:t>Framework</w:t>
      </w:r>
      <w:r>
        <w:t xml:space="preserve"> extiende Django con las abstracciones necesarias para construir interfaces de programación de aplicaciones REST: serializadores, vistas genéricas, conjuntos de vistas, enrutadores automáticos, sistemas de permisos, autenticación y limitación de tasa. Pearce et al. (2023) utilizaron proyectos Django REST Framework en sus evaluaciones, evidenciando la representatividad de este ecosistema en la investigación de vulnerabilidades.</w:t>
      </w:r>
      <w:r>
        <w:rPr>
          <w:rStyle w:val="FootnoteReference"/>
        </w:rPr>
        <w:footnoteReference w:id="31"/>
      </w:r>
    </w:p>
    <w:p w14:paraId="0610009D" w14:textId="77777777" w:rsidR="003424B8" w:rsidRDefault="003424B8" w:rsidP="003E15AA">
      <w:pPr>
        <w:contextualSpacing/>
        <w:jc w:val="left"/>
      </w:pPr>
    </w:p>
    <w:p w14:paraId="6C0B5003" w14:textId="2B2358BC" w:rsidR="009E2D51" w:rsidRDefault="00000000" w:rsidP="003E15AA">
      <w:pPr>
        <w:contextualSpacing/>
        <w:jc w:val="left"/>
      </w:pPr>
      <w:r>
        <w:t xml:space="preserve">1.3.3.1 </w:t>
      </w:r>
      <w:r>
        <w:rPr>
          <w:u w:val="single"/>
          <w:i/>
          <w:iCs/>
        </w:rPr>
        <w:t>Serializers</w:t>
      </w:r>
      <w:r>
        <w:rPr>
          <w:u w:val="single"/>
        </w:rPr>
        <w:t xml:space="preserve"> y exposición de campos</w:t>
      </w:r>
    </w:p>
    <w:p w14:paraId="090972F6" w14:textId="77777777" w:rsidR="009E2D51" w:rsidRDefault="00000000" w:rsidP="003E15AA">
      <w:pPr>
        <w:contextualSpacing/>
      </w:pPr>
      <w:r>
        <w:t xml:space="preserve">     Los </w:t>
      </w:r>
      <w:r>
        <w:rPr>
          <w:i/>
          <w:iCs/>
        </w:rPr>
        <w:t>serializers</w:t>
      </w:r>
      <w:r>
        <w:t xml:space="preserve"> son el componente de Django REST </w:t>
      </w:r>
      <w:r>
        <w:rPr>
          <w:i/>
          <w:iCs/>
        </w:rPr>
        <w:t>Framework</w:t>
      </w:r>
      <w:r>
        <w:t xml:space="preserve"> responsable de convertir las instancias de modelos Django en tipos de datos nativos de Python —posteriormente en JSON— y de validar los datos entrantes. El </w:t>
      </w:r>
      <w:r>
        <w:rPr>
          <w:i/>
          <w:iCs/>
        </w:rPr>
        <w:t>ModelSerializer</w:t>
      </w:r>
      <w:r>
        <w:t xml:space="preserve"> genera automáticamente los campos del </w:t>
      </w:r>
      <w:r>
        <w:rPr>
          <w:i/>
          <w:iCs/>
        </w:rPr>
        <w:t>serializer</w:t>
      </w:r>
      <w:r>
        <w:t xml:space="preserve"> a partir del modelo. La declaración </w:t>
      </w:r>
      <w:r>
        <w:rPr>
          <w:i/>
          <w:iCs/>
        </w:rPr>
        <w:t>fields = '__all__'</w:t>
      </w:r>
      <w:r>
        <w:t xml:space="preserve"> incluye todos los campos del modelo, lo que puede exponer datos sensibles como contraseñas hasheadas, indicadores de rol o claves primarias internas. Los atributos </w:t>
      </w:r>
      <w:r>
        <w:rPr>
          <w:i/>
          <w:iCs/>
        </w:rPr>
        <w:t>read_only=True</w:t>
      </w:r>
      <w:r>
        <w:t xml:space="preserve"> y </w:t>
      </w:r>
      <w:r>
        <w:rPr>
          <w:i/>
          <w:iCs/>
        </w:rPr>
        <w:t>write_only=True</w:t>
      </w:r>
      <w:r>
        <w:t xml:space="preserve"> permiten controlar la dirección en que cada campo puede fluir. Li et al. (2018) demostraron que la exposición involuntaria de campos en </w:t>
        <w:lastRenderedPageBreak/>
        <w:t>serializadores es equivalente a los patrones de filtrado de datos que su sistema VulDeePecker clasifica como vulnerabilidades.</w:t>
      </w:r>
      <w:r>
        <w:rPr>
          <w:rStyle w:val="FootnoteReference"/>
        </w:rPr>
        <w:footnoteReference w:id="32"/>
      </w:r>
    </w:p>
    <w:p w14:paraId="4A8C0230" w14:textId="77777777" w:rsidR="009E2D51" w:rsidRDefault="00000000" w:rsidP="003E15AA">
      <w:pPr>
        <w:contextualSpacing/>
      </w:pPr>
      <w:r>
        <w:t xml:space="preserve">     La arquitectura de Django REST </w:t>
      </w:r>
      <w:r>
        <w:rPr>
          <w:i/>
          <w:iCs/>
        </w:rPr>
        <w:t>Framework</w:t>
      </w:r>
      <w:r>
        <w:t xml:space="preserve"> sigue el patrón de vista-serializador-modelo. El flujo de una petición HTTP entrante es el siguiente: el enrutador de Django distribuye la petición a la vista correspondiente; la vista ejecuta los </w:t>
      </w:r>
      <w:r>
        <w:rPr>
          <w:i/>
          <w:iCs/>
        </w:rPr>
        <w:t>middlewares</w:t>
      </w:r>
      <w: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i/>
          <w:iCs/>
        </w:rPr>
        <w:t>Response</w:t>
      </w:r>
      <w:r>
        <w:t xml:space="preserve"> con el código HTTP y los datos serializados. Cada uno de estos pasos es un punto potencial de vulnerabilidad si no se configura adecuadamente.</w:t>
      </w:r>
      <w:r>
        <w:rPr>
          <w:rStyle w:val="FootnoteReference"/>
        </w:rPr>
        <w:footnoteReference w:id="33"/>
      </w:r>
    </w:p>
    <w:p w14:paraId="783CB577" w14:textId="77777777" w:rsidR="009E2D51" w:rsidRDefault="00000000" w:rsidP="003E15AA">
      <w:pPr>
        <w:contextualSpacing/>
      </w:pPr>
      <w:r>
        <w:t xml:space="preserve">     La adopción de Django REST </w:t>
      </w:r>
      <w:r>
        <w:rPr>
          <w:i/>
          <w:iCs/>
        </w:rPr>
        <w:t>Framework</w:t>
      </w:r>
      <w: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i/>
          <w:iCs/>
        </w:rPr>
        <w:t>Framework</w:t>
      </w:r>
      <w:r>
        <w:t xml:space="preserve"> son equipos pequeños o medianos que carecen de recursos dedicados a la seguridad de </w:t>
      </w:r>
      <w:r>
        <w:rPr>
          <w:i/>
          <w:iCs/>
        </w:rPr>
        <w:t>software</w:t>
      </w:r>
      <w:r>
        <w:t>. Para estas organizaciones, una herramienta automatizada de auditoría es la principal —y en muchos casos la única— línea de defensa proactiva.</w:t>
      </w:r>
      <w:r>
        <w:rPr>
          <w:rStyle w:val="FootnoteReference"/>
        </w:rPr>
        <w:footnoteReference w:id="34"/>
      </w:r>
    </w:p>
    <w:p w14:paraId="693393BE" w14:textId="77777777" w:rsidR="003424B8" w:rsidRDefault="003424B8" w:rsidP="003E15AA">
      <w:pPr>
        <w:contextualSpacing/>
        <w:jc w:val="left"/>
      </w:pPr>
    </w:p>
    <w:p w14:paraId="4C0A81C1" w14:textId="2EF4321F" w:rsidR="009E2D51" w:rsidRDefault="00000000" w:rsidP="003E15AA">
      <w:pPr>
        <w:contextualSpacing/>
        <w:jc w:val="left"/>
      </w:pPr>
      <w:r>
        <w:t xml:space="preserve">1.3.3.2 </w:t>
      </w:r>
      <w:r>
        <w:rPr>
          <w:u w:val="single"/>
        </w:rPr>
        <w:t>Sistema de permisos y autenticación</w:t>
      </w:r>
    </w:p>
    <w:p w14:paraId="4A2095C4" w14:textId="77777777" w:rsidR="009E2D51" w:rsidRDefault="00000000" w:rsidP="003E15AA">
      <w:pPr>
        <w:contextualSpacing/>
      </w:pPr>
      <w:r>
        <w:t xml:space="preserve">     El atributo </w:t>
      </w:r>
      <w:r>
        <w:rPr>
          <w:i/>
          <w:iCs/>
        </w:rPr>
        <w:t>permission_classes</w:t>
      </w:r>
      <w:r>
        <w:t xml:space="preserve"> de cada vista determina qué clases de usuarios pueden acceder a ella. Las clases predefinidas incluyen </w:t>
      </w:r>
      <w:r>
        <w:rPr>
          <w:i/>
          <w:iCs/>
        </w:rPr>
        <w:t>IsAuthenticated</w:t>
      </w:r>
      <w:r>
        <w:t xml:space="preserve">, </w:t>
      </w:r>
      <w:r>
        <w:rPr>
          <w:i/>
          <w:iCs/>
        </w:rPr>
        <w:t>IsAdminUser</w:t>
      </w:r>
      <w:r>
        <w:t xml:space="preserve"> y </w:t>
      </w:r>
      <w:r>
        <w:rPr>
          <w:i/>
          <w:iCs/>
        </w:rPr>
        <w:t>AllowAny</w:t>
      </w:r>
      <w:r>
        <w:t xml:space="preserve">. El valor por defecto de </w:t>
      </w:r>
      <w:r>
        <w:rPr>
          <w:i/>
          <w:iCs/>
        </w:rPr>
        <w:t>DEFAULT_PERMISSION_CLASSES</w:t>
      </w:r>
      <w:r>
        <w:t xml:space="preserve"> en una instalación nueva de Django REST </w:t>
      </w:r>
      <w:r>
        <w:rPr>
          <w:i/>
          <w:iCs/>
        </w:rPr>
        <w:t>Framework</w:t>
      </w:r>
      <w:r>
        <w:t xml:space="preserve"> es </w:t>
      </w:r>
      <w:r>
        <w:rPr>
          <w:i/>
          <w:iCs/>
        </w:rPr>
        <w:t>AllowAny</w:t>
      </w:r>
      <w:r>
        <w:t xml:space="preserve">, lo que significa que cualquier vista sin declaración explícita de permisos será accesible sin autenticación. La autenticación se configura mediante </w:t>
      </w:r>
      <w:r>
        <w:rPr>
          <w:i/>
          <w:iCs/>
        </w:rPr>
        <w:t>DEFAULT_AUTHENTICATION_CLASSES</w:t>
      </w:r>
      <w:r>
        <w:t xml:space="preserve"> e incluye </w:t>
      </w:r>
      <w:r>
        <w:rPr>
          <w:i/>
          <w:iCs/>
        </w:rPr>
        <w:t>TokenAuthentication</w:t>
      </w:r>
      <w:r>
        <w:t xml:space="preserve">, </w:t>
      </w:r>
      <w:r>
        <w:rPr>
          <w:i/>
          <w:iCs/>
        </w:rPr>
        <w:lastRenderedPageBreak/>
        <w:t>SessionAuthentication</w:t>
      </w:r>
      <w:r>
        <w:t xml:space="preserve"> y JWT mediante la biblioteca </w:t>
      </w:r>
      <w:r>
        <w:rPr>
          <w:i/>
          <w:iCs/>
        </w:rPr>
        <w:t>djangorestframework-simplejwt</w:t>
      </w:r>
      <w:r>
        <w:t>. La seguridad de estos mecanismos de autenticación ha sido analizada por Pearce et al. (2023), quienes identificaron que su correcta configuración es determinante para prevenir accesos no autorizados.</w:t>
      </w:r>
      <w:r>
        <w:rPr>
          <w:rStyle w:val="FootnoteReference"/>
        </w:rPr>
        <w:footnoteReference w:id="35"/>
      </w:r>
    </w:p>
    <w:p w14:paraId="5F1E5312" w14:textId="77777777" w:rsidR="009E2D51" w:rsidRDefault="00000000" w:rsidP="003E15AA">
      <w:pPr>
        <w:contextualSpacing/>
      </w:pPr>
      <w:r>
        <w:t xml:space="preserve">     La comprensión del sistema de permisos de Django REST </w:t>
      </w:r>
      <w:r>
        <w:rPr>
          <w:i/>
          <w:iCs/>
        </w:rPr>
        <w:t>Framework</w:t>
      </w:r>
      <w:r>
        <w:t xml:space="preserve"> es fundamental para interpretar correctamente los hallazgos del analizador estático. Existen tres niveles de configuración de permisos: (1) configuración global mediante </w:t>
      </w:r>
      <w:r>
        <w:rPr>
          <w:i/>
          <w:iCs/>
        </w:rPr>
        <w:t>DEFAULT_PERMISSION_CLASSES</w:t>
      </w:r>
      <w:r>
        <w:t xml:space="preserve"> en </w:t>
      </w:r>
      <w:r>
        <w:rPr>
          <w:i/>
          <w:iCs/>
        </w:rPr>
        <w:t>REST_FRAMEWORK</w:t>
      </w:r>
      <w:r>
        <w:t xml:space="preserve"> dentro de </w:t>
      </w:r>
      <w:r>
        <w:rPr>
          <w:i/>
          <w:iCs/>
        </w:rPr>
        <w:t>settings.py</w:t>
      </w:r>
      <w:r>
        <w:t xml:space="preserve">, que aplica a todas las vistas que no declaran permisos explícitos; (2) configuración por vista mediante el atributo </w:t>
      </w:r>
      <w:r>
        <w:rPr>
          <w:i/>
          <w:iCs/>
        </w:rPr>
        <w:t>permission_classes</w:t>
      </w:r>
      <w:r>
        <w:t xml:space="preserve"> en la clase de vista o mediante el decorador </w:t>
      </w:r>
      <w:r>
        <w:rPr>
          <w:i/>
          <w:iCs/>
        </w:rPr>
        <w:t>@permission_classes</w:t>
      </w:r>
      <w:r>
        <w:t xml:space="preserve"> en vistas basadas en función; y (3) configuración por acción mediante el decorador </w:t>
      </w:r>
      <w:r>
        <w:rPr>
          <w:i/>
          <w:iCs/>
        </w:rPr>
        <w:t>@action</w:t>
      </w:r>
      <w: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FootnoteReference"/>
        </w:rPr>
        <w:footnoteReference w:id="36"/>
      </w:r>
    </w:p>
    <w:p w14:paraId="7B3EA172" w14:textId="77777777" w:rsidR="003424B8" w:rsidRDefault="003424B8" w:rsidP="003E15AA">
      <w:pPr>
        <w:contextualSpacing/>
        <w:jc w:val="left"/>
      </w:pPr>
    </w:p>
    <w:p w14:paraId="2965D5B2" w14:textId="7AB7E0F9" w:rsidR="009E2D51" w:rsidRDefault="00000000" w:rsidP="003E15AA">
      <w:pPr>
        <w:contextualSpacing/>
        <w:jc w:val="left"/>
      </w:pPr>
      <w:r>
        <w:t xml:space="preserve">1.3.4 </w:t>
      </w:r>
      <w:r>
        <w:rPr>
          <w:u w:val="single"/>
        </w:rPr>
        <w:t xml:space="preserve">Análisis </w:t>
      </w:r>
      <w:r>
        <w:rPr>
          <w:u w:val="single"/>
        </w:rPr>
        <w:t>Estático de código fuente</w:t>
      </w:r>
    </w:p>
    <w:p w14:paraId="42C3E6AE" w14:textId="77777777" w:rsidR="009E2D51" w:rsidRDefault="00000000" w:rsidP="003E15AA">
      <w:pPr>
        <w:contextualSpacing/>
      </w:pPr>
      <w:r>
        <w:t xml:space="preserve">     El análisis estático de código fuente —también denominado SAST (</w:t>
      </w:r>
      <w:r>
        <w:rPr>
          <w:i/>
          <w:iCs/>
        </w:rPr>
        <w:t>Static Application Security Testing</w:t>
      </w:r>
      <w:r>
        <w:t>)— consiste en examinar el código fuente sin ejecutarlo, con el objetivo de identificar patrones que constituyan indicadores de riesgo de seguridad. A diferencia del análisis dinámico, el SAST puede integrarse en el ciclo de desarrollo sin necesidad de un entorno de ejecución activo.</w:t>
      </w:r>
      <w:r>
        <w:rPr>
          <w:rStyle w:val="FootnoteReference"/>
        </w:rPr>
        <w:footnoteReference w:id="37"/>
      </w:r>
    </w:p>
    <w:p w14:paraId="0BBB0ED7" w14:textId="77777777" w:rsidR="003424B8" w:rsidRDefault="003424B8" w:rsidP="003E15AA">
      <w:pPr>
        <w:contextualSpacing/>
        <w:jc w:val="left"/>
      </w:pPr>
    </w:p>
    <w:p w14:paraId="707572F4" w14:textId="2CC48F52" w:rsidR="009E2D51" w:rsidRDefault="00000000" w:rsidP="003E15AA">
      <w:pPr>
        <w:contextualSpacing/>
        <w:jc w:val="left"/>
      </w:pPr>
      <w:r>
        <w:t xml:space="preserve">1.3.4.1 </w:t>
      </w:r>
      <w:r>
        <w:rPr>
          <w:u w:val="single"/>
        </w:rPr>
        <w:t xml:space="preserve">Árboles de </w:t>
      </w:r>
      <w:r>
        <w:rPr>
          <w:u w:val="single"/>
        </w:rPr>
        <w:t xml:space="preserve">Sintaxis abstracta </w:t>
      </w:r>
      <w:r>
        <w:rPr>
          <w:u w:val="single"/>
        </w:rPr>
        <w:t>(AST)</w:t>
      </w:r>
    </w:p>
    <w:p w14:paraId="64C8015C" w14:textId="77777777" w:rsidR="009E2D51" w:rsidRDefault="00000000" w:rsidP="003E15AA">
      <w:pPr>
        <w:contextualSpacing/>
      </w:pPr>
      <w:r>
        <w:t xml:space="preserve">     Un </w:t>
      </w:r>
      <w:r>
        <w:rPr/>
        <w:t xml:space="preserve">Árbol de sintaxis abstracta </w:t>
      </w:r>
      <w:r>
        <w:t xml:space="preserve">(AST por su sigla en inglés) es la representación en forma de árbol de la estructura sintáctica del código fuente, en la que cada nodo del árbol </w:t>
        <w:lastRenderedPageBreak/>
        <w:t xml:space="preserve">corresponde a una construcción del lenguaje. El módulo estándar </w:t>
      </w:r>
      <w:r>
        <w:rPr>
          <w:i/>
          <w:iCs/>
        </w:rPr>
        <w:t>ast</w:t>
      </w:r>
      <w:r>
        <w:t xml:space="preserve"> de Python proporciona las funciones </w:t>
      </w:r>
      <w:r>
        <w:rPr>
          <w:i/>
          <w:iCs/>
        </w:rPr>
        <w:t>ast.parse()</w:t>
      </w:r>
      <w:r>
        <w:t xml:space="preserve"> para convertir código fuente en un árbol y </w:t>
      </w:r>
      <w:r>
        <w:rPr>
          <w:i/>
          <w:iCs/>
        </w:rPr>
        <w:t>ast.walk()</w:t>
      </w:r>
      <w:r>
        <w:t xml:space="preserve"> para recorrerlo. Los nodos relevantes para el análisis de seguridad en Django REST </w:t>
      </w:r>
      <w:r>
        <w:rPr>
          <w:i/>
          <w:iCs/>
        </w:rPr>
        <w:t>Framework</w:t>
      </w:r>
      <w:r>
        <w:t xml:space="preserve"> incluyen </w:t>
      </w:r>
      <w:r>
        <w:rPr>
          <w:i/>
          <w:iCs/>
        </w:rPr>
        <w:t>ClassDef</w:t>
      </w:r>
      <w:r>
        <w:t xml:space="preserve"> (definiciones de clase), </w:t>
      </w:r>
      <w:r>
        <w:rPr>
          <w:i/>
          <w:iCs/>
        </w:rPr>
        <w:t>Assign</w:t>
      </w:r>
      <w:r>
        <w:t xml:space="preserve"> (asignaciones) y </w:t>
      </w:r>
      <w:r>
        <w:rPr>
          <w:i/>
          <w:iCs/>
        </w:rPr>
        <w:t>FunctionDef</w:t>
      </w:r>
      <w:r>
        <w:t xml:space="preserve"> (definiciones de función). La ventaja del análisis basado en AST frente al basado en expresiones regulares reside en su robustez ante variaciones de formato y en su precisión para identificar estructuras sintácticas completas. Li et al. (2018) emplearon representaciones de flujo de código similares a los AST para entrenar VulDeePecker, demostrando la eficacia de este tipo de representación estructural para la detección de vulnerabilidades.</w:t>
      </w:r>
      <w:r>
        <w:rPr>
          <w:rStyle w:val="FootnoteReference"/>
        </w:rPr>
        <w:footnoteReference w:id="38"/>
      </w:r>
    </w:p>
    <w:p w14:paraId="67E916E3" w14:textId="77777777" w:rsidR="009E2D51" w:rsidRDefault="00000000" w:rsidP="003E15AA">
      <w:pPr>
        <w:contextualSpacing/>
      </w:pPr>
      <w:r>
        <w:t xml:space="preserve">     Una expresión regular que busca la cadena «permission_classes» en el código fuente identificaría cualquier mención de esa cadena, independientemente de si aparece como atributo de clase, como argumento de función, como comentario o como valor de cadena en un diccionario. El </w:t>
      </w:r>
      <w:r>
        <w:rPr>
          <w:i/>
          <w:iCs/>
        </w:rPr>
        <w:t>Árbol de Sintaxis Abstracta</w:t>
      </w:r>
      <w:r>
        <w:t xml:space="preserve">, en contraste, permite especificar exactamente: «busca definiciones de clase que hereden de </w:t>
      </w:r>
      <w:r>
        <w:rPr>
          <w:i/>
          <w:iCs/>
        </w:rPr>
        <w:t>APIView</w:t>
      </w:r>
      <w:r>
        <w:t xml:space="preserve"> o de cualquier vista genérica de Django REST </w:t>
      </w:r>
      <w:r>
        <w:rPr>
          <w:i/>
          <w:iCs/>
        </w:rPr>
        <w:t>Framework</w:t>
      </w:r>
      <w:r>
        <w:t xml:space="preserve">, y que no tengan un atributo de clase denominado </w:t>
      </w:r>
      <w:r>
        <w:rPr>
          <w:i/>
          <w:iCs/>
        </w:rPr>
        <w:t>permission_classes</w:t>
      </w:r>
      <w:r>
        <w:t xml:space="preserve"> asignado en el cuerpo de la clase». Esta especificidad reduce los falsos positivos y permite detectar el patrón de riesgo con precisión quirúrgica, incluso en proyectos con decenas de miles de líneas de código y múltiples archivos de vistas.</w:t>
      </w:r>
    </w:p>
    <w:p w14:paraId="5FE28D6F" w14:textId="77777777" w:rsidR="003424B8" w:rsidRDefault="003424B8" w:rsidP="003E15AA">
      <w:pPr>
        <w:contextualSpacing/>
        <w:jc w:val="left"/>
      </w:pPr>
    </w:p>
    <w:p w14:paraId="741FF4F4" w14:textId="258E51BD" w:rsidR="009E2D51" w:rsidRDefault="00000000" w:rsidP="003E15AA">
      <w:pPr>
        <w:contextualSpacing/>
        <w:jc w:val="left"/>
      </w:pPr>
      <w:r>
        <w:t xml:space="preserve">1.3.4.2 </w:t>
      </w:r>
      <w:r>
        <w:rPr>
          <w:u w:val="single"/>
        </w:rPr>
        <w:t>Indicadores de riesgo vs. vulnerabilidades confirmadas</w:t>
      </w:r>
    </w:p>
    <w:p w14:paraId="09052377" w14:textId="77777777" w:rsidR="009E2D51" w:rsidRDefault="00000000" w:rsidP="003E15AA">
      <w:pPr>
        <w:contextualSpacing/>
      </w:pPr>
      <w:r>
        <w:t xml:space="preserve">     El análisis estático identifica </w:t>
      </w:r>
      <w:r>
        <w:rPr>
          <w:i/>
          <w:iCs/>
        </w:rPr>
        <w:t>security smells</w:t>
      </w:r>
      <w:r>
        <w:t xml:space="preserve"> o patrones frecuentemente asociados a vulnerabilidades, pero no puede confirmar la explotabilidad sin contexto de ejecución. La distinción entre un indicador de riesgo y una vulnerabilidad confirmada es fundamental: una vista sin </w:t>
      </w:r>
      <w:r>
        <w:rPr>
          <w:i/>
          <w:iCs/>
        </w:rPr>
        <w:t>permission_classes</w:t>
      </w:r>
      <w: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métrica de precisión (P = TP / (TP + FP)). Sistemas basados en aprendizaje profundo como SySeVR (Li et al., 2022)</w:t>
      </w:r>
      <w:r>
        <w:rPr>
          <w:rStyle w:val="FootnoteReference"/>
        </w:rPr>
        <w:footnoteReference w:id="39"/>
      </w:r>
    </w:p>
    <w:p>
      <w:pPr>
        <w:contextualSpacing/>
      </w:pPr>
      <w:r>
        <w:t xml:space="preserve">     y LineVul (Fu y Tantithamthavorn, 2022)</w:t>
      </w:r>
      <w:r>
        <w:rPr>
          <w:rStyle w:val="FootnoteReference"/>
        </w:rPr>
        <w:footnoteReference w:id="40"/>
      </w:r>
    </w:p>
    <w:p>
      <w:pPr>
        <w:contextualSpacing/>
      </w:pPr>
      <w:r>
        <w:t xml:space="preserve">     han demostrado que la combinación de representaciones estructurales del código con modelos de transformadores mejora la tasa de detección respecto de enfoques puramente basados en reglas. Feng et al. (2020) introdujeron CodeBERT, un modelo preentrenado sobre código fuente y lenguaje natural que establece el estado del arte en tareas de comprensión de código, y que motiva el uso de representaciones semánticas en el pipeline RAG del presente trabajo.</w:t>
      </w:r>
      <w:r>
        <w:rPr>
          <w:rStyle w:val="FootnoteReference"/>
        </w:rPr>
        <w:footnoteReference w:id="41"/>
      </w:r>
    </w:p>
    <w:p w14:paraId="1649F9FB" w14:textId="77777777" w:rsidR="003424B8" w:rsidRDefault="003424B8" w:rsidP="003E15AA">
      <w:pPr>
        <w:contextualSpacing/>
        <w:jc w:val="left"/>
      </w:pPr>
    </w:p>
    <w:p w14:paraId="252E3239" w14:textId="1158C9FF" w:rsidR="009E2D51" w:rsidRDefault="00000000" w:rsidP="003E15AA">
      <w:pPr>
        <w:contextualSpacing/>
        <w:jc w:val="left"/>
      </w:pPr>
      <w:r>
        <w:t xml:space="preserve">1.3.5 </w:t>
      </w:r>
      <w:r>
        <w:rPr>
          <w:u w:val="single"/>
        </w:rPr>
        <w:t xml:space="preserve">Análisis </w:t>
      </w:r>
      <w:r>
        <w:rPr>
          <w:u w:val="single"/>
        </w:rPr>
        <w:t>Dinámico de seguridad</w:t>
      </w:r>
    </w:p>
    <w:p w14:paraId="78496BB4" w14:textId="77777777" w:rsidR="009E2D51" w:rsidRPr="00B5669C" w:rsidRDefault="00000000" w:rsidP="003E15AA">
      <w:pPr>
        <w:contextualSpacing/>
        <w:rPr>
          <w:color w:val="EE0000"/>
        </w:rPr>
      </w:pPr>
      <w:r>
        <w:t xml:space="preserve">     El análisis dinámico de seguridad —también denominado DAST (</w:t>
      </w:r>
      <w:r>
        <w:rPr>
          <w:i/>
          <w:iCs/>
        </w:rPr>
        <w:t>Dynamic Application Security Testing</w:t>
      </w:r>
      <w:r>
        <w:t>)—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 Atlidakis et al. (2019)</w:t>
      </w:r>
      <w:r>
        <w:rPr>
          <w:rStyle w:val="FootnoteReference"/>
        </w:rPr>
        <w:footnoteReference w:id="42"/>
      </w:r>
    </w:p>
    <w:p>
      <w:pPr>
        <w:contextualSpacing/>
        <w:rPr>
          <w:color w:val="EE0000"/>
        </w:rPr>
      </w:pPr>
      <w:r>
        <w:t xml:space="preserve">     y Viglianisi et al. (2020)</w:t>
      </w:r>
      <w:r>
        <w:rPr>
          <w:rStyle w:val="FootnoteReference"/>
        </w:rPr>
        <w:footnoteReference w:id="43"/>
      </w:r>
      <w:r>
        <w:t xml:space="preserve"> propusieron generadores automáticos de casos de prueba para API REST basados en este principio, sentando las bases del análisis dinámico especializado en interfaces de este tipo</w:t>
      </w:r>
      <w:r>
        <w:rPr/>
        <w:t>.</w:t>
      </w:r>
    </w:p>
    <w:p w14:paraId="58EEADCA" w14:textId="77777777" w:rsidR="003424B8" w:rsidRDefault="003424B8" w:rsidP="003E15AA">
      <w:pPr>
        <w:contextualSpacing/>
        <w:jc w:val="left"/>
      </w:pPr>
    </w:p>
    <w:p w14:paraId="33B5BEAB" w14:textId="2F07CA75" w:rsidR="009E2D51" w:rsidRDefault="00000000" w:rsidP="003E15AA">
      <w:pPr>
        <w:contextualSpacing/>
        <w:jc w:val="left"/>
      </w:pPr>
      <w:r>
        <w:t xml:space="preserve">1.3.5.1 </w:t>
      </w:r>
      <w:r>
        <w:rPr>
          <w:u w:val="single"/>
        </w:rPr>
        <w:t xml:space="preserve">HTTP </w:t>
      </w:r>
      <w:r>
        <w:rPr>
          <w:u w:val="single"/>
          <w:i/>
          <w:iCs/>
        </w:rPr>
        <w:t>probing</w:t>
      </w:r>
      <w:r>
        <w:rPr>
          <w:u w:val="single"/>
        </w:rPr>
        <w:t xml:space="preserve"> y análisis de respuestas</w:t>
      </w:r>
    </w:p>
    <w:p w14:paraId="5E607DB6" w14:textId="77777777" w:rsidR="009E2D51" w:rsidRDefault="00000000" w:rsidP="003E15AA">
      <w:pPr>
        <w:contextualSpacing/>
      </w:pPr>
      <w:r>
        <w:t xml:space="preserve">     Las sondas HTTP implementadas en el presente trabajo verifican: (1) acceso sin autenticación a </w:t>
      </w:r>
      <w:r>
        <w:rPr>
          <w:i/>
          <w:iCs/>
        </w:rPr>
        <w:t>endpoints</w:t>
      </w:r>
      <w: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w:t>
        <w:lastRenderedPageBreak/>
        <w:t xml:space="preserve">verificación de rol a </w:t>
      </w:r>
      <w:r>
        <w:rPr>
          <w:i/>
          <w:iCs/>
        </w:rPr>
        <w:t>endpoints</w:t>
      </w:r>
      <w:r>
        <w:t xml:space="preserve"> administrativos. Cada sonda documenta la condición que puede generar un falso positivo, dado que el comportamiento esperado puede depender de configuraciones específicas del proyecto.</w:t>
      </w:r>
    </w:p>
    <w:p w14:paraId="1EAA73FC" w14:textId="77777777" w:rsidR="005D127F" w:rsidRDefault="005D127F" w:rsidP="003E15AA">
      <w:pPr>
        <w:contextualSpacing/>
      </w:pPr>
    </w:p>
    <w:p w14:paraId="36C395EB" w14:textId="77777777" w:rsidR="009E2D51" w:rsidRDefault="00000000" w:rsidP="003E15AA">
      <w:pPr>
        <w:contextualSpacing/>
        <w:jc w:val="left"/>
      </w:pPr>
      <w:r>
        <w:t xml:space="preserve">1.3.5.2 </w:t>
      </w:r>
      <w:r>
        <w:rPr>
          <w:u w:val="single"/>
        </w:rPr>
        <w:t>Herramientas existentes: ZAP, Spectral y 42Crunch</w:t>
      </w:r>
    </w:p>
    <w:p w14:paraId="085B3A4E" w14:textId="77777777" w:rsidR="009E2D51" w:rsidRPr="00B5669C" w:rsidRDefault="00000000" w:rsidP="003E15AA">
      <w:pPr>
        <w:contextualSpacing/>
        <w:rPr>
          <w:color w:val="EE0000"/>
        </w:rPr>
      </w:pPr>
      <w:r>
        <w:t xml:space="preserve">     OWASP ZAP es un proxy de intercepción HTTP que realiza escaneo activo y pasivo de aplicaciones web. Opera a nivel de protocolo HTTP sin acceso al código fuente, lo que le impide detectar patrones de configuración internos de Django REST </w:t>
      </w:r>
      <w:r>
        <w:rPr>
          <w:i/>
          <w:iCs/>
        </w:rPr>
        <w:t>Framework</w:t>
      </w:r>
      <w:r>
        <w:t xml:space="preserve"> como la ausencia de </w:t>
      </w:r>
      <w:r>
        <w:rPr>
          <w:i/>
          <w:iCs/>
        </w:rPr>
        <w:t>permission_classes</w:t>
      </w:r>
      <w:r>
        <w:t xml:space="preserve"> o de </w:t>
      </w:r>
      <w:r>
        <w:rPr>
          <w:i/>
          <w:iCs/>
        </w:rPr>
        <w:t>DEFAULT_THROTTLE_CLASSES</w:t>
      </w:r>
      <w:r>
        <w:t>.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w:t>
      </w:r>
      <w:r>
        <w:rPr>
          <w:rStyle w:val="FootnoteReference"/>
        </w:rPr>
        <w:footnoteReference w:id="45"/>
      </w:r>
      <w:r>
        <w:t xml:space="preserve"> Atlidakis et al. (2019) identificaron que las herramientas basadas exclusivamente en especificaciones OpenAPI no detectan vulnerabilidades de implementación no declaradas en la especificación</w:t>
      </w:r>
      <w:r>
        <w:rPr/>
        <w:t>.</w:t>
      </w:r>
      <w:r>
        <w:rPr>
          <w:rStyle w:val="FootnoteReference"/>
        </w:rPr>
        <w:footnoteReference w:id="44"/>
      </w:r>
    </w:p>
    <w:p w14:paraId="2ED88553" w14:textId="77777777" w:rsidR="009E2D51" w:rsidRDefault="00000000" w:rsidP="003E15AA">
      <w:pPr>
        <w:contextualSpacing/>
      </w:pPr>
      <w:r>
        <w:t xml:space="preserve">     La complementariedad entre el análisis estático y el dinámico es una de las contribuciones arquitectónicas centrales de la herramienta. El análisis estático puede detectar la ausencia de </w:t>
      </w:r>
      <w:r>
        <w:rPr>
          <w:i/>
          <w:iCs/>
        </w:rPr>
        <w:t>permission_classes</w:t>
      </w:r>
      <w:r>
        <w:t xml:space="preserve"> en el código fuente —un indicador de riesgo— pero no puede confirmar si esa ausencia resulta en una vulnerabilidad real, porque el comportamiento depende también de la configuración global de </w:t>
      </w:r>
      <w:r>
        <w:rPr>
          <w:i/>
          <w:iCs/>
        </w:rPr>
        <w:t>settings.py</w:t>
      </w:r>
      <w:r>
        <w:t>. El análisis dinámico, en cambio, verifica el 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FootnoteReference"/>
        </w:rPr>
        <w:footnoteReference w:id="46"/>
      </w:r>
    </w:p>
    <w:p w14:paraId="437F8377" w14:textId="77777777" w:rsidR="009E2D51" w:rsidRDefault="00000000" w:rsidP="003E15AA">
      <w:pPr>
        <w:contextualSpacing/>
      </w:pPr>
      <w:r>
        <w:lastRenderedPageBreak/>
        <w:t xml:space="preserve">     Una limitación relevante del análisis dinámico en el contexto del presente trabajo es la necesidad de interpretar correctamente los códigos de respuesta HTTP. Un código 200 en respuesta a una petición sin autenticación no es automáticamente una vulnerabilidad: algunos </w:t>
      </w:r>
      <w:r>
        <w:rPr>
          <w:i/>
          <w:iCs/>
        </w:rPr>
        <w:t>endpoints</w:t>
      </w:r>
      <w: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i/>
          <w:iCs/>
        </w:rPr>
        <w:t>endpoints</w:t>
      </w:r>
      <w:r>
        <w:t xml:space="preserve"> evaluados deberían requerir autenticación; la sonda de BOLA asume que los identificadores numéricos en la URL son de objetos de un usuario diferente. Estos supuestos se explicitan en el reporte generado, permitiendo al desarrollador interpretar cada hallazgo en el contexto de la configuración real de su proyecto.</w:t>
      </w:r>
      <w:r>
        <w:rPr>
          <w:rStyle w:val="FootnoteReference"/>
        </w:rPr>
        <w:footnoteReference w:id="47"/>
      </w:r>
    </w:p>
    <w:p w14:paraId="36B34535" w14:textId="77777777" w:rsidR="005D127F" w:rsidRDefault="005D127F" w:rsidP="003E15AA">
      <w:pPr>
        <w:contextualSpacing/>
        <w:jc w:val="left"/>
      </w:pPr>
    </w:p>
    <w:p w14:paraId="0DE33C8F" w14:textId="0C305ED8" w:rsidR="009E2D51" w:rsidRDefault="00000000" w:rsidP="003E15AA">
      <w:pPr>
        <w:contextualSpacing/>
        <w:jc w:val="left"/>
      </w:pPr>
      <w:r>
        <w:t xml:space="preserve">1.3.6 </w:t>
      </w:r>
      <w:r>
        <w:rPr>
          <w:u w:val="single"/>
        </w:rPr>
        <w:t xml:space="preserve">Modelos de </w:t>
      </w:r>
      <w:r>
        <w:rPr>
          <w:u w:val="single"/>
        </w:rPr>
        <w:t>Lenguaje de gran escala aplicados a seguridad</w:t>
      </w:r>
    </w:p>
    <w:p w14:paraId="6196E2A2" w14:textId="77777777" w:rsidR="009E2D51" w:rsidRDefault="00000000" w:rsidP="003E15AA">
      <w:pPr>
        <w:contextualSpacing/>
      </w:pPr>
      <w:r>
        <w:t xml:space="preserve">     Los </w:t>
      </w:r>
      <w:r>
        <w:rPr/>
        <w:t xml:space="preserve">Modelos de lenguaje de gran escala </w:t>
      </w:r>
      <w:r>
        <w:t>(</w:t>
      </w:r>
      <w:r>
        <w:rPr>
          <w:i/>
          <w:iCs/>
        </w:rPr>
        <w:t>Large Language Models</w:t>
      </w:r>
      <w:r>
        <w:t xml:space="preserve">, LLM) son redes neuronales con decenas de miles de millones de parámetros entrenadas sobre corpus masivos de texto, cuya arquitectura base es el Transformer propuesto por Vaswani et al. (2017).</w:t>
      </w:r>
      <w:r>
        <w:rPr>
          <w:rStyle w:val="FootnoteReference"/>
        </w:rPr>
        <w:footnoteReference w:id="48"/>
      </w:r>
    </w:p>
    <w:p>
      <w:pPr>
        <w:contextualSpacing/>
      </w:pPr>
      <w:r>
        <w:t xml:space="preserve">     Su capacidad de generar texto coherente y contextualizado los hace candidatos naturales para tareas de síntesis de documentación de seguridad y generación de recomendaciones de remediación.</w:t>
      </w:r>
      <w:r>
        <w:rPr>
          <w:rStyle w:val="FootnoteReference"/>
        </w:rPr>
        <w:footnoteReference w:id="49"/>
      </w:r>
    </w:p>
    <w:p w14:paraId="4F165A87" w14:textId="77777777" w:rsidR="005D127F" w:rsidRDefault="005D127F" w:rsidP="003E15AA">
      <w:pPr>
        <w:contextualSpacing/>
        <w:jc w:val="left"/>
      </w:pPr>
    </w:p>
    <w:p w14:paraId="748152E4" w14:textId="1672D9B3" w:rsidR="009E2D51" w:rsidRDefault="00000000" w:rsidP="003E15AA">
      <w:pPr>
        <w:contextualSpacing/>
        <w:jc w:val="left"/>
      </w:pPr>
      <w:r>
        <w:t xml:space="preserve">1.3.6.1 </w:t>
      </w:r>
      <w:r>
        <w:rPr>
          <w:u w:val="single"/>
        </w:rPr>
        <w:t>El problema de las alucinaciones</w:t>
      </w:r>
    </w:p>
    <w:p w14:paraId="2055E034" w14:textId="77777777" w:rsidR="009E2D51" w:rsidRPr="00B5669C" w:rsidRDefault="00000000" w:rsidP="003E15AA">
      <w:pPr>
        <w:contextualSpacing/>
        <w:rPr>
          <w:color w:val="EE0000"/>
        </w:rPr>
      </w:pPr>
      <w:r>
        <w:t xml:space="preserve">     Una alucinación en el contexto de los LLM es la generación de información plausible pero factualmente incorrecta. Ji et al. (2023) realizaron la revisión sistemática más extensa sobre este fenómeno, documentando sus causas y mecanismos en modelos de lenguaje naturales.</w:t>
      </w:r>
      <w:r>
        <w:rPr>
          <w:rStyle w:val="FootnoteReference"/>
        </w:rPr>
        <w:footnoteReference w:id="50"/>
      </w:r>
    </w:p>
    <w:p>
      <w:pPr>
        <w:contextualSpacing/>
        <w:rPr>
          <w:color w:val="EE0000"/>
        </w:rPr>
      </w:pPr>
      <w:r>
        <w:t xml:space="preserve">     Pearce et al. (2023) constataron que los LLM tienden a proponer paquetes inexistentes, citar URLs fabricadas o describir categorías OWASP con nombres incorrectos cuando carecen de documentación de referencia actualizada.</w:t>
      </w:r>
      <w:r>
        <w:rPr>
          <w:rStyle w:val="FootnoteReference"/>
        </w:rPr>
        <w:footnoteReference w:id="51"/>
      </w:r>
      <w:r>
        <w:t xml:space="preserve"> En el contexto de recomendaciones de seguridad, una alucinación puede conducir al desarrollador a aplicar una corrección incorrecta o a adoptar una dependencia inexistente, erosionando la confianza en la herramienta</w:t>
      </w:r>
      <w:r>
        <w:rPr/>
        <w:t>.</w:t>
      </w:r>
    </w:p>
    <w:p w14:paraId="1986E99C" w14:textId="77777777" w:rsidR="009E2D51" w:rsidRPr="00B5669C" w:rsidRDefault="00000000" w:rsidP="003E15AA">
      <w:pPr>
        <w:contextualSpacing/>
        <w:rPr>
          <w:color w:val="EE0000"/>
        </w:rPr>
      </w:pPr>
      <w:r>
        <w:t xml:space="preserve">     Los LLM evolucionaron a partir de la arquitectura Transformer (Vaswani et al., 2017) y los modelos de representación contextual como BERT (Devlin et al., 2019).</w:t>
      </w:r>
      <w:r>
        <w:rPr>
          <w:rStyle w:val="FootnoteReference"/>
        </w:rPr>
        <w:footnoteReference w:id="52"/>
      </w:r>
    </w:p>
    <w:p>
      <w:pPr>
        <w:contextualSpacing/>
        <w:rPr>
          <w:color w:val="EE0000"/>
        </w:rPr>
      </w:pPr>
      <w:r>
        <w:t xml:space="preserve">     Brown et al. (2020) demostraron con GPT-3 que los LLM de escala suficiente pueden realizar tareas complejas con un número reducido de ejemplos en el </w:t>
      </w:r>
      <w:r>
        <w:rPr>
          <w:i/>
          <w:iCs/>
        </w:rPr>
        <w:t>prompt</w:t>
      </w:r>
      <w:r>
        <w:t xml:space="preserve"> (</w:t>
      </w:r>
      <w:r>
        <w:rPr>
          <w:i/>
          <w:iCs/>
        </w:rPr>
        <w:t>few-shot learning</w:t>
      </w:r>
      <w:r>
        <w:t>)</w:t>
      </w:r>
      <w:r>
        <w:rPr>
          <w:rStyle w:val="FootnoteReference"/>
        </w:rPr>
        <w:footnoteReference w:id="53"/>
      </w:r>
      <w:r>
        <w:t xml:space="preserve">, característica que fundamenta el diseño del </w:t>
      </w:r>
      <w:r>
        <w:rPr>
          <w:i/>
          <w:iCs/>
        </w:rPr>
        <w:t>prompt</w:t>
      </w:r>
      <w:r>
        <w:t xml:space="preserve"> de enriquecimiento RAG utilizado en el presente trabajo: los fragmentos de documentación recuperados actúan como ejemplos contextuales que guían la generación del modelo hacia respuestas específicas al dominio</w:t>
      </w:r>
      <w:r>
        <w:rPr/>
        <w:t>.</w:t>
      </w:r>
    </w:p>
    <w:p w14:paraId="209C4195" w14:textId="77777777" w:rsidR="005D127F" w:rsidRDefault="005D127F" w:rsidP="003E15AA">
      <w:pPr>
        <w:contextualSpacing/>
        <w:jc w:val="left"/>
      </w:pPr>
    </w:p>
    <w:p w14:paraId="67BCBA6B" w14:textId="279BD738" w:rsidR="009E2D51" w:rsidRDefault="00000000" w:rsidP="003E15AA">
      <w:pPr>
        <w:contextualSpacing/>
        <w:jc w:val="left"/>
      </w:pPr>
      <w:r>
        <w:t xml:space="preserve">1.3.6.2 </w:t>
      </w:r>
      <w:r>
        <w:rPr>
          <w:u w:val="single"/>
        </w:rPr>
        <w:t>Mistral 7B</w:t>
      </w:r>
    </w:p>
    <w:p w14:paraId="4E489647" w14:textId="77777777" w:rsidR="009E2D51" w:rsidRDefault="00000000" w:rsidP="003E15AA">
      <w:pPr>
        <w:contextualSpacing/>
      </w:pPr>
      <w:r>
        <w:t xml:space="preserve">     Mistral 7B es un modelo de lenguaje de 7.3 mil millones de parámetros publicado por Mistral AI en 2023, cuya arquitectura incorpora </w:t>
      </w:r>
      <w:r>
        <w:rPr>
          <w:i/>
          <w:iCs/>
        </w:rPr>
        <w:t>sliding window attention</w:t>
      </w:r>
      <w:r>
        <w:t xml:space="preserve"> y atención de consulta agrupada (</w:t>
      </w:r>
      <w:r>
        <w:rPr>
          <w:i/>
          <w:iCs/>
        </w:rPr>
        <w:t>grouped-query attention</w:t>
      </w:r>
      <w:r>
        <w:t xml:space="preserve">) para reducir el costo de inferencia sin degradar la calidad de generación. Jiang et al. (2023) demostraron que Mistral 7B supera a Llama 2 13B en múltiples </w:t>
      </w:r>
      <w:r>
        <w:rPr>
          <w:i/>
          <w:iCs/>
        </w:rPr>
        <w:t>benchmarks</w:t>
      </w:r>
      <w:r>
        <w:t xml:space="preserve"> de razonamiento y codificación. En el presente trabajo se utiliza la variante cuantizada Q4_K_M, que permite su ejecución en CPU con 16 GB de RAM, eliminando la dependencia de hardware especializado.</w:t>
      </w:r>
      <w:r>
        <w:rPr>
          <w:rStyle w:val="FootnoteReference"/>
        </w:rPr>
        <w:footnoteReference w:id="54"/>
      </w:r>
    </w:p>
    <w:p w14:paraId="51BA01DA" w14:textId="77777777" w:rsidR="009E2D51" w:rsidRPr="00B5669C" w:rsidRDefault="00000000" w:rsidP="003E15AA">
      <w:pPr>
        <w:contextualSpacing/>
        <w:rPr>
          <w:color w:val="EE0000"/>
        </w:rPr>
      </w:pPr>
      <w:r>
        <w:t xml:space="preserve">     La cuantización del modelo Mistral 7B al formato Q4_K_M reduce su tamaño en disco de aproximadamente 14 GB (precisión FP16) a aproximadamente 4.5 GB, con una pérdida de calidad de generación inferior al 1% en la mayoría de tareas evaluadas.</w:t>
      </w:r>
      <w:r>
        <w:rPr>
          <w:rStyle w:val="FootnoteReference"/>
        </w:rPr>
        <w:footnoteReference w:id="55"/>
      </w:r>
    </w:p>
    <w:p>
      <w:pPr>
        <w:contextualSpacing/>
        <w:rPr>
          <w:color w:val="EE0000"/>
        </w:rPr>
      </w:pPr>
      <w:r>
        <w:t xml:space="preserve">     Esta reducción es crítica para la viabilidad práctica de la herramienta: permite su ejecución en equipos de trabajo estándar de desarrollo con 16 GB de RAM sin modificaciones de hardware.</w:t>
      </w:r>
      <w:r>
        <w:rPr>
          <w:rStyle w:val="FootnoteReference"/>
        </w:rPr>
        <w:footnoteReference w:id="56"/>
      </w:r>
      <w:r>
        <w:t xml:space="preserv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Pr/>
        <w:t>.</w:t>
      </w:r>
    </w:p>
    <w:p w14:paraId="22DAFA38" w14:textId="77777777" w:rsidR="005D127F" w:rsidRDefault="005D127F" w:rsidP="003E15AA">
      <w:pPr>
        <w:contextualSpacing/>
        <w:jc w:val="left"/>
      </w:pPr>
    </w:p>
    <w:p w14:paraId="67E5DCCA" w14:textId="258CBA7C" w:rsidR="009E2D51" w:rsidRDefault="00000000" w:rsidP="003E15AA">
      <w:pPr>
        <w:contextualSpacing/>
        <w:jc w:val="left"/>
      </w:pPr>
      <w:r>
        <w:t xml:space="preserve">1.3.7 </w:t>
      </w:r>
      <w:r>
        <w:rPr>
          <w:u w:val="single"/>
        </w:rPr>
        <w:t xml:space="preserve">Generación </w:t>
      </w:r>
      <w:r>
        <w:rPr>
          <w:u w:val="single"/>
        </w:rPr>
        <w:t xml:space="preserve">Aumentada por recuperación </w:t>
      </w:r>
      <w:r>
        <w:rPr>
          <w:u w:val="single"/>
        </w:rPr>
        <w:t>(RAG)</w:t>
      </w:r>
    </w:p>
    <w:p w14:paraId="78540DFE" w14:textId="77777777" w:rsidR="009E2D51" w:rsidRDefault="00000000" w:rsidP="003E15AA">
      <w:pPr>
        <w:contextualSpacing/>
      </w:pPr>
      <w:r>
        <w:t xml:space="preserve">     La </w:t>
      </w:r>
      <w:r>
        <w:rPr/>
        <w:t xml:space="preserve">Generación aumentada por recuperación </w:t>
      </w:r>
      <w:r>
        <w:t>(</w:t>
      </w:r>
      <w:r>
        <w:rPr>
          <w:i/>
          <w:iCs/>
        </w:rPr>
        <w:t>Retrieval-Augmented Generation</w:t>
      </w:r>
      <w:r>
        <w:t xml:space="preserve">, RAG) es un paradigma propuesto por Lewis et al. (2020) que combina un recuperador de información con un modelo generativo. En lugar de depender exclusivamente de los parámetros aprendidos durante el entrenamiento, el modelo recibe en el </w:t>
      </w:r>
      <w:r>
        <w:rPr>
          <w:i/>
          <w:iCs/>
        </w:rPr>
        <w:t>prompt</w:t>
      </w:r>
      <w:r>
        <w:t xml:space="preserve"> fragmentos de documentación recuperados dinámicamente, lo que reduce la tasa de alucinaciones y mejora la precisión factual de las respuestas.</w:t>
      </w:r>
      <w:r>
        <w:rPr>
          <w:rStyle w:val="FootnoteReference"/>
        </w:rPr>
        <w:footnoteReference w:id="57"/>
      </w:r>
    </w:p>
    <w:p w14:paraId="4BA9B698" w14:textId="77777777" w:rsidR="009E2D51" w:rsidRPr="00B5669C" w:rsidRDefault="00000000" w:rsidP="003E15AA">
      <w:pPr>
        <w:contextualSpacing/>
        <w:rPr>
          <w:color w:val="EE0000"/>
        </w:rPr>
      </w:pPr>
      <w:r>
        <w:t xml:space="preserve">     El paradigma RAG surgió como respuesta a dos limitaciones fundamentales de los LLM entrenados con datos estáticos: la fecha de corte del conocimiento y la tendencia a generar afirmaciones plausibles pero incorrectas sobre temas especializados. Lewis et al. (2020) demostraron que un modelo RAG supera consistentemente a modelos de parámetros equivalentes en tareas que requieren conocimiento específico del dominio.</w:t>
      </w:r>
      <w:r>
        <w:rPr>
          <w:rStyle w:val="FootnoteReference"/>
        </w:rPr>
        <w:footnoteReference w:id="58"/>
      </w:r>
    </w:p>
    <w:p>
      <w:pPr>
        <w:contextualSpacing/>
        <w:rPr>
          <w:color w:val="EE0000"/>
        </w:rPr>
      </w:pPr>
      <w:r>
        <w:t xml:space="preserve">     Gao et al. (2023) realizaron una revisión sistemática de las arquitecturas RAG más recientes, identificando los componentes determinantes para la calidad de las respuestas: recuperador denso, segmentación del corpus y diseño del </w:t>
      </w:r>
      <w:r>
        <w:rPr>
          <w:i/>
          <w:iCs/>
        </w:rPr>
        <w:t>prompt</w:t>
      </w:r>
      <w:r>
        <w:t xml:space="preserve"> de enriquecimiento.</w:t>
      </w:r>
      <w:r>
        <w:rPr>
          <w:rStyle w:val="FootnoteReference"/>
        </w:rPr>
        <w:footnoteReference w:id="59"/>
      </w:r>
    </w:p>
    <w:p>
      <w:pPr>
        <w:contextualSpacing/>
        <w:rPr>
          <w:color w:val="EE0000"/>
        </w:rPr>
      </w:pPr>
      <w:r>
        <w:t xml:space="preserve">     Borgeaud et al. (2022) demostraron que la escala del corpus de recuperación es un factor determinante en la precisión factual de los modelos, con mejoras observadas hasta corpus de billones de </w:t>
      </w:r>
      <w:r>
        <w:rPr>
          <w:i/>
          <w:iCs/>
        </w:rPr>
        <w:t>tokens</w:t>
      </w:r>
      <w:r>
        <w:t>.</w:t>
      </w:r>
      <w:r>
        <w:rPr>
          <w:rStyle w:val="FootnoteReference"/>
        </w:rPr>
        <w:footnoteReference w:id="60"/>
      </w:r>
      <w:r>
        <w:t xml:space="preserve"> En el contexto de la seguridad de </w:t>
      </w:r>
      <w:r>
        <w:rPr>
          <w:i/>
          <w:iCs/>
        </w:rPr>
        <w:t>software</w:t>
      </w:r>
      <w:r>
        <w:t xml:space="preserve">, las características RAG —conocimiento </w:t>
        <w:lastRenderedPageBreak/>
        <w:t>actualizable, especializado y trazable— son precisamente las que se requieren para generar recomendaciones de remediación de alta calidad</w:t>
      </w:r>
      <w:r>
        <w:rPr/>
        <w:t>.</w:t>
      </w:r>
    </w:p>
    <w:p w14:paraId="255205D6" w14:textId="77777777" w:rsidR="005D127F" w:rsidRDefault="005D127F" w:rsidP="003E15AA">
      <w:pPr>
        <w:contextualSpacing/>
        <w:jc w:val="left"/>
      </w:pPr>
    </w:p>
    <w:p w14:paraId="48CEBFA8" w14:textId="45BE01A6" w:rsidR="009E2D51" w:rsidRDefault="00000000" w:rsidP="003E15AA">
      <w:pPr>
        <w:contextualSpacing/>
        <w:jc w:val="left"/>
      </w:pPr>
      <w:r>
        <w:t xml:space="preserve">1.3.7.1 </w:t>
      </w:r>
      <w:r>
        <w:rPr>
          <w:u w:val="single"/>
        </w:rPr>
        <w:t>Representaciones vectoriales (</w:t>
      </w:r>
      <w:r>
        <w:rPr>
          <w:u w:val="single"/>
          <w:i/>
          <w:iCs/>
        </w:rPr>
        <w:t>embeddings</w:t>
      </w:r>
      <w:r>
        <w:rPr>
          <w:u w:val="single"/>
        </w:rPr>
        <w:t>)</w:t>
      </w:r>
    </w:p>
    <w:p w14:paraId="3E9B7316" w14:textId="77777777" w:rsidR="009E2D51" w:rsidRDefault="00000000" w:rsidP="003E15AA">
      <w:pPr>
        <w:contextualSpacing/>
      </w:pPr>
      <w:r>
        <w:t xml:space="preserve">     Un </w:t>
      </w:r>
      <w:r>
        <w:rPr>
          <w:i/>
          <w:iCs/>
        </w:rPr>
        <w:t>embedding</w:t>
      </w:r>
      <w:r>
        <w:t xml:space="preserve"> es la proyección de un fragmento de texto en un vector de alta dimensión que captura su significado semántico. Mikolov et al. (2013) sentaron las bases de esta representación distribucional con el modelo Word2Vec, demostrando que las relaciones semánticas entre conceptos pueden codificarse como operaciones algebraicas en el espacio vectorial. La búsqueda vectorial recupera documentos cuyo vector es más cercano al de la consulta según la similitud coseno, encontrando textos conceptualmente afines aunque no compartan palabras exactas con la consulta. Esta propiedad es especialmente valiosa en el dominio de la seguridad, donde una misma vulnerabilidad puede describirse con terminología variable.</w:t>
      </w:r>
      <w:r>
        <w:rPr>
          <w:rStyle w:val="FootnoteReference"/>
        </w:rPr>
        <w:footnoteReference w:id="61"/>
      </w:r>
    </w:p>
    <w:p w14:paraId="3A707D2F" w14:textId="77777777" w:rsidR="005D127F" w:rsidRDefault="005D127F" w:rsidP="003E15AA">
      <w:pPr>
        <w:contextualSpacing/>
        <w:jc w:val="left"/>
      </w:pPr>
    </w:p>
    <w:p w14:paraId="6C9AF1C6" w14:textId="56B6B5FD" w:rsidR="009E2D51" w:rsidRDefault="00000000" w:rsidP="003E15AA">
      <w:pPr>
        <w:contextualSpacing/>
        <w:jc w:val="left"/>
      </w:pPr>
      <w:r>
        <w:t xml:space="preserve">1.3.7.2 </w:t>
      </w:r>
      <w:r>
        <w:rPr>
          <w:u w:val="single"/>
        </w:rPr>
        <w:t>Sentence-Transformers y all-MiniLM-L6-v2</w:t>
      </w:r>
    </w:p>
    <w:p w14:paraId="0F3A3085" w14:textId="77777777" w:rsidR="009E2D51" w:rsidRDefault="00000000" w:rsidP="003E15AA">
      <w:pPr>
        <w:contextualSpacing/>
      </w:pPr>
      <w:r>
        <w:t xml:space="preserve">     Reimers y Gurevych (2019) propusieron Sentence-BERT, una adaptación de la arquitectura BERT que, mediante entrenamiento siamés con pares de oraciones semánticamente similares, produce </w:t>
      </w:r>
      <w:r>
        <w:rPr>
          <w:i/>
          <w:iCs/>
        </w:rPr>
        <w:t>embeddings</w:t>
      </w:r>
      <w:r>
        <w:t xml:space="preserve"> de oraciones comparables mediante similitud coseno de forma eficiente. El modelo </w:t>
      </w:r>
      <w:r>
        <w:rPr>
          <w:i/>
          <w:iCs/>
        </w:rPr>
        <w:t>all-MiniLM-L6-v2</w:t>
      </w:r>
      <w:r>
        <w:t xml:space="preserve"> es una versión comprimida de esta arquitectura con 22 millones de parámetros que genera vectores de 384 dimensiones con una latencia inferior a 50 milisegundos por oración en CPU, característica que lo hace idóneo para la ejecución local sin hardware especializado.</w:t>
      </w:r>
      <w:r>
        <w:rPr>
          <w:rStyle w:val="FootnoteReference"/>
        </w:rPr>
        <w:footnoteReference w:id="62"/>
      </w:r>
    </w:p>
    <w:p w14:paraId="13A6C0AB" w14:textId="77777777" w:rsidR="005D127F" w:rsidRDefault="005D127F" w:rsidP="003E15AA">
      <w:pPr>
        <w:contextualSpacing/>
        <w:jc w:val="left"/>
      </w:pPr>
    </w:p>
    <w:p w14:paraId="46640DE5" w14:textId="087F387D" w:rsidR="009E2D51" w:rsidRDefault="00000000" w:rsidP="003E15AA">
      <w:pPr>
        <w:contextualSpacing/>
        <w:jc w:val="left"/>
      </w:pPr>
      <w:r>
        <w:lastRenderedPageBreak/>
        <w:t xml:space="preserve">1.3.7.3 </w:t>
      </w:r>
      <w:r>
        <w:rPr>
          <w:u w:val="single"/>
        </w:rPr>
        <w:t>ChromaDB y Ollama</w:t>
      </w:r>
    </w:p>
    <w:p w14:paraId="0775F126" w14:textId="77777777" w:rsidR="009E2D51" w:rsidRPr="00B5669C" w:rsidRDefault="00000000" w:rsidP="003E15AA">
      <w:pPr>
        <w:contextualSpacing/>
        <w:rPr>
          <w:color w:val="EE0000"/>
        </w:rPr>
      </w:pPr>
      <w:r>
        <w:t xml:space="preserve">     ChromaDB es una base de datos vectorial de código abierto y embebible —sin necesidad de servidor independiente— que almacena documentos junto con sus vectores y metadatos, y expone una interfaz de búsqueda por similitud coseno con filtros opcionales.</w:t>
      </w:r>
      <w:r>
        <w:rPr>
          <w:rStyle w:val="FootnoteReference"/>
        </w:rPr>
        <w:footnoteReference w:id="64"/>
      </w:r>
    </w:p>
    <w:p>
      <w:pPr>
        <w:contextualSpacing/>
        <w:rPr>
          <w:color w:val="EE0000"/>
        </w:rPr>
      </w:pPr>
      <w:r>
        <w:t xml:space="preserve">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i/>
          <w:iCs/>
        </w:rPr>
        <w:t>pipeline</w:t>
      </w:r>
      <w:r>
        <w:t xml:space="preserve"> RAG completamente local: sin costo por </w:t>
      </w:r>
      <w:r>
        <w:rPr>
          <w:i/>
          <w:iCs/>
        </w:rPr>
        <w:t>token</w:t>
      </w:r>
      <w:r>
        <w:t>, sin transmisión de código fuente propietario y operable en entornos sin conectividad a internet. Karpukhin et al. (2020) demostraron que la recuperación densa mediante vectores es superior a la recuperación léxica (BM25) para preguntas que requieren razonamiento semántico, lo que justifica el uso de ChromaDB con embeddings densos en lugar de índices de texto pleno</w:t>
      </w:r>
      <w:r>
        <w:rPr/>
        <w:t>.</w:t>
      </w:r>
      <w:r>
        <w:rPr>
          <w:rStyle w:val="FootnoteReference"/>
        </w:rPr>
        <w:footnoteReference w:id="63"/>
      </w:r>
    </w:p>
    <w:p w14:paraId="7624F72D" w14:textId="77777777" w:rsidR="005D127F" w:rsidRDefault="005D127F" w:rsidP="003E15AA">
      <w:pPr>
        <w:contextualSpacing/>
        <w:jc w:val="left"/>
      </w:pPr>
    </w:p>
    <w:p w14:paraId="52B0E1F2" w14:textId="7F3A2EDE" w:rsidR="009E2D51" w:rsidRDefault="00000000" w:rsidP="003E15AA">
      <w:pPr>
        <w:contextualSpacing/>
        <w:jc w:val="left"/>
      </w:pPr>
      <w:r>
        <w:t xml:space="preserve">1.3.7.4 </w:t>
      </w:r>
      <w:r>
        <w:rPr>
          <w:u w:val="single"/>
        </w:rPr>
        <w:t xml:space="preserve">Aplicación del </w:t>
      </w:r>
      <w:r>
        <w:rPr>
          <w:u w:val="single"/>
          <w:i/>
          <w:iCs/>
        </w:rPr>
        <w:t>pipeline</w:t>
      </w:r>
      <w:r>
        <w:rPr>
          <w:u w:val="single"/>
        </w:rPr>
        <w:t xml:space="preserve"> RAG a seguridad de </w:t>
      </w:r>
      <w:r>
        <w:rPr>
          <w:u w:val="single"/>
          <w:i/>
          <w:iCs/>
        </w:rPr>
        <w:t>software</w:t>
      </w:r>
    </w:p>
    <w:p w14:paraId="66D8E205" w14:textId="77777777" w:rsidR="009E2D51" w:rsidRDefault="00000000" w:rsidP="003E15AA">
      <w:pPr>
        <w:contextualSpacing/>
      </w:pPr>
      <w:r>
        <w:t xml:space="preserve">     En el presente trabajo, la base de conocimiento se construye a partir de tres documentos especializados: el OWASP API Security Top 10 (2023), la guía de seguridad de Django REST </w:t>
      </w:r>
      <w:r>
        <w:rPr>
          <w:i/>
          <w:iCs/>
        </w:rPr>
        <w:t>Framework</w:t>
      </w:r>
      <w: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i/>
          <w:iCs/>
        </w:rPr>
        <w:t>prompt</w:t>
      </w:r>
      <w:r>
        <w:t xml:space="preserve"> enriquecido instruye al modelo a limitar su respuesta a la documentación recuperada y a cerrar la recomendación con una sección «Fuentes:» que cita el documento y la sección de origen de cada fragmento, garantizando la trazabilidad de cada afirmación.</w:t>
      </w:r>
      <w:r>
        <w:rPr>
          <w:rStyle w:val="FootnoteReference"/>
        </w:rPr>
        <w:footnoteReference w:id="65"/>
      </w:r>
    </w:p>
    <w:p w14:paraId="2963C33E" w14:textId="77777777" w:rsidR="009E2D51" w:rsidRDefault="00000000" w:rsidP="003E15AA">
      <w:pPr>
        <w:contextualSpacing/>
      </w:pPr>
      <w:r>
        <w:t xml:space="preserve">     El diseño del </w:t>
      </w:r>
      <w:r>
        <w:rPr>
          <w:i/>
          <w:iCs/>
        </w:rPr>
        <w:t>prompt</w:t>
      </w:r>
      <w:r>
        <w:t xml:space="preserve"> de enriquecimiento es determinante para la calidad de las recomendaciones generadas. Un </w:t>
      </w:r>
      <w:r>
        <w:rPr>
          <w:i/>
          <w:iCs/>
        </w:rPr>
        <w:t>prompt</w:t>
      </w:r>
      <w:r>
        <w:t xml:space="preserve"> excesivamente largo —con más de diez fragmentos </w:t>
        <w:lastRenderedPageBreak/>
        <w:t xml:space="preserve">de contexto— puede superar la ventana de contexto del modelo o diluir la señal relevante con ruido. Un </w:t>
      </w:r>
      <w:r>
        <w:rPr>
          <w:i/>
          <w:iCs/>
        </w:rPr>
        <w:t>prompt</w:t>
      </w:r>
      <w:r>
        <w:t xml:space="preserve"> demasiado corto —con menos de tres fragmentos— puede no proporcionar suficiente contexto para que el modelo genere una recomendación específica al </w:t>
      </w:r>
      <w:r>
        <w:rPr>
          <w:i/>
          <w:iCs/>
        </w:rPr>
        <w:t>framework</w:t>
      </w:r>
      <w:r>
        <w:t xml:space="preserve">. La configuración de cuatro a cinco fragmentos, temperatura 0.2 y máximo de 512 </w:t>
      </w:r>
      <w:r>
        <w:rPr>
          <w:i/>
          <w:iCs/>
        </w:rPr>
        <w:t>tokens</w:t>
      </w:r>
      <w:r>
        <w:t xml:space="preserve"> de respuesta fue determinada empíricamente durante el desarrollo: la temperatura baja reduce la creatividad del modelo y lo ancla a la documentación recuperada, minimizando la probabilidad de alucinaciones; el límite de 512 </w:t>
      </w:r>
      <w:r>
        <w:rPr>
          <w:i/>
          <w:iCs/>
        </w:rPr>
        <w:t>tokens</w:t>
      </w:r>
      <w:r>
        <w:t xml:space="preserve"> garantiza que la recomendación sea concisa y accionable sin truncarse en la mayoría de los casos.</w:t>
      </w:r>
      <w:r>
        <w:rPr>
          <w:rStyle w:val="FootnoteReference"/>
        </w:rPr>
        <w:footnoteReference w:id="66"/>
      </w:r>
    </w:p>
    <w:p w14:paraId="353C2F79" w14:textId="77777777" w:rsidR="005D127F" w:rsidRDefault="005D127F" w:rsidP="003E15AA">
      <w:pPr>
        <w:contextualSpacing/>
        <w:jc w:val="center"/>
        <w:rPr>
          <w:b/>
          <w:bCs/>
        </w:rPr>
      </w:pPr>
    </w:p>
    <w:p w14:paraId="7345EACD" w14:textId="032B7535" w:rsidR="009E2D51" w:rsidRDefault="00000000" w:rsidP="003E15AA">
      <w:pPr>
        <w:contextualSpacing/>
        <w:jc w:val="center"/>
      </w:pPr>
      <w:commentRangeStart w:id="9"/>
      <w:r>
        <w:rPr/>
        <w:t>Figura No. 2</w:t>
      </w:r>
      <w:commentRangeEnd w:id="9"/>
      <w:r>
        <w:rPr>
          <w:rStyle w:val="CommentReference"/>
          <w:sz w:val="24"/>
          <w:szCs w:val="24"/>
        </w:rPr>
        <w:commentReference w:id="9"/>
      </w:r>
    </w:p>
    <w:p w14:paraId="5C4DAD09" w14:textId="77777777" w:rsidR="009E2D51" w:rsidRDefault="00000000" w:rsidP="003E15AA">
      <w:pPr>
        <w:contextualSpacing/>
        <w:jc w:val="center"/>
      </w:pPr>
      <w:r>
        <w:rPr/>
        <w:t>FLUJO DEL PIPELINE DE GENERACIÓN AUMENTADA POR RECUPERACIÓN (RAG)</w:t>
      </w:r>
    </w:p>
    <w:p w14:paraId="2AF42822" w14:textId="77777777" w:rsidR="009E2D51" w:rsidRDefault="00000000" w:rsidP="003E15AA">
      <w:pPr>
        <w:contextualSpacing/>
        <w:jc w:val="center"/>
      </w:pPr>
      <w:r>
        <w:rPr>
          <w:noProof/>
        </w:rPr>
        <w:drawing>
          <wp:inline distT="0" distB="0" distL="0" distR="0" wp14:anchorId="39D57CA8" wp14:editId="4E1C0DD9">
            <wp:extent cx="4762500" cy="1524000"/>
            <wp:effectExtent l="0" t="0" r="0" b="0"/>
            <wp:docPr id="1494916276" name="Imagen 149491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524000"/>
                    </a:xfrm>
                    <a:prstGeom prst="rect">
                      <a:avLst/>
                    </a:prstGeom>
                    <a:ln w="12700">
                      <a:solidFill>
                        <a:srgbClr val="000000"/>
                      </a:solidFill>
                    </a:ln>
                  </pic:spPr>
                </pic:pic>
              </a:graphicData>
            </a:graphic>
          </wp:inline>
        </w:drawing>
      </w:r>
    </w:p>
    <w:p w14:paraId="73B46F79" w14:textId="77777777" w:rsidR="009E2D51" w:rsidRDefault="00000000" w:rsidP="003E15AA">
      <w:pPr>
        <w:ind w:left="668"/>
        <w:contextualSpacing/>
        <w:jc w:val="left"/>
      </w:pPr>
      <w:r>
        <w:rPr>
          <w:sz w:val="20"/>
          <w:szCs w:val="20"/>
        </w:rPr>
        <w:t>Fuente: Propia.</w:t>
      </w:r>
    </w:p>
    <w:p w14:paraId="1D2C0437" w14:textId="77777777" w:rsidR="005D127F" w:rsidRDefault="005D127F" w:rsidP="003E15AA">
      <w:pPr>
        <w:contextualSpacing/>
        <w:jc w:val="left"/>
      </w:pPr>
    </w:p>
    <w:p w14:paraId="6C256DF7" w14:textId="0602315A" w:rsidR="009E2D51" w:rsidRDefault="00000000" w:rsidP="003E15AA">
      <w:pPr>
        <w:contextualSpacing/>
        <w:jc w:val="left"/>
      </w:pPr>
      <w:r>
        <w:t xml:space="preserve">1.3.8 </w:t>
      </w:r>
      <w:r>
        <w:rPr>
          <w:u w:val="single"/>
        </w:rPr>
        <w:t xml:space="preserve">Automatización de </w:t>
      </w:r>
      <w:r>
        <w:rPr>
          <w:u w:val="single"/>
        </w:rPr>
        <w:t>Auditorías y métricas de evaluación</w:t>
      </w:r>
    </w:p>
    <w:p w14:paraId="72F8840E" w14:textId="77777777" w:rsidR="009E2D51" w:rsidRDefault="00000000" w:rsidP="003E15AA">
      <w:pPr>
        <w:contextualSpacing/>
      </w:pPr>
      <w:r>
        <w:t xml:space="preserve">     La integración de herramientas de seguridad en ciclos DevSecOps —el paradigma conocido como </w:t>
      </w:r>
      <w:r>
        <w:rPr>
          <w:i/>
          <w:iCs/>
        </w:rPr>
        <w:t>shift-left security</w:t>
      </w:r>
      <w:r>
        <w:t xml:space="preserve">— busca incorporar verificaciones de seguridad en las fases más tempranas del ciclo de desarrollo. Las herramientas de interfaz de línea de comandos son componentes ideales para esta integración, pues pueden ejecutarse automáticamente en cada </w:t>
      </w:r>
      <w:r>
        <w:rPr>
          <w:i/>
          <w:iCs/>
        </w:rPr>
        <w:t>commit</w:t>
      </w:r>
      <w:r>
        <w:t xml:space="preserve"> o </w:t>
      </w:r>
      <w:r>
        <w:rPr>
          <w:i/>
          <w:iCs/>
        </w:rPr>
        <w:t>pull request</w:t>
      </w:r>
      <w:r>
        <w:t xml:space="preserve"> dentro de un </w:t>
      </w:r>
      <w:r>
        <w:rPr>
          <w:i/>
          <w:iCs/>
        </w:rPr>
        <w:t>pipeline</w:t>
      </w:r>
      <w:r>
        <w:t xml:space="preserve"> de integración continua. Un tiempo de ejecución inferior a doscientos milisegundos para el análisis estático hace posible esta integración sin impacto perceptible en el ciclo de desarrollo.</w:t>
      </w:r>
      <w:r>
        <w:rPr>
          <w:rStyle w:val="FootnoteReference"/>
        </w:rPr>
        <w:footnoteReference w:id="67"/>
      </w:r>
    </w:p>
    <w:p w14:paraId="42EEF982" w14:textId="77777777" w:rsidR="009E2D51" w:rsidRDefault="00000000" w:rsidP="003E15AA">
      <w:pPr>
        <w:contextualSpacing/>
      </w:pPr>
      <w:r>
        <w:lastRenderedPageBreak/>
        <w:t xml:space="preserve">     La práctica de </w:t>
      </w:r>
      <w:r>
        <w:rPr>
          <w:i/>
          <w:iCs/>
        </w:rPr>
        <w:t>shift-left security</w:t>
      </w:r>
      <w: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i/>
          <w:iCs/>
        </w:rPr>
        <w:t>Framework</w:t>
      </w:r>
      <w:r>
        <w:t xml:space="preserve"> llena parcialmente esta brecha, actuando como un compilador de seguridad que detecta configuraciones problemáticas antes de que el código llegue a producción.</w:t>
      </w:r>
      <w:r>
        <w:rPr>
          <w:rStyle w:val="FootnoteReference"/>
        </w:rPr>
        <w:footnoteReference w:id="68"/>
      </w:r>
    </w:p>
    <w:p w14:paraId="6E50BDEA" w14:textId="77777777" w:rsidR="005D127F" w:rsidRDefault="005D127F" w:rsidP="003E15AA">
      <w:pPr>
        <w:contextualSpacing/>
        <w:jc w:val="left"/>
      </w:pPr>
    </w:p>
    <w:p w14:paraId="64E6C3C5" w14:textId="1BE9AAF8" w:rsidR="009E2D51" w:rsidRDefault="00000000" w:rsidP="003E15AA">
      <w:pPr>
        <w:contextualSpacing/>
        <w:jc w:val="left"/>
      </w:pPr>
      <w:r>
        <w:t xml:space="preserve">1.3.8.1 </w:t>
      </w:r>
      <w:r>
        <w:rPr>
          <w:u w:val="single"/>
        </w:rPr>
        <w:t>Métricas estándar de evaluación en detección</w:t>
      </w:r>
    </w:p>
    <w:p w14:paraId="03F14AB7" w14:textId="77777777" w:rsidR="009E2D51" w:rsidRDefault="00000000" w:rsidP="003E15AA">
      <w:pPr>
        <w:contextualSpacing/>
      </w:pPr>
      <w:r>
        <w:t xml:space="preserve">     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i/>
          <w:iCs/>
        </w:rPr>
        <w:t>recall</w:t>
      </w:r>
      <w:r>
        <w:t xml:space="preserve"> (R = TP / (TP + FN)) mide qué proporción de las vulnerabilidades reales son detectadas; F1 = 2PR / (P + R) es su media armónica. En el presente trabajo, el </w:t>
      </w:r>
      <w:r>
        <w:rPr>
          <w:i/>
          <w:iCs/>
        </w:rPr>
        <w:t>recall</w:t>
      </w:r>
      <w:r>
        <w:t xml:space="preserve"> se evalúa en un entorno controlado con ground truth conocido, y la precisión se evalúa adicionalmente en proyectos externos reales. Fawcett (2006) estableció el análisis ROC y las curvas precisión-recall como el marco estándar para evaluar clasificadores binarios como los detectores de vulnerabilidades.</w:t>
      </w:r>
      <w:r>
        <w:rPr>
          <w:rStyle w:val="FootnoteReference"/>
        </w:rPr>
        <w:footnoteReference w:id="69"/>
      </w:r>
    </w:p>
    <w:p w14:paraId="5644264D" w14:textId="77777777" w:rsidR="005D127F" w:rsidRDefault="005D127F" w:rsidP="003E15AA">
      <w:pPr>
        <w:contextualSpacing/>
        <w:jc w:val="left"/>
      </w:pPr>
    </w:p>
    <w:p w14:paraId="5ACC0268" w14:textId="2A92A156" w:rsidR="009E2D51" w:rsidRDefault="00000000" w:rsidP="003E15AA">
      <w:pPr>
        <w:contextualSpacing/>
        <w:jc w:val="left"/>
      </w:pPr>
      <w:r>
        <w:t xml:space="preserve">1.3.8.2 </w:t>
      </w:r>
      <w:r>
        <w:rPr>
          <w:u w:val="single"/>
        </w:rPr>
        <w:t xml:space="preserve">Estudio de ablación y rúbrica de evaluación </w:t>
      </w:r>
      <w:commentRangeStart w:id="10"/>
      <w:r>
        <w:rPr>
          <w:u w:val="single"/>
        </w:rPr>
        <w:t>cualitativa</w:t>
      </w:r>
      <w:commentRangeEnd w:id="10"/>
      <w:r>
        <w:rPr>
          <w:rStyle w:val="CommentReference"/>
          <w:sz w:val="24"/>
          <w:szCs w:val="24"/>
        </w:rPr>
        <w:commentReference w:id="10"/>
      </w:r>
    </w:p>
    <w:p w14:paraId="5F8524E6" w14:textId="77777777" w:rsidR="009E2D51" w:rsidRDefault="00000000" w:rsidP="003E15AA">
      <w:pPr>
        <w:contextualSpacing/>
      </w:pPr>
      <w:r>
        <w:t xml:space="preserve">     Un estudio de ablación es un experimento que desactiva un componente del sistema para cuantificar su contribución individual.</w:t>
      </w:r>
      <w:r>
        <w:rPr>
          <w:rStyle w:val="FootnoteReference"/>
          <w:sz w:val="24"/>
          <w:szCs w:val="24"/>
        </w:rPr>
        <w:footnoteReference w:id="76"/>
      </w:r>
      <w:r>
        <w:rPr/>
        <w:t xml:space="preserve"> En el presente trabajo, el estudio de ablación compara la generación de recomendaciones con el </w:t>
      </w:r>
      <w:r>
        <w:rPr>
          <w:i/>
          <w:iCs/>
        </w:rPr>
        <w:t>pipeline</w:t>
      </w:r>
      <w:r>
        <w:t xml:space="preserve"> RAG activo frente a la generación </w:t>
        <w:lastRenderedPageBreak/>
        <w:t xml:space="preserve">sin recuperación, manteniendo el mismo modelo, la misma temperatura y la misma consulta. La calidad de cada recomendación se evalúa con una rúbrica de cinco criterios: </w:t>
      </w:r>
      <w:r>
        <w:rPr/>
        <w:t>Corrección técnica</w:t>
      </w:r>
      <w:r>
        <w:t xml:space="preserve"> (CT), </w:t>
      </w:r>
      <w:r>
        <w:rPr/>
        <w:t>Especificidad</w:t>
      </w:r>
      <w:r>
        <w:t xml:space="preserve"> al </w:t>
      </w:r>
      <w:r>
        <w:rPr>
          <w:i/>
          <w:iCs/>
        </w:rPr>
        <w:t>framework</w:t>
      </w:r>
      <w:r>
        <w:t xml:space="preserve"> (EF), Alineación con OWASP (AO), </w:t>
      </w:r>
      <w:r>
        <w:rPr/>
        <w:t>Accionabilidad</w:t>
      </w:r>
      <w:r>
        <w:t xml:space="preserve"> (AC) y </w:t>
      </w:r>
      <w:r>
        <w:rPr/>
        <w:t>Trazabilidad</w:t>
      </w:r>
      <w:r>
        <w:t xml:space="preserve"> de fuentes (TF). Cada criterio se puntúa en una escala de 1 a 3 con anclas conductuales verificables objetivamente, de modo que los cuatro primeros criterios producen la misma puntuación independientemente del evaluador.</w:t>
      </w:r>
    </w:p>
    <w:p w14:paraId="11E57296" w14:textId="77777777" w:rsidR="009E2D51" w:rsidRDefault="00000000" w:rsidP="003E15AA">
      <w:pPr>
        <w:contextualSpacing/>
      </w:pPr>
      <w:r>
        <w:br w:type="page"/>
      </w:r>
    </w:p>
    <w:p w14:paraId="2A698E9B" w14:textId="77777777" w:rsidR="009E2D51" w:rsidRDefault="00000000" w:rsidP="003E15AA">
      <w:pPr>
        <w:contextualSpacing/>
        <w:jc w:val="center"/>
      </w:pPr>
      <w:r>
        <w:rPr>
          <w:b/>
          <w:bCs/>
        </w:rPr>
        <w:lastRenderedPageBreak/>
        <w:t>2. PLANTEAMIENTO DEL PROBLEMA</w:t>
      </w:r>
    </w:p>
    <w:p w14:paraId="76557539" w14:textId="77777777" w:rsidR="005D127F" w:rsidRDefault="005D127F" w:rsidP="003E15AA">
      <w:pPr>
        <w:contextualSpacing/>
        <w:jc w:val="left"/>
        <w:rPr>
          <w:b/>
          <w:bCs/>
        </w:rPr>
      </w:pPr>
    </w:p>
    <w:p w14:paraId="2E9086EF" w14:textId="0F7E2B72" w:rsidR="009E2D51" w:rsidRDefault="00000000" w:rsidP="003E15AA">
      <w:pPr>
        <w:contextualSpacing/>
        <w:jc w:val="left"/>
      </w:pPr>
      <w:r>
        <w:rPr>
          <w:b/>
          <w:bCs/>
        </w:rPr>
        <w:t>2.1 DESCRIPCIÓN DEL PROBLEMA DE INVESTIGACIÓN</w:t>
      </w:r>
    </w:p>
    <w:p w14:paraId="79954242" w14:textId="77777777" w:rsidR="009E2D51" w:rsidRDefault="00000000" w:rsidP="003E15AA">
      <w:pPr>
        <w:contextualSpacing/>
      </w:pPr>
      <w:r>
        <w:t xml:space="preserve">     Django REST </w:t>
      </w:r>
      <w:r>
        <w:rPr>
          <w:i/>
          <w:iCs/>
        </w:rPr>
        <w:t>Framework</w:t>
      </w:r>
      <w:r>
        <w:t xml:space="preserve"> es adoptado en proyectos de escala industrial que almacenan y procesan datos personales, financieros y médicos. Sin embargo, los patrones de configuración inseguros más frecuentes en estos proyectos —ausencia de </w:t>
      </w:r>
      <w:r>
        <w:rPr>
          <w:i/>
          <w:iCs/>
        </w:rPr>
        <w:t>permission_classes</w:t>
      </w:r>
      <w:r>
        <w:t xml:space="preserve">, </w:t>
      </w:r>
      <w:r>
        <w:rPr>
          <w:i/>
          <w:iCs/>
        </w:rPr>
        <w:t>ModelSerializer</w:t>
      </w:r>
      <w:r>
        <w:t xml:space="preserve"> con </w:t>
      </w:r>
      <w:r>
        <w:rPr>
          <w:i/>
          <w:iCs/>
        </w:rPr>
        <w:t>fields = '__all__'</w:t>
      </w:r>
      <w:r>
        <w:t xml:space="preserve">, </w:t>
      </w:r>
      <w:r>
        <w:rPr>
          <w:i/>
          <w:iCs/>
        </w:rPr>
        <w:t>DEBUG = True</w:t>
      </w:r>
      <w:r>
        <w:t xml:space="preserve"> en producción— no son detectados por ninguna herramienta de análisis de seguridad de propósito general disponible en la actualidad.</w:t>
      </w:r>
    </w:p>
    <w:p w14:paraId="6E1BCA18" w14:textId="77777777" w:rsidR="009E2D51" w:rsidRDefault="00000000" w:rsidP="003E15AA">
      <w:pPr>
        <w:contextualSpacing/>
      </w:pPr>
      <w:r>
        <w:t xml:space="preserve">     La brecha es concreta y medible: las herramientas Bandit y Semgrep detectan cero de las seis categorías del OWASP API Security Top 10 objetivo cuando se ejecutan contra proyectos Django REST </w:t>
      </w:r>
      <w:r>
        <w:rPr>
          <w:i/>
          <w:iCs/>
        </w:rPr>
        <w:t>Framework</w:t>
      </w:r>
      <w:r>
        <w:t>.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14:paraId="3B24FF1E" w14:textId="77777777" w:rsidR="009E2D51" w:rsidRDefault="00000000" w:rsidP="003E15AA">
      <w:pPr>
        <w:contextualSpacing/>
      </w:pPr>
      <w:r>
        <w:t xml:space="preserve">     La pregunta de investigación que articula el presente trabajo es la siguiente: ¿Es posible construir una herramienta de interfaz de línea de comandos que detecte automáticamente vulnerabilidades del OWASP API Security Top 10 en proyectos Django REST </w:t>
      </w:r>
      <w:r>
        <w:rPr>
          <w:i/>
          <w:iCs/>
        </w:rPr>
        <w:t>Framework</w:t>
      </w:r>
      <w:r>
        <w:t xml:space="preserve"> mediante análisis híbrido estático-dinámico y genere recomendaciones de remediación fundamentadas en documentación oficial, operando completamente de forma local?</w:t>
      </w:r>
    </w:p>
    <w:p w14:paraId="70A8136D" w14:textId="77777777" w:rsidR="005D127F" w:rsidRDefault="005D127F" w:rsidP="003E15AA">
      <w:pPr>
        <w:contextualSpacing/>
        <w:jc w:val="left"/>
        <w:rPr>
          <w:b/>
          <w:bCs/>
        </w:rPr>
      </w:pPr>
    </w:p>
    <w:p w14:paraId="155BFA3E" w14:textId="477F107B" w:rsidR="009E2D51" w:rsidRDefault="00000000" w:rsidP="003E15AA">
      <w:pPr>
        <w:contextualSpacing/>
        <w:jc w:val="left"/>
      </w:pPr>
      <w:r>
        <w:rPr>
          <w:b/>
          <w:bCs/>
        </w:rPr>
        <w:t>2.2 OBJETIVOS</w:t>
      </w:r>
    </w:p>
    <w:p w14:paraId="049BD5EC" w14:textId="77777777" w:rsidR="009E2D51" w:rsidRDefault="00000000" w:rsidP="003E15AA">
      <w:pPr>
        <w:contextualSpacing/>
        <w:jc w:val="left"/>
      </w:pPr>
      <w:r>
        <w:t xml:space="preserve">2.2.1 </w:t>
      </w:r>
      <w:r>
        <w:rPr>
          <w:u w:val="single"/>
        </w:rPr>
        <w:t>Objetivo general</w:t>
      </w:r>
    </w:p>
    <w:p w14:paraId="696A7774" w14:textId="03309B86" w:rsidR="009E2D51" w:rsidRDefault="00000000" w:rsidP="003E15AA">
      <w:pPr>
        <w:contextualSpacing/>
      </w:pPr>
      <w:r>
        <w:t xml:space="preserve">     Desarrollar una herramienta de interfaz de línea de comandos que automatice la auditoría de seguridad de interfaces de programación de aplicaciones REST desarrolladas con Django REST </w:t>
      </w:r>
      <w:r>
        <w:rPr>
          <w:i/>
          <w:iCs/>
        </w:rPr>
        <w:t>Framework</w:t>
      </w:r>
      <w:r>
        <w:t xml:space="preserve">, detectando vulnerabilidades de las categorías API1, API2, API3, API4, API5 y API8 del OWASP API Security Top 10 (2023) mediante análisis estático basado en Árboles de Sintaxis Abstracta y análisis dinámico mediante sondas HTTP, y </w:t>
        <w:lastRenderedPageBreak/>
        <w:t xml:space="preserve">generando recomendaciones de remediación contextualizadas a través de un </w:t>
      </w:r>
      <w:r>
        <w:rPr>
          <w:i/>
          <w:iCs/>
        </w:rPr>
        <w:t>pipeline</w:t>
      </w:r>
      <w:r>
        <w:t xml:space="preserve"> de generación aumentada por recuperación con ejecución completamente local.</w:t>
      </w:r>
    </w:p>
    <w:p w14:paraId="5C77E8E0" w14:textId="77777777" w:rsidR="005D127F" w:rsidRDefault="005D127F" w:rsidP="003E15AA">
      <w:pPr>
        <w:contextualSpacing/>
        <w:jc w:val="left"/>
      </w:pPr>
    </w:p>
    <w:p w14:paraId="34758A3D" w14:textId="7ACB1880" w:rsidR="009E2D51" w:rsidRDefault="00000000" w:rsidP="003E15AA">
      <w:pPr>
        <w:contextualSpacing/>
        <w:jc w:val="left"/>
      </w:pPr>
      <w:r>
        <w:t xml:space="preserve">2.2.2 </w:t>
      </w:r>
      <w:r>
        <w:rPr>
          <w:u w:val="single"/>
        </w:rPr>
        <w:t>Objetivos específicos</w:t>
      </w:r>
    </w:p>
    <w:p w14:paraId="1C450B9F" w14:textId="039192D8" w:rsidR="009E2D51" w:rsidRDefault="00000000" w:rsidP="00B5669C">
      <w:pPr>
        <w:pStyle w:val="ListParagraph"/>
        <w:numPr>
          <w:ilvl w:val="0"/>
          <w:numId w:val="2"/>
        </w:numPr>
        <w:contextualSpacing/>
      </w:pPr>
      <w:commentRangeStart w:id="11"/>
      <w:r>
        <w:t xml:space="preserve">Diseñar e implementar un módulo de análisis estático con siete reglas basadas en árboles de sintaxis abstracta que identifiquen indicadores de riesgo de las categorías API1, API2, API3, API4 y API8 del OWASP API Security Top 10 (2023).</w:t>
      </w:r>
    </w:p>
    <w:p w14:paraId="1FDB94DA" w14:textId="02BB1654" w:rsidR="009E2D51" w:rsidRDefault="00000000" w:rsidP="00B5669C">
      <w:pPr>
        <w:pStyle w:val="ListParagraph"/>
        <w:numPr>
          <w:ilvl w:val="0"/>
          <w:numId w:val="2"/>
        </w:numPr>
        <w:contextualSpacing/>
      </w:pPr>
      <w:r>
        <w:t>Implementar un módulo de análisis dinámico con cinco sondas HTTP que detecten indicadores de las categorías API1, API2, API3, API4 y API5 mediante peticiones a una instancia en ejecución del proyecto auditado.</w:t>
      </w:r>
    </w:p>
    <w:p w14:paraId="45EA2A9D" w14:textId="5E544E49" w:rsidR="009E2D51" w:rsidRDefault="00000000" w:rsidP="00B5669C">
      <w:pPr>
        <w:pStyle w:val="ListParagraph"/>
        <w:numPr>
          <w:ilvl w:val="0"/>
          <w:numId w:val="2"/>
        </w:numPr>
        <w:contextualSpacing/>
      </w:pPr>
      <w:r>
        <w:t xml:space="preserve">Construir una base de conocimiento local indexada en ChromaDB con documentación especializada y un </w:t>
      </w:r>
      <w:r>
        <w:rPr>
          <w:i/>
          <w:iCs/>
        </w:rPr>
        <w:t>pipeline</w:t>
      </w:r>
      <w:r>
        <w:t xml:space="preserve"> RAG que genere recomendaciones citando los fragmentos recuperados de documentación OWASP y de Django REST </w:t>
      </w:r>
      <w:r>
        <w:rPr>
          <w:i/>
          <w:iCs/>
        </w:rPr>
        <w:t>Framework</w:t>
      </w:r>
      <w:r>
        <w:t>.</w:t>
      </w:r>
    </w:p>
    <w:p w14:paraId="4371A473" w14:textId="634C2215" w:rsidR="009E2D51" w:rsidRDefault="00000000" w:rsidP="00B5669C">
      <w:pPr>
        <w:pStyle w:val="ListParagraph"/>
        <w:numPr>
          <w:ilvl w:val="0"/>
          <w:numId w:val="2"/>
        </w:numPr>
        <w:contextualSpacing/>
      </w:pPr>
      <w:r>
        <w:t xml:space="preserve">Evaluar la herramienta con métricas de precisión, </w:t>
      </w:r>
      <w:r>
        <w:rPr>
          <w:i/>
          <w:iCs/>
        </w:rPr>
        <w:t>recall</w:t>
      </w:r>
      <w:r>
        <w:t xml:space="preserve"> y F1 en un entorno controlado con veintiséis instancias de vulnerabilidades plantadas y en tres proyectos externos de código abierto.</w:t>
      </w:r>
    </w:p>
    <w:p w14:paraId="79BE9A54" w14:textId="7AC46F1E" w:rsidR="009E2D51" w:rsidRDefault="00000000" w:rsidP="00B5669C">
      <w:pPr>
        <w:pStyle w:val="ListParagraph"/>
        <w:numPr>
          <w:ilvl w:val="0"/>
          <w:numId w:val="2"/>
        </w:numPr>
        <w:contextualSpacing/>
      </w:pPr>
      <w:r>
        <w:t xml:space="preserve">Cuantificar la mejora en calidad de recomendaciones aportada por el </w:t>
      </w:r>
      <w:r>
        <w:rPr>
          <w:i/>
          <w:iCs/>
        </w:rPr>
        <w:t>pipeline</w:t>
      </w:r>
      <w:r>
        <w:t xml:space="preserve"> RAG mediante un estudio de ablación con rúbrica de cinco criterios.</w:t>
      </w:r>
      <w:commentRangeEnd w:id="11"/>
      <w:r>
        <w:rPr>
          <w:rStyle w:val="CommentReference"/>
          <w:sz w:val="24"/>
          <w:szCs w:val="24"/>
        </w:rPr>
        <w:commentReference w:id="11"/>
      </w:r>
    </w:p>
    <w:p w14:paraId="1DFA5767" w14:textId="77777777" w:rsidR="005D127F" w:rsidRDefault="005D127F" w:rsidP="003E15AA">
      <w:pPr>
        <w:contextualSpacing/>
        <w:jc w:val="left"/>
        <w:rPr>
          <w:b/>
          <w:bCs/>
        </w:rPr>
      </w:pPr>
    </w:p>
    <w:p w14:paraId="20337E74" w14:textId="16ED058B" w:rsidR="009E2D51" w:rsidRDefault="00000000" w:rsidP="003E15AA">
      <w:pPr>
        <w:contextualSpacing/>
        <w:jc w:val="left"/>
      </w:pPr>
      <w:r>
        <w:rPr>
          <w:b/>
          <w:bCs/>
        </w:rPr>
        <w:t>2.3 JUSTIFICACIÓN</w:t>
      </w:r>
    </w:p>
    <w:p w14:paraId="7286FE3B" w14:textId="77777777" w:rsidR="009E2D51" w:rsidRDefault="00000000" w:rsidP="003E15AA">
      <w:pPr>
        <w:contextualSpacing/>
      </w:pPr>
      <w:r>
        <w:t xml:space="preserve">     El presente trabajo es pertinente porque resuelve un problema concreto y medible: ninguna herramienta de seguridad de propósito general detecta los patrones de riesgo más frecuentes en Django REST </w:t>
      </w:r>
      <w:r>
        <w:rPr>
          <w:i/>
          <w:iCs/>
        </w:rPr>
        <w:t>Framework</w:t>
      </w:r>
      <w: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i/>
          <w:iCs/>
        </w:rPr>
        <w:t>pipelines</w:t>
      </w:r>
      <w:r>
        <w:t xml:space="preserve"> de integración continua.</w:t>
      </w:r>
    </w:p>
    <w:p w14:paraId="3FD41252" w14:textId="77777777" w:rsidR="009E2D51" w:rsidRDefault="00000000" w:rsidP="003E15AA">
      <w:pPr>
        <w:contextualSpacing/>
      </w:pPr>
      <w:r>
        <w:t xml:space="preserve">     Los beneficiarios directos son los desarrolladores Python que utilizan Django REST </w:t>
      </w:r>
      <w:r>
        <w:rPr>
          <w:i/>
          <w:iCs/>
        </w:rPr>
        <w:t>Framework</w:t>
      </w:r>
      <w:r>
        <w:t xml:space="preserve"> y que carecen actualmente de retroalimentación de seguridad especializada en su entorno de desarrollo. Los beneficiarios institucionales son las organizaciones que requieren auditorías de seguridad periódicas sin depender de herramientas de pago o de </w:t>
        <w:lastRenderedPageBreak/>
        <w:t xml:space="preserve">conectividad a internet. La comunidad académica se beneficia de la contribución metodológica: la integración de un </w:t>
      </w:r>
      <w:r>
        <w:rPr>
          <w:i/>
          <w:iCs/>
        </w:rPr>
        <w:t>pipeline</w:t>
      </w:r>
      <w:r>
        <w:t xml:space="preserve"> RAG local con análisis híbrido de código constituye un caso de estudio reproducible en el campo de la ingeniería de seguridad de </w:t>
      </w:r>
      <w:r>
        <w:rPr>
          <w:i/>
          <w:iCs/>
        </w:rPr>
        <w:t>software</w:t>
      </w:r>
      <w:r>
        <w:t>. Pearce et al. (2023) señalaron la importancia de trabajos reproducibles con evaluación cuantitativa en este campo.</w:t>
      </w:r>
      <w:r>
        <w:rPr>
          <w:rStyle w:val="FootnoteReference"/>
        </w:rPr>
        <w:footnoteReference w:id="70"/>
      </w:r>
    </w:p>
    <w:p w14:paraId="45CFBB6A" w14:textId="77777777" w:rsidR="009E2D51" w:rsidRDefault="00000000" w:rsidP="003E15AA">
      <w:pPr>
        <w:contextualSpacing/>
      </w:pPr>
      <w:r>
        <w:t xml:space="preserve">     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i/>
          <w:iCs/>
        </w:rPr>
        <w:t>software</w:t>
      </w:r>
      <w: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14:paraId="4D55B35D" w14:textId="77777777" w:rsidR="009E2D51" w:rsidRDefault="00000000" w:rsidP="003E15AA">
      <w:pPr>
        <w:contextualSpacing/>
      </w:pPr>
      <w:r>
        <w:t xml:space="preserve">     La justificación técnica de la elección de Django REST </w:t>
      </w:r>
      <w:r>
        <w:rPr>
          <w:i/>
          <w:iCs/>
        </w:rPr>
        <w:t>Framework</w:t>
      </w:r>
      <w:r>
        <w:t xml:space="preserve"> como objetivo de la herramienta, en lugar de otros </w:t>
      </w:r>
      <w:r>
        <w:rPr>
          <w:i/>
          <w:iCs/>
        </w:rPr>
        <w:t>frameworks</w:t>
      </w:r>
      <w:r>
        <w:t xml:space="preserve"> REST de Python como FastAPI o Flask-RESTful, se fundamenta en tres factores: (1) es el </w:t>
      </w:r>
      <w:r>
        <w:rPr>
          <w:i/>
          <w:iCs/>
        </w:rPr>
        <w:t>framework</w:t>
      </w:r>
      <w:r>
        <w:t xml:space="preserve"> REST de Python con mayor adopción en producción, según datos de descargas de PyPI y estadísticas de GitHub; (2) su arquitectura basada en componentes configurables —</w:t>
      </w:r>
      <w:r>
        <w:rPr>
          <w:i/>
          <w:iCs/>
        </w:rPr>
        <w:t>serializers</w:t>
      </w:r>
      <w:r>
        <w:t xml:space="preserve">, </w:t>
      </w:r>
      <w:r>
        <w:rPr>
          <w:i/>
          <w:iCs/>
        </w:rPr>
        <w:t>permissions</w:t>
      </w:r>
      <w:r>
        <w:t xml:space="preserve">, </w:t>
      </w:r>
      <w:r>
        <w:rPr>
          <w:i/>
          <w:iCs/>
        </w:rPr>
        <w:t>throttling</w:t>
      </w:r>
      <w:r>
        <w:t xml:space="preserve">— genera patrones de vulnerabilidad estructuralmente diferentes a los de otros </w:t>
      </w:r>
      <w:r>
        <w:rPr>
          <w:i/>
          <w:iCs/>
        </w:rPr>
        <w:t>frameworks</w:t>
      </w:r>
      <w:r>
        <w:t xml:space="preserve"> y no cubiertos por las reglas de Bandit ni Semgrep; y (3) su documentación oficial y las guías de seguridad disponibles proporcionan la base de conocimiento necesaria para construir un </w:t>
      </w:r>
      <w:r>
        <w:rPr>
          <w:i/>
          <w:iCs/>
        </w:rPr>
        <w:t>pipeline</w:t>
      </w:r>
      <w:r>
        <w:t xml:space="preserve"> RAG con fuentes verificables y citables, lo que es indispensable para la trazabilidad de las recomendaciones generadas.</w:t>
      </w:r>
      <w:r>
        <w:rPr>
          <w:rStyle w:val="FootnoteReference"/>
        </w:rPr>
        <w:footnoteReference w:id="71"/>
      </w:r>
    </w:p>
    <w:p w14:paraId="66148DAC" w14:textId="77777777" w:rsidR="005D127F" w:rsidRDefault="005D127F" w:rsidP="003E15AA">
      <w:pPr>
        <w:contextualSpacing/>
        <w:jc w:val="left"/>
        <w:rPr>
          <w:b/>
          <w:bCs/>
        </w:rPr>
      </w:pPr>
    </w:p>
    <w:p w14:paraId="3BF1763C" w14:textId="77777777" w:rsidR="005D127F" w:rsidRDefault="005D127F" w:rsidP="003E15AA">
      <w:pPr>
        <w:contextualSpacing/>
        <w:jc w:val="left"/>
        <w:rPr>
          <w:b/>
          <w:bCs/>
        </w:rPr>
      </w:pPr>
    </w:p>
    <w:p w14:paraId="6BCED92A" w14:textId="3951B27D" w:rsidR="009E2D51" w:rsidRDefault="00000000" w:rsidP="003E15AA">
      <w:pPr>
        <w:contextualSpacing/>
        <w:jc w:val="left"/>
      </w:pPr>
      <w:r>
        <w:rPr>
          <w:b/>
          <w:bCs/>
        </w:rPr>
        <w:lastRenderedPageBreak/>
        <w:t>2.4 HIPÓTESIS</w:t>
      </w:r>
    </w:p>
    <w:p w14:paraId="796E0D0D" w14:textId="77777777" w:rsidR="009E2D51" w:rsidRDefault="00000000" w:rsidP="003E15AA">
      <w:pPr>
        <w:contextualSpacing/>
        <w:jc w:val="left"/>
      </w:pPr>
      <w:r>
        <w:t xml:space="preserve">2.4.1 </w:t>
      </w:r>
      <w:r>
        <w:rPr>
          <w:u w:val="single"/>
        </w:rPr>
        <w:t>Hipótesis de trabajo</w:t>
      </w:r>
    </w:p>
    <w:p w14:paraId="0DF7A20A" w14:textId="431253E6" w:rsidR="009E2D51" w:rsidRDefault="00000000" w:rsidP="003E15AA">
      <w:pPr>
        <w:contextualSpacing/>
      </w:pPr>
      <w:r>
        <w:t xml:space="preserve">     La combinación de análisis estático basado en árboles de sintaxis abstracta y análisis dinámico mediante sondas HTTP, enriquecida con un </w:t>
      </w:r>
      <w:r>
        <w:rPr>
          <w:i/>
          <w:iCs/>
        </w:rPr>
        <w:t>pipeline</w:t>
      </w:r>
      <w:r>
        <w:t xml:space="preserve"> de generación aumentada por recuperación local, permite detectar seis categorías del OWASP API Security Top 10 (2023) en proyectos Django REST </w:t>
      </w:r>
      <w:r>
        <w:rPr>
          <w:i/>
          <w:iCs/>
        </w:rPr>
        <w:t>Framework</w:t>
      </w:r>
      <w:r>
        <w:t xml:space="preserve"> con precisión igual a uno y </w:t>
      </w:r>
      <w:r>
        <w:rPr>
          <w:i/>
          <w:iCs/>
        </w:rPr>
        <w:t>recall</w:t>
      </w:r>
      <w:r>
        <w:t xml:space="preserve"> igual a uno en entorno controlado, y genera recomendaciones de remediación con menor tasa de alucinaciones y mayor calidad promedio que la generación sin recuperación.</w:t>
      </w:r>
    </w:p>
    <w:p w14:paraId="1980F745" w14:textId="77777777" w:rsidR="005D127F" w:rsidRDefault="005D127F" w:rsidP="003E15AA">
      <w:pPr>
        <w:contextualSpacing/>
        <w:jc w:val="left"/>
      </w:pPr>
    </w:p>
    <w:p w14:paraId="701005EA" w14:textId="46252172" w:rsidR="009E2D51" w:rsidRDefault="00000000" w:rsidP="003E15AA">
      <w:pPr>
        <w:contextualSpacing/>
        <w:jc w:val="left"/>
      </w:pPr>
      <w:r>
        <w:t xml:space="preserve">2.4.2 </w:t>
      </w:r>
      <w:r>
        <w:rPr>
          <w:u w:val="single"/>
        </w:rPr>
        <w:t>Hipótesis nula</w:t>
      </w:r>
    </w:p>
    <w:p w14:paraId="31BFC943" w14:textId="77777777" w:rsidR="009E2D51" w:rsidRDefault="00000000" w:rsidP="003E15AA">
      <w:pPr>
        <w:contextualSpacing/>
      </w:pPr>
      <w:r>
        <w:t xml:space="preserve">     No existe diferencia estadísticamente significativa entre la calidad de las recomendaciones de remediación generadas con el </w:t>
      </w:r>
      <w:r>
        <w:rPr>
          <w:i/>
          <w:iCs/>
        </w:rPr>
        <w:t>pipeline</w:t>
      </w:r>
      <w:r>
        <w:t xml:space="preserve"> RAG y las generadas directamente por el modelo de lenguaje sin recuperación de contexto, ni la herramienta detecta más categorías del OWASP API Security Top 10 que las herramientas Bandit y Semgrep.</w:t>
      </w:r>
    </w:p>
    <w:p w14:paraId="6667D6D6" w14:textId="77777777" w:rsidR="005D127F" w:rsidRDefault="005D127F" w:rsidP="003E15AA">
      <w:pPr>
        <w:contextualSpacing/>
        <w:jc w:val="left"/>
      </w:pPr>
    </w:p>
    <w:p w14:paraId="2598CE5B" w14:textId="039AD847" w:rsidR="009E2D51" w:rsidRDefault="00000000" w:rsidP="003E15AA">
      <w:pPr>
        <w:contextualSpacing/>
        <w:jc w:val="left"/>
      </w:pPr>
      <w:r>
        <w:t xml:space="preserve">2.4.3 </w:t>
      </w:r>
      <w:r>
        <w:rPr>
          <w:u w:val="single"/>
        </w:rPr>
        <w:t>Hipótesis alterna</w:t>
      </w:r>
    </w:p>
    <w:p w14:paraId="723149AE" w14:textId="77777777" w:rsidR="009E2D51" w:rsidRDefault="00000000" w:rsidP="003E15AA">
      <w:pPr>
        <w:contextualSpacing/>
      </w:pPr>
      <w:r>
        <w:t xml:space="preserve">     El </w:t>
      </w:r>
      <w:r>
        <w:rPr>
          <w:i/>
          <w:iCs/>
        </w:rPr>
        <w:t>pipeline</w:t>
      </w:r>
      <w:r>
        <w:t xml:space="preserve"> RAG produce recomendaciones con mayor corrección técnica, mayor especificidad a Django REST </w:t>
      </w:r>
      <w:r>
        <w:rPr>
          <w:i/>
          <w:iCs/>
        </w:rPr>
        <w:t>Framework</w:t>
      </w:r>
      <w:r>
        <w:t xml:space="preserve"> y mayor trazabilidad de fuentes que la generación sin recuperación, y el análisis híbrido detecta al menos seis categorías del OWASP API Security Top 10 que Bandit y Semgrep no detectan.</w:t>
      </w:r>
    </w:p>
    <w:p w14:paraId="609F0201" w14:textId="77777777" w:rsidR="005D127F" w:rsidRDefault="005D127F" w:rsidP="003E15AA">
      <w:pPr>
        <w:contextualSpacing/>
        <w:jc w:val="left"/>
        <w:rPr>
          <w:b/>
          <w:bCs/>
        </w:rPr>
      </w:pPr>
    </w:p>
    <w:p w14:paraId="67E48322" w14:textId="38A9AEAD" w:rsidR="009E2D51" w:rsidRDefault="00000000" w:rsidP="003E15AA">
      <w:pPr>
        <w:contextualSpacing/>
        <w:jc w:val="left"/>
      </w:pPr>
      <w:r>
        <w:rPr>
          <w:b/>
          <w:bCs/>
        </w:rPr>
        <w:t>2.5 DEFINICIÓN DE VARIABLES</w:t>
      </w:r>
    </w:p>
    <w:p w14:paraId="448790FC" w14:textId="77777777" w:rsidR="009E2D51" w:rsidRDefault="00000000" w:rsidP="003E15AA">
      <w:pPr>
        <w:contextualSpacing/>
        <w:jc w:val="left"/>
      </w:pPr>
      <w:r>
        <w:t xml:space="preserve">2.5.1 </w:t>
      </w:r>
      <w:r>
        <w:rPr>
          <w:u w:val="single"/>
        </w:rPr>
        <w:t>Definición conceptual</w:t>
      </w:r>
    </w:p>
    <w:p w14:paraId="1FD1E106" w14:textId="77777777" w:rsidR="009E2D51" w:rsidRDefault="00000000" w:rsidP="003E15AA">
      <w:pPr>
        <w:contextualSpacing/>
      </w:pPr>
      <w:r>
        <w:t xml:space="preserve">     La variable independiente es la configuración del sistema de auditoría: análisis estático, análisis dinámico, análisis híbrido o variante con/sin </w:t>
      </w:r>
      <w:r>
        <w:rPr>
          <w:i/>
          <w:iCs/>
        </w:rPr>
        <w:t>pipeline</w:t>
      </w:r>
      <w: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y </w:t>
      </w:r>
      <w:r>
        <w:rPr>
          <w:i/>
          <w:iCs/>
        </w:rPr>
        <w:t>recall</w:t>
      </w:r>
      <w:r>
        <w:t xml:space="preserve"> del detector, calculados sobre el </w:t>
      </w:r>
      <w:r>
        <w:rPr>
          <w:i/>
          <w:iCs/>
        </w:rPr>
        <w:t>ground truth</w:t>
      </w:r>
      <w:r>
        <w:t xml:space="preserve"> definido.</w:t>
      </w:r>
    </w:p>
    <w:p w14:paraId="20163FB1" w14:textId="77777777" w:rsidR="00CA0E2B" w:rsidRDefault="00CA0E2B" w:rsidP="003E15AA">
      <w:pPr>
        <w:contextualSpacing/>
        <w:jc w:val="left"/>
      </w:pPr>
    </w:p>
    <w:p w14:paraId="51B275FA" w14:textId="31297FBD" w:rsidR="009E2D51" w:rsidRDefault="00000000" w:rsidP="003E15AA">
      <w:pPr>
        <w:contextualSpacing/>
        <w:jc w:val="left"/>
      </w:pPr>
      <w:r>
        <w:lastRenderedPageBreak/>
        <w:t xml:space="preserve">2.5.2 </w:t>
      </w:r>
      <w:r>
        <w:rPr>
          <w:u w:val="single"/>
        </w:rPr>
        <w:t>Definición operacional</w:t>
      </w:r>
    </w:p>
    <w:p w14:paraId="4664C6A5" w14:textId="77777777" w:rsidR="009E2D51" w:rsidRDefault="00000000" w:rsidP="003E15AA">
      <w:pPr>
        <w:contextualSpacing/>
      </w:pPr>
      <w:r>
        <w:t xml:space="preserve">     La cobertura se mide contando las categorías (API1, API2, API3, API4, API5, API8) para las cuales la herramienta produce al menos un hallazgo clasificado como verdadero positivo en la interfaz de programación de aplicaciones de prueba controlada. La calidad RAG se mide como el puntaje promedio de los cinco criterios (CT, EF, AO, AC, TF) sobre cinco recomendaciones representativas, con anclas conductuales verificables para los criterios CT, EF, AO y TF. La precisión se calcula como P = TP / (TP + FP) sobre el </w:t>
      </w:r>
      <w:r>
        <w:rPr>
          <w:i/>
          <w:iCs/>
        </w:rPr>
        <w:t>ground truth</w:t>
      </w:r>
      <w:r>
        <w:t xml:space="preserve"> de veintiséis instancias plantadas y sobre los hallazgos en tres proyectos externos.</w:t>
      </w:r>
    </w:p>
    <w:p w14:paraId="200E414D" w14:textId="77777777" w:rsidR="005D127F" w:rsidRDefault="005D127F" w:rsidP="003E15AA">
      <w:pPr>
        <w:contextualSpacing/>
        <w:jc w:val="left"/>
        <w:rPr>
          <w:b/>
          <w:bCs/>
        </w:rPr>
      </w:pPr>
    </w:p>
    <w:p w14:paraId="23258514" w14:textId="4F1CD46D" w:rsidR="009E2D51" w:rsidRDefault="00000000" w:rsidP="003E15AA">
      <w:pPr>
        <w:contextualSpacing/>
        <w:jc w:val="left"/>
      </w:pPr>
      <w:r>
        <w:rPr>
          <w:b/>
          <w:bCs/>
        </w:rPr>
        <w:t>2.6 ALCANCE Y LIMITACIONES DEL TRABAJO</w:t>
      </w:r>
    </w:p>
    <w:p w14:paraId="716F21A3" w14:textId="77777777" w:rsidR="009E2D51" w:rsidRDefault="00000000" w:rsidP="003E15AA">
      <w:pPr>
        <w:contextualSpacing/>
        <w:jc w:val="left"/>
      </w:pPr>
      <w:r>
        <w:t xml:space="preserve">2.6.1 </w:t>
      </w:r>
      <w:r>
        <w:rPr>
          <w:u w:val="single"/>
        </w:rPr>
        <w:t>Alcance</w:t>
      </w:r>
    </w:p>
    <w:p w14:paraId="4F6A4E18" w14:textId="1A25424E" w:rsidR="009E2D51" w:rsidRDefault="00000000" w:rsidP="003E15AA">
      <w:pPr>
        <w:contextualSpacing/>
      </w:pPr>
      <w:r>
        <w:t xml:space="preserve">     El análisis se centra en proyectos Django REST </w:t>
      </w:r>
      <w:r>
        <w:rPr>
          <w:i/>
          <w:iCs/>
        </w:rPr>
        <w:t>Framework</w:t>
      </w:r>
      <w:r>
        <w:t xml:space="preserve"> versión 3.14 o superior con Python 3.11 o superior. Se cubren seis de las diez categorías del OWASP API Security Top 10 (2023): API1, API2, API3, API4, API5 y API8. El análisis estático aplica siete reglas basadas en árboles de sintaxis abstracta; el análisis dinámico aplica cinco sondas HTTP. El </w:t>
      </w:r>
      <w:r>
        <w:rPr>
          <w:i/>
          <w:iCs/>
        </w:rPr>
        <w:t>pipeline</w:t>
      </w:r>
      <w:r>
        <w:t xml:space="preserve"> RAG opera sin conexión a internet. La evaluación incluye un entorno controlado y tres proyectos externos de código abierto disponibles públicamente.</w:t>
      </w:r>
    </w:p>
    <w:p w14:paraId="3E672596" w14:textId="77777777" w:rsidR="005D127F" w:rsidRDefault="005D127F" w:rsidP="003E15AA">
      <w:pPr>
        <w:contextualSpacing/>
        <w:jc w:val="left"/>
      </w:pPr>
    </w:p>
    <w:p w14:paraId="3C42CD81" w14:textId="5DEBE96F" w:rsidR="009E2D51" w:rsidRDefault="00000000" w:rsidP="003E15AA">
      <w:pPr>
        <w:contextualSpacing/>
        <w:jc w:val="left"/>
      </w:pPr>
      <w:r>
        <w:t xml:space="preserve">2.6.2 </w:t>
      </w:r>
      <w:r>
        <w:rPr>
          <w:u w:val="single"/>
        </w:rPr>
        <w:t>Limitaciones</w:t>
      </w:r>
    </w:p>
    <w:p w14:paraId="69D29F15" w14:textId="77777777" w:rsidR="009E2D51" w:rsidRDefault="00000000" w:rsidP="003E15AA">
      <w:pPr>
        <w:contextualSpacing/>
      </w:pPr>
      <w:r>
        <w:t xml:space="preserve">     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14:paraId="502DE4EF" w14:textId="77777777" w:rsidR="009E2D51" w:rsidRDefault="00000000" w:rsidP="003E15AA">
      <w:pPr>
        <w:contextualSpacing/>
      </w:pPr>
      <w:r>
        <w:t xml:space="preserve">     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i/>
          <w:iCs/>
        </w:rPr>
        <w:t>Framework</w:t>
      </w:r>
      <w:r>
        <w:t xml:space="preserve"> de uso industrial con arquitecturas complejas de </w:t>
        <w:lastRenderedPageBreak/>
        <w:t>microservicios, configuraciones de autenticación personalizadas o múltiples niveles de permisos. La precisión medida en los tres proyectos externos (P = 0.21 combinada) refleja la tasa de falsos positivos en proyectos públicos de referencia, no necesariamente la tasa que se obtendría en proyectos propietarios de producción con configuraciones más estrictas. La corrección de las dos reglas con mayor tasa de falsos positivos —proyectada para versiones futuras de la herramienta— se espera que eleve esta métrica a valores superiores a 0.90, acercando la precisión en proyectos externos a la obtenida en el entorno controlado.</w:t>
      </w:r>
      <w:r>
        <w:rPr>
          <w:rStyle w:val="FootnoteReference"/>
        </w:rPr>
        <w:footnoteReference w:id="72"/>
      </w:r>
    </w:p>
    <w:p w14:paraId="0BB48BC7" w14:textId="77777777" w:rsidR="009E2D51" w:rsidRDefault="00000000" w:rsidP="003E15AA">
      <w:pPr>
        <w:contextualSpacing/>
      </w:pPr>
      <w:r>
        <w:br w:type="page"/>
      </w:r>
    </w:p>
    <w:p w14:paraId="28631ACD" w14:textId="77777777" w:rsidR="009E2D51" w:rsidRDefault="00000000" w:rsidP="003E15AA">
      <w:pPr>
        <w:contextualSpacing/>
        <w:jc w:val="center"/>
      </w:pPr>
      <w:r>
        <w:rPr>
          <w:b/>
          <w:bCs/>
        </w:rPr>
        <w:lastRenderedPageBreak/>
        <w:t>3. MÉTODO</w:t>
      </w:r>
    </w:p>
    <w:p w14:paraId="72DA0066" w14:textId="77777777" w:rsidR="005D127F" w:rsidRDefault="005D127F" w:rsidP="003E15AA">
      <w:pPr>
        <w:contextualSpacing/>
        <w:jc w:val="left"/>
        <w:rPr>
          <w:b/>
          <w:bCs/>
        </w:rPr>
      </w:pPr>
    </w:p>
    <w:p w14:paraId="7D07E537" w14:textId="1619B24D" w:rsidR="009E2D51" w:rsidRDefault="00000000" w:rsidP="003E15AA">
      <w:pPr>
        <w:contextualSpacing/>
        <w:jc w:val="left"/>
      </w:pPr>
      <w:r>
        <w:rPr>
          <w:b/>
          <w:bCs/>
        </w:rPr>
        <w:t>3.1 SUJETO DE ESTUDIO</w:t>
      </w:r>
    </w:p>
    <w:p w14:paraId="32F15868" w14:textId="77777777" w:rsidR="009E2D51" w:rsidRDefault="00000000" w:rsidP="003E15AA">
      <w:pPr>
        <w:contextualSpacing/>
      </w:pPr>
      <w:r>
        <w:t xml:space="preserve">     El sujeto de estudio es el código fuente de proyectos de </w:t>
      </w:r>
      <w:r>
        <w:rPr>
          <w:i/>
          <w:iCs/>
        </w:rPr>
        <w:t>software</w:t>
      </w:r>
      <w:r>
        <w:t xml:space="preserve"> desarrollados con Django REST </w:t>
      </w:r>
      <w:r>
        <w:rPr>
          <w:i/>
          <w:iCs/>
        </w:rPr>
        <w:t>Framework</w:t>
      </w:r>
      <w: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i/>
          <w:iCs/>
        </w:rPr>
        <w:t>Framework</w:t>
      </w:r>
      <w:r>
        <w:t xml:space="preserve"> de código abierto disponibles públicamente en GitHub.</w:t>
      </w:r>
    </w:p>
    <w:p w14:paraId="422FEAD5" w14:textId="77777777" w:rsidR="005D127F" w:rsidRDefault="005D127F" w:rsidP="003E15AA">
      <w:pPr>
        <w:contextualSpacing/>
      </w:pPr>
    </w:p>
    <w:p w14:paraId="6FD95722" w14:textId="77777777" w:rsidR="009E2D51" w:rsidRDefault="00000000" w:rsidP="003E15AA">
      <w:pPr>
        <w:contextualSpacing/>
        <w:jc w:val="left"/>
      </w:pPr>
      <w:r>
        <w:rPr>
          <w:b/>
          <w:bCs/>
        </w:rPr>
        <w:t>3.2 POBLACIÓN Y MUESTRA</w:t>
      </w:r>
    </w:p>
    <w:p w14:paraId="7FF0ACE2" w14:textId="77777777" w:rsidR="009E2D51" w:rsidRDefault="00000000" w:rsidP="003E15AA">
      <w:pPr>
        <w:contextualSpacing/>
      </w:pPr>
      <w:r>
        <w:t xml:space="preserve">     La población la constituyen todos los proyectos Django REST </w:t>
      </w:r>
      <w:r>
        <w:rPr>
          <w:i/>
          <w:iCs/>
        </w:rPr>
        <w:t>Framework</w:t>
      </w:r>
      <w:r>
        <w:t xml:space="preserve"> de código abierto disponibles en plataformas de control de versiones, estimados en decenas de miles de repositorios. La muestra consiste en cuatro proyectos seleccionados mediante muestreo intencional no probabilístico por conveniencia, detallados en el Cuadro No. 1. Los tres proyectos externos fueron seleccionados por ser proyectos reales no involucrados en el desarrollo de la herramienta, de tamaño moderado y con propósito diverso.</w:t>
      </w:r>
    </w:p>
    <w:p w14:paraId="0DB8185B" w14:textId="77777777" w:rsidR="005D127F" w:rsidRDefault="005D127F" w:rsidP="003E15AA">
      <w:pPr>
        <w:contextualSpacing/>
      </w:pPr>
    </w:p>
    <w:p w14:paraId="4F254BC4" w14:textId="77777777" w:rsidR="009E2D51" w:rsidRDefault="00000000" w:rsidP="003E15AA">
      <w:pPr>
        <w:contextualSpacing/>
        <w:jc w:val="center"/>
      </w:pPr>
      <w:commentRangeStart w:id="12"/>
      <w:r>
        <w:rPr/>
        <w:t>Cuadro No. 1</w:t>
      </w:r>
      <w:commentRangeEnd w:id="12"/>
      <w:r>
        <w:rPr>
          <w:rStyle w:val="CommentReference"/>
          <w:sz w:val="24"/>
          <w:szCs w:val="24"/>
        </w:rPr>
        <w:commentReference w:id="12"/>
      </w:r>
    </w:p>
    <w:p w14:paraId="64D88D2C" w14:textId="77777777" w:rsidR="009E2D51" w:rsidRDefault="00000000" w:rsidP="003E15AA">
      <w:pPr>
        <w:contextualSpacing/>
        <w:jc w:val="center"/>
      </w:pPr>
      <w:r>
        <w:rPr>
          <w:b/>
          <w:bCs/>
        </w:rPr>
        <w:t>MUESTRA DE PROYECTOS EVALUADOS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100"/>
        <w:gridCol w:w="1458"/>
        <w:gridCol w:w="3842"/>
      </w:tblGrid>
      <w:tr w:rsidR="009E2D51" w14:paraId="550ADECE" w14:textId="77777777">
        <w:trPr>
          <w:tblHeader/>
        </w:trPr>
        <w:tc>
          <w:tcPr>
            <w:tcW w:w="0" w:type="auto"/>
            <w:tcMar>
              <w:top w:w="60" w:type="dxa"/>
              <w:left w:w="100" w:type="dxa"/>
              <w:bottom w:w="60" w:type="dxa"/>
              <w:right w:w="100" w:type="dxa"/>
            </w:tcMar>
          </w:tcPr>
          <w:p w14:paraId="62ACAB32" w14:textId="77777777" w:rsidR="009E2D51" w:rsidRDefault="00000000" w:rsidP="003E15AA">
            <w:pPr>
              <w:contextualSpacing/>
              <w:jc w:val="left"/>
              <w:ind w:firstLine="709"/>
            </w:pPr>
            <w:r>
              <w:rPr>
                <w:b/>
                <w:bCs/>
                <w:sz w:val="20"/>
                <w:szCs w:val="20"/>
              </w:rPr>
              <w:t>Proyecto</w:t>
            </w:r>
          </w:p>
        </w:tc>
        <w:tc>
          <w:tcPr>
            <w:tcW w:w="0" w:type="auto"/>
            <w:tcMar>
              <w:top w:w="60" w:type="dxa"/>
              <w:left w:w="100" w:type="dxa"/>
              <w:bottom w:w="60" w:type="dxa"/>
              <w:right w:w="100" w:type="dxa"/>
            </w:tcMar>
          </w:tcPr>
          <w:p w14:paraId="153091AE" w14:textId="77777777" w:rsidR="009E2D51" w:rsidRDefault="00000000" w:rsidP="003E15AA">
            <w:pPr>
              <w:contextualSpacing/>
              <w:jc w:val="center"/>
            </w:pPr>
            <w:r>
              <w:rPr>
                <w:b/>
                <w:bCs/>
                <w:sz w:val="20"/>
                <w:szCs w:val="20"/>
              </w:rPr>
              <w:t>Tipo</w:t>
            </w:r>
          </w:p>
        </w:tc>
        <w:tc>
          <w:tcPr>
            <w:tcW w:w="0" w:type="auto"/>
            <w:tcMar>
              <w:top w:w="60" w:type="dxa"/>
              <w:left w:w="100" w:type="dxa"/>
              <w:bottom w:w="60" w:type="dxa"/>
              <w:right w:w="100" w:type="dxa"/>
            </w:tcMar>
          </w:tcPr>
          <w:p w14:paraId="03518500" w14:textId="77777777" w:rsidR="009E2D51" w:rsidRDefault="00000000" w:rsidP="003E15AA">
            <w:pPr>
              <w:contextualSpacing/>
              <w:jc w:val="center"/>
            </w:pPr>
            <w:r>
              <w:rPr>
                <w:b/>
                <w:bCs/>
                <w:sz w:val="20"/>
                <w:szCs w:val="20"/>
              </w:rPr>
              <w:t>Fuente</w:t>
            </w:r>
          </w:p>
        </w:tc>
        <w:tc>
          <w:tcPr>
            <w:tcW w:w="0" w:type="auto"/>
            <w:tcMar>
              <w:top w:w="60" w:type="dxa"/>
              <w:left w:w="100" w:type="dxa"/>
              <w:bottom w:w="60" w:type="dxa"/>
              <w:right w:w="100" w:type="dxa"/>
            </w:tcMar>
          </w:tcPr>
          <w:p w14:paraId="6967FABC" w14:textId="77777777" w:rsidR="009E2D51" w:rsidRDefault="00000000" w:rsidP="003E15AA">
            <w:pPr>
              <w:contextualSpacing/>
              <w:jc w:val="center"/>
            </w:pPr>
            <w:r>
              <w:rPr>
                <w:b/>
                <w:bCs/>
                <w:sz w:val="20"/>
                <w:szCs w:val="20"/>
              </w:rPr>
              <w:t>Propósito</w:t>
            </w:r>
          </w:p>
        </w:tc>
      </w:tr>
      <w:tr w:rsidR="009E2D51" w14:paraId="78594A5C" w14:textId="77777777">
        <w:tc>
          <w:tcPr>
            <w:tcW w:w="0" w:type="auto"/>
            <w:tcMar>
              <w:top w:w="60" w:type="dxa"/>
              <w:left w:w="100" w:type="dxa"/>
              <w:bottom w:w="60" w:type="dxa"/>
              <w:right w:w="100" w:type="dxa"/>
            </w:tcMar>
          </w:tcPr>
          <w:p w14:paraId="1D1273E2" w14:textId="77777777" w:rsidR="009E2D51" w:rsidRDefault="00000000" w:rsidP="003E15AA">
            <w:pPr>
              <w:contextualSpacing/>
              <w:jc w:val="left"/>
              <w:ind w:firstLine="709"/>
            </w:pPr>
            <w:r>
              <w:rPr>
                <w:sz w:val="20"/>
                <w:szCs w:val="20"/>
              </w:rPr>
              <w:t>vulnerable_api/</w:t>
            </w:r>
          </w:p>
        </w:tc>
        <w:tc>
          <w:tcPr>
            <w:tcW w:w="0" w:type="auto"/>
            <w:tcMar>
              <w:top w:w="60" w:type="dxa"/>
              <w:left w:w="100" w:type="dxa"/>
              <w:bottom w:w="60" w:type="dxa"/>
              <w:right w:w="100" w:type="dxa"/>
            </w:tcMar>
          </w:tcPr>
          <w:p w14:paraId="67F45FEB" w14:textId="77777777" w:rsidR="009E2D51" w:rsidRDefault="00000000" w:rsidP="003E15AA">
            <w:pPr>
              <w:contextualSpacing/>
              <w:jc w:val="center"/>
            </w:pPr>
            <w:r>
              <w:rPr>
                <w:sz w:val="20"/>
                <w:szCs w:val="20"/>
              </w:rPr>
              <w:t>Controlado</w:t>
            </w:r>
          </w:p>
        </w:tc>
        <w:tc>
          <w:tcPr>
            <w:tcW w:w="0" w:type="auto"/>
            <w:tcMar>
              <w:top w:w="60" w:type="dxa"/>
              <w:left w:w="100" w:type="dxa"/>
              <w:bottom w:w="60" w:type="dxa"/>
              <w:right w:w="100" w:type="dxa"/>
            </w:tcMar>
          </w:tcPr>
          <w:p w14:paraId="2510AAC4" w14:textId="77777777" w:rsidR="009E2D51" w:rsidRDefault="00000000" w:rsidP="003E15AA">
            <w:pPr>
              <w:contextualSpacing/>
              <w:jc w:val="left"/>
              <w:ind w:firstLine="709"/>
            </w:pPr>
            <w:r>
              <w:rPr>
                <w:sz w:val="20"/>
                <w:szCs w:val="20"/>
              </w:rPr>
              <w:t>Propia</w:t>
            </w:r>
          </w:p>
        </w:tc>
        <w:tc>
          <w:tcPr>
            <w:tcW w:w="0" w:type="auto"/>
            <w:tcMar>
              <w:top w:w="60" w:type="dxa"/>
              <w:left w:w="100" w:type="dxa"/>
              <w:bottom w:w="60" w:type="dxa"/>
              <w:right w:w="100" w:type="dxa"/>
            </w:tcMar>
          </w:tcPr>
          <w:p w14:paraId="0B73E65E" w14:textId="77777777" w:rsidR="009E2D51" w:rsidRDefault="00000000" w:rsidP="003E15AA">
            <w:pPr>
              <w:contextualSpacing/>
              <w:jc w:val="left"/>
              <w:ind w:firstLine="709"/>
            </w:pPr>
            <w:r>
              <w:rPr>
                <w:sz w:val="20"/>
                <w:szCs w:val="20"/>
              </w:rPr>
              <w:t>Ground truth — 26 instancias plantadas</w:t>
            </w:r>
          </w:p>
        </w:tc>
      </w:tr>
      <w:tr w:rsidR="009E2D51" w14:paraId="07C3A1F9" w14:textId="77777777">
        <w:tc>
          <w:tcPr>
            <w:tcW w:w="0" w:type="auto"/>
            <w:tcMar>
              <w:top w:w="60" w:type="dxa"/>
              <w:left w:w="100" w:type="dxa"/>
              <w:bottom w:w="60" w:type="dxa"/>
              <w:right w:w="100" w:type="dxa"/>
            </w:tcMar>
          </w:tcPr>
          <w:p w14:paraId="14869DB1" w14:textId="77777777" w:rsidR="009E2D51" w:rsidRDefault="00000000" w:rsidP="003E15AA">
            <w:pPr>
              <w:contextualSpacing/>
              <w:jc w:val="left"/>
              <w:ind w:firstLine="709"/>
            </w:pPr>
            <w:r>
              <w:rPr>
                <w:sz w:val="20"/>
                <w:szCs w:val="20"/>
              </w:rPr>
              <w:t>encode/rest-framework-tutorial</w:t>
            </w:r>
          </w:p>
        </w:tc>
        <w:tc>
          <w:tcPr>
            <w:tcW w:w="0" w:type="auto"/>
            <w:tcMar>
              <w:top w:w="60" w:type="dxa"/>
              <w:left w:w="100" w:type="dxa"/>
              <w:bottom w:w="60" w:type="dxa"/>
              <w:right w:w="100" w:type="dxa"/>
            </w:tcMar>
          </w:tcPr>
          <w:p w14:paraId="0B5C42EE"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6D805DB4" w14:textId="77777777" w:rsidR="009E2D51" w:rsidRDefault="00000000" w:rsidP="003E15AA">
            <w:pPr>
              <w:contextualSpacing/>
              <w:jc w:val="left"/>
              <w:ind w:firstLine="709"/>
            </w:pPr>
            <w:r>
              <w:rPr>
                <w:sz w:val="20"/>
                <w:szCs w:val="20"/>
              </w:rPr>
              <w:t>Público (GitHub)</w:t>
            </w:r>
          </w:p>
        </w:tc>
        <w:tc>
          <w:tcPr>
            <w:tcW w:w="0" w:type="auto"/>
            <w:tcMar>
              <w:top w:w="60" w:type="dxa"/>
              <w:left w:w="100" w:type="dxa"/>
              <w:bottom w:w="60" w:type="dxa"/>
              <w:right w:w="100" w:type="dxa"/>
            </w:tcMar>
          </w:tcPr>
          <w:p w14:paraId="7097B9E6" w14:textId="77777777" w:rsidR="009E2D51" w:rsidRDefault="00000000" w:rsidP="003E15AA">
            <w:pPr>
              <w:contextualSpacing/>
              <w:jc w:val="left"/>
              <w:ind w:firstLine="709"/>
            </w:pPr>
            <w:r>
              <w:rPr>
                <w:sz w:val="20"/>
                <w:szCs w:val="20"/>
              </w:rPr>
              <w:t>Tutorial oficial de DRF (Christie, 2024)</w:t>
            </w:r>
          </w:p>
        </w:tc>
      </w:tr>
      <w:tr w:rsidR="009E2D51" w14:paraId="3B589173" w14:textId="77777777">
        <w:tc>
          <w:tcPr>
            <w:tcW w:w="0" w:type="auto"/>
            <w:tcMar>
              <w:top w:w="60" w:type="dxa"/>
              <w:left w:w="100" w:type="dxa"/>
              <w:bottom w:w="60" w:type="dxa"/>
              <w:right w:w="100" w:type="dxa"/>
            </w:tcMar>
          </w:tcPr>
          <w:p w14:paraId="772972D8" w14:textId="77777777" w:rsidR="009E2D51" w:rsidRDefault="00000000" w:rsidP="003E15AA">
            <w:pPr>
              <w:contextualSpacing/>
              <w:jc w:val="left"/>
              <w:ind w:firstLine="709"/>
            </w:pPr>
            <w:r>
              <w:rPr>
                <w:sz w:val="20"/>
                <w:szCs w:val="20"/>
              </w:rPr>
              <w:t>wsvincent/drfx</w:t>
            </w:r>
          </w:p>
        </w:tc>
        <w:tc>
          <w:tcPr>
            <w:tcW w:w="0" w:type="auto"/>
            <w:tcMar>
              <w:top w:w="60" w:type="dxa"/>
              <w:left w:w="100" w:type="dxa"/>
              <w:bottom w:w="60" w:type="dxa"/>
              <w:right w:w="100" w:type="dxa"/>
            </w:tcMar>
          </w:tcPr>
          <w:p w14:paraId="0C27BAD0"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6B367814" w14:textId="77777777" w:rsidR="009E2D51" w:rsidRDefault="00000000" w:rsidP="003E15AA">
            <w:pPr>
              <w:contextualSpacing/>
              <w:jc w:val="left"/>
              <w:ind w:firstLine="709"/>
            </w:pPr>
            <w:r>
              <w:rPr>
                <w:sz w:val="20"/>
                <w:szCs w:val="20"/>
              </w:rPr>
              <w:t>Público (GitHub)</w:t>
            </w:r>
          </w:p>
        </w:tc>
        <w:tc>
          <w:tcPr>
            <w:tcW w:w="0" w:type="auto"/>
            <w:tcMar>
              <w:top w:w="60" w:type="dxa"/>
              <w:left w:w="100" w:type="dxa"/>
              <w:bottom w:w="60" w:type="dxa"/>
              <w:right w:w="100" w:type="dxa"/>
            </w:tcMar>
          </w:tcPr>
          <w:p w14:paraId="23A99226" w14:textId="77777777" w:rsidR="009E2D51" w:rsidRDefault="00000000" w:rsidP="003E15AA">
            <w:pPr>
              <w:contextualSpacing/>
              <w:jc w:val="left"/>
              <w:ind w:firstLine="709"/>
            </w:pPr>
            <w:r>
              <w:rPr>
                <w:sz w:val="20"/>
                <w:szCs w:val="20"/>
              </w:rPr>
              <w:t>Plantilla de inicio de proyectos DRF (Vincent, 2024)</w:t>
            </w:r>
          </w:p>
        </w:tc>
      </w:tr>
      <w:tr w:rsidR="009E2D51" w14:paraId="210B0800" w14:textId="77777777">
        <w:tc>
          <w:tcPr>
            <w:tcW w:w="0" w:type="auto"/>
            <w:tcMar>
              <w:top w:w="60" w:type="dxa"/>
              <w:left w:w="100" w:type="dxa"/>
              <w:bottom w:w="60" w:type="dxa"/>
              <w:right w:w="100" w:type="dxa"/>
            </w:tcMar>
          </w:tcPr>
          <w:p w14:paraId="4FD0B3DB" w14:textId="77777777" w:rsidR="009E2D51" w:rsidRDefault="00000000" w:rsidP="003E15AA">
            <w:pPr>
              <w:contextualSpacing/>
              <w:jc w:val="left"/>
              <w:ind w:firstLine="709"/>
            </w:pPr>
            <w:r>
              <w:rPr>
                <w:sz w:val="20"/>
                <w:szCs w:val="20"/>
              </w:rPr>
              <w:t>axnsan12/drf-yasg</w:t>
            </w:r>
          </w:p>
        </w:tc>
        <w:tc>
          <w:tcPr>
            <w:tcW w:w="0" w:type="auto"/>
            <w:tcMar>
              <w:top w:w="60" w:type="dxa"/>
              <w:left w:w="100" w:type="dxa"/>
              <w:bottom w:w="60" w:type="dxa"/>
              <w:right w:w="100" w:type="dxa"/>
            </w:tcMar>
          </w:tcPr>
          <w:p w14:paraId="1490B28D"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0E1E8479" w14:textId="77777777" w:rsidR="009E2D51" w:rsidRDefault="00000000" w:rsidP="003E15AA">
            <w:pPr>
              <w:contextualSpacing/>
              <w:jc w:val="left"/>
              <w:ind w:firstLine="709"/>
            </w:pPr>
            <w:r>
              <w:rPr>
                <w:sz w:val="20"/>
                <w:szCs w:val="20"/>
              </w:rPr>
              <w:t>Público (GitHub)</w:t>
            </w:r>
          </w:p>
        </w:tc>
        <w:tc>
          <w:tcPr>
            <w:tcW w:w="0" w:type="auto"/>
            <w:tcMar>
              <w:top w:w="60" w:type="dxa"/>
              <w:left w:w="100" w:type="dxa"/>
              <w:bottom w:w="60" w:type="dxa"/>
              <w:right w:w="100" w:type="dxa"/>
            </w:tcMar>
          </w:tcPr>
          <w:p w14:paraId="43CCC0BE" w14:textId="77777777" w:rsidR="009E2D51" w:rsidRDefault="00000000" w:rsidP="003E15AA">
            <w:pPr>
              <w:contextualSpacing/>
              <w:jc w:val="left"/>
              <w:ind w:firstLine="709"/>
            </w:pPr>
            <w:r>
              <w:rPr>
                <w:sz w:val="20"/>
                <w:szCs w:val="20"/>
              </w:rPr>
              <w:t>App de prueba del generador OpenAPI (Cristea, 2024)</w:t>
            </w:r>
          </w:p>
        </w:tc>
      </w:tr>
    </w:tbl>
    <w:p w14:paraId="3F3EACB6" w14:textId="77777777" w:rsidR="009E2D51" w:rsidRDefault="00000000" w:rsidP="003E15AA">
      <w:pPr>
        <w:contextualSpacing/>
        <w:jc w:val="left"/>
      </w:pPr>
      <w:commentRangeStart w:id="13"/>
      <w:r>
        <w:t xml:space="preserve">     Fuente: Propia.</w:t>
        <w:rPr>
          <w:sz w:val="20"/>
          <w:szCs w:val="20"/>
        </w:rPr>
      </w:r>
      <w:commentRangeEnd w:id="13"/>
      <w:r>
        <w:rPr>
          <w:rStyle w:val="CommentReference"/>
          <w:sz w:val="20"/>
          <w:szCs w:val="20"/>
        </w:rPr>
        <w:commentReference w:id="13"/>
      </w:r>
    </w:p>
    <w:p w14:paraId="2848B4CA" w14:textId="77777777" w:rsidR="005D127F" w:rsidRDefault="005D127F" w:rsidP="003E15AA">
      <w:pPr>
        <w:contextualSpacing/>
        <w:jc w:val="left"/>
      </w:pPr>
    </w:p>
    <w:p w14:paraId="75878A99" w14:textId="77777777" w:rsidR="005D127F" w:rsidRDefault="005D127F" w:rsidP="003E15AA">
      <w:pPr>
        <w:contextualSpacing/>
        <w:jc w:val="left"/>
      </w:pPr>
    </w:p>
    <w:p w14:paraId="62748B3F" w14:textId="77777777" w:rsidR="009E2D51" w:rsidRDefault="00000000" w:rsidP="003E15AA">
      <w:pPr>
        <w:contextualSpacing/>
        <w:jc w:val="left"/>
      </w:pPr>
      <w:r>
        <w:rPr>
          <w:b/>
          <w:bCs/>
        </w:rPr>
        <w:lastRenderedPageBreak/>
        <w:t>3.3 INSTRUMENTOS</w:t>
      </w:r>
    </w:p>
    <w:p w14:paraId="2C0ED484" w14:textId="77777777" w:rsidR="009E2D51" w:rsidRPr="00CA0E2B" w:rsidRDefault="00000000" w:rsidP="003E15AA">
      <w:pPr>
        <w:contextualSpacing/>
        <w:rPr>
          <w:color w:val="EE0000"/>
        </w:rPr>
      </w:pPr>
      <w:r>
        <w:t xml:space="preserve">     Los instrumentos de la investigación son los que se detallan en el Cuadro No. 2.</w:t>
      </w:r>
      <w:r>
        <w:rPr>
          <w:rStyle w:val="FootnoteReference"/>
        </w:rPr>
        <w:footnoteReference w:id="73"/>
      </w:r>
    </w:p>
    <w:p>
      <w:pPr>
        <w:contextualSpacing/>
        <w:rPr>
          <w:color w:val="EE0000"/>
        </w:rPr>
      </w:pPr>
      <w:r>
        <w:t xml:space="preserve">     Cada instrumento fue seleccionado con base en los requerimientos de las fases del procedimiento y en el criterio de ejecución completamente local</w:t>
      </w:r>
      <w:r>
        <w:rPr/>
        <w:t>.</w:t>
      </w:r>
      <w:r>
        <w:rPr>
          <w:rStyle w:val="FootnoteReference"/>
        </w:rPr>
        <w:footnoteReference w:id="74"/>
      </w:r>
    </w:p>
    <w:p w14:paraId="19E18D23" w14:textId="77777777" w:rsidR="005D127F" w:rsidRDefault="005D127F" w:rsidP="003E15AA">
      <w:pPr>
        <w:contextualSpacing/>
      </w:pPr>
    </w:p>
    <w:p w14:paraId="4FFBA39E" w14:textId="77777777" w:rsidR="009E2D51" w:rsidRDefault="00000000" w:rsidP="003E15AA">
      <w:pPr>
        <w:contextualSpacing/>
        <w:jc w:val="center"/>
      </w:pPr>
      <w:commentRangeStart w:id="14"/>
      <w:r>
        <w:rPr/>
        <w:t>Cuadro No. 2</w:t>
      </w:r>
      <w:commentRangeEnd w:id="14"/>
      <w:r>
        <w:rPr>
          <w:rStyle w:val="CommentReference"/>
          <w:sz w:val="24"/>
          <w:szCs w:val="24"/>
        </w:rPr>
        <w:commentReference w:id="14"/>
      </w:r>
    </w:p>
    <w:p w14:paraId="03C0D22C" w14:textId="77777777" w:rsidR="009E2D51" w:rsidRDefault="00000000" w:rsidP="003E15AA">
      <w:pPr>
        <w:contextualSpacing/>
        <w:jc w:val="center"/>
      </w:pPr>
      <w:r>
        <w:rPr>
          <w:b/>
          <w:bCs/>
        </w:rPr>
        <w:t>INSTRUMENTOS DE INVESTIGACIÓN</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741"/>
        <w:gridCol w:w="2991"/>
        <w:gridCol w:w="3682"/>
      </w:tblGrid>
      <w:tr w:rsidR="009E2D51" w14:paraId="67386497" w14:textId="77777777">
        <w:trPr>
          <w:tblHeader/>
        </w:trPr>
        <w:tc>
          <w:tcPr>
            <w:tcW w:w="0" w:type="auto"/>
            <w:tcMar>
              <w:top w:w="60" w:type="dxa"/>
              <w:left w:w="100" w:type="dxa"/>
              <w:bottom w:w="60" w:type="dxa"/>
              <w:right w:w="100" w:type="dxa"/>
            </w:tcMar>
          </w:tcPr>
          <w:p w14:paraId="174B996F" w14:textId="77777777" w:rsidR="009E2D51" w:rsidRDefault="00000000" w:rsidP="003E15AA">
            <w:pPr>
              <w:contextualSpacing/>
              <w:jc w:val="center"/>
            </w:pPr>
            <w:r>
              <w:rPr>
                <w:b/>
                <w:bCs/>
                <w:sz w:val="20"/>
                <w:szCs w:val="20"/>
              </w:rPr>
              <w:t>N°</w:t>
            </w:r>
          </w:p>
        </w:tc>
        <w:tc>
          <w:tcPr>
            <w:tcW w:w="0" w:type="auto"/>
            <w:tcMar>
              <w:top w:w="60" w:type="dxa"/>
              <w:left w:w="100" w:type="dxa"/>
              <w:bottom w:w="60" w:type="dxa"/>
              <w:right w:w="100" w:type="dxa"/>
            </w:tcMar>
          </w:tcPr>
          <w:p w14:paraId="4A49FAAF" w14:textId="77777777" w:rsidR="009E2D51" w:rsidRDefault="00000000" w:rsidP="003E15AA">
            <w:pPr>
              <w:contextualSpacing/>
              <w:jc w:val="left"/>
              <w:ind w:firstLine="709"/>
            </w:pPr>
            <w:r>
              <w:rPr>
                <w:b/>
                <w:bCs/>
                <w:sz w:val="20"/>
                <w:szCs w:val="20"/>
              </w:rPr>
              <w:t>Instrumento</w:t>
            </w:r>
          </w:p>
        </w:tc>
        <w:tc>
          <w:tcPr>
            <w:tcW w:w="0" w:type="auto"/>
            <w:tcMar>
              <w:top w:w="60" w:type="dxa"/>
              <w:left w:w="100" w:type="dxa"/>
              <w:bottom w:w="60" w:type="dxa"/>
              <w:right w:w="100" w:type="dxa"/>
            </w:tcMar>
          </w:tcPr>
          <w:p w14:paraId="1322F0BB" w14:textId="77777777" w:rsidR="009E2D51" w:rsidRDefault="00000000" w:rsidP="003E15AA">
            <w:pPr>
              <w:contextualSpacing/>
              <w:jc w:val="left"/>
              <w:ind w:firstLine="709"/>
            </w:pPr>
            <w:r>
              <w:rPr>
                <w:b/>
                <w:bCs/>
                <w:sz w:val="20"/>
                <w:szCs w:val="20"/>
              </w:rPr>
              <w:t>Tecnología</w:t>
            </w:r>
          </w:p>
        </w:tc>
        <w:tc>
          <w:tcPr>
            <w:tcW w:w="0" w:type="auto"/>
            <w:tcMar>
              <w:top w:w="60" w:type="dxa"/>
              <w:left w:w="100" w:type="dxa"/>
              <w:bottom w:w="60" w:type="dxa"/>
              <w:right w:w="100" w:type="dxa"/>
            </w:tcMar>
          </w:tcPr>
          <w:p w14:paraId="3E79F1A7" w14:textId="77777777" w:rsidR="009E2D51" w:rsidRDefault="00000000" w:rsidP="003E15AA">
            <w:pPr>
              <w:contextualSpacing/>
              <w:jc w:val="left"/>
              <w:ind w:firstLine="709"/>
            </w:pPr>
            <w:r>
              <w:rPr>
                <w:b/>
                <w:bCs/>
                <w:sz w:val="20"/>
                <w:szCs w:val="20"/>
              </w:rPr>
              <w:t>Función</w:t>
            </w:r>
          </w:p>
        </w:tc>
      </w:tr>
      <w:tr w:rsidR="009E2D51" w14:paraId="25D7B47E" w14:textId="77777777">
        <w:tc>
          <w:tcPr>
            <w:tcW w:w="0" w:type="auto"/>
            <w:tcMar>
              <w:top w:w="60" w:type="dxa"/>
              <w:left w:w="100" w:type="dxa"/>
              <w:bottom w:w="60" w:type="dxa"/>
              <w:right w:w="100" w:type="dxa"/>
            </w:tcMar>
          </w:tcPr>
          <w:p w14:paraId="7977D549" w14:textId="77777777" w:rsidR="009E2D51" w:rsidRDefault="00000000" w:rsidP="003E15AA">
            <w:pPr>
              <w:contextualSpacing/>
              <w:jc w:val="center"/>
            </w:pPr>
            <w:r>
              <w:rPr>
                <w:sz w:val="20"/>
                <w:szCs w:val="20"/>
              </w:rPr>
              <w:t>1</w:t>
            </w:r>
          </w:p>
        </w:tc>
        <w:tc>
          <w:tcPr>
            <w:tcW w:w="0" w:type="auto"/>
            <w:tcMar>
              <w:top w:w="60" w:type="dxa"/>
              <w:left w:w="100" w:type="dxa"/>
              <w:bottom w:w="60" w:type="dxa"/>
              <w:right w:w="100" w:type="dxa"/>
            </w:tcMar>
          </w:tcPr>
          <w:p w14:paraId="053E48F6" w14:textId="77777777" w:rsidR="009E2D51" w:rsidRDefault="00000000" w:rsidP="003E15AA">
            <w:pPr>
              <w:contextualSpacing/>
              <w:jc w:val="left"/>
              <w:ind w:firstLine="709"/>
            </w:pPr>
            <w:r>
              <w:rPr>
                <w:sz w:val="20"/>
                <w:szCs w:val="20"/>
              </w:rPr>
              <w:t>Módulo de análisis estático</w:t>
            </w:r>
          </w:p>
        </w:tc>
        <w:tc>
          <w:tcPr>
            <w:tcW w:w="0" w:type="auto"/>
            <w:tcMar>
              <w:top w:w="60" w:type="dxa"/>
              <w:left w:w="100" w:type="dxa"/>
              <w:bottom w:w="60" w:type="dxa"/>
              <w:right w:w="100" w:type="dxa"/>
            </w:tcMar>
          </w:tcPr>
          <w:p w14:paraId="4181A703" w14:textId="77777777" w:rsidR="009E2D51" w:rsidRDefault="00000000" w:rsidP="003E15AA">
            <w:pPr>
              <w:contextualSpacing/>
              <w:jc w:val="left"/>
              <w:ind w:firstLine="709"/>
            </w:pPr>
            <w:r>
              <w:rPr>
                <w:sz w:val="20"/>
                <w:szCs w:val="20"/>
              </w:rPr>
              <w:t>Python 3.12, módulo ast</w:t>
            </w:r>
          </w:p>
        </w:tc>
        <w:tc>
          <w:tcPr>
            <w:tcW w:w="0" w:type="auto"/>
            <w:tcMar>
              <w:top w:w="60" w:type="dxa"/>
              <w:left w:w="100" w:type="dxa"/>
              <w:bottom w:w="60" w:type="dxa"/>
              <w:right w:w="100" w:type="dxa"/>
            </w:tcMar>
          </w:tcPr>
          <w:p w14:paraId="25F0E6EC" w14:textId="77777777" w:rsidR="009E2D51" w:rsidRDefault="00000000" w:rsidP="003E15AA">
            <w:pPr>
              <w:contextualSpacing/>
              <w:jc w:val="left"/>
              <w:ind w:firstLine="709"/>
            </w:pPr>
            <w:r>
              <w:rPr>
                <w:sz w:val="20"/>
                <w:szCs w:val="20"/>
              </w:rPr>
              <w:t>7 reglas AST; detecta indicadores de riesgo OWASP API1–API5, API8</w:t>
            </w:r>
          </w:p>
        </w:tc>
      </w:tr>
      <w:tr w:rsidR="009E2D51" w14:paraId="7D0C3B7F" w14:textId="77777777">
        <w:tc>
          <w:tcPr>
            <w:tcW w:w="0" w:type="auto"/>
            <w:tcMar>
              <w:top w:w="60" w:type="dxa"/>
              <w:left w:w="100" w:type="dxa"/>
              <w:bottom w:w="60" w:type="dxa"/>
              <w:right w:w="100" w:type="dxa"/>
            </w:tcMar>
          </w:tcPr>
          <w:p w14:paraId="5F34078F" w14:textId="77777777" w:rsidR="009E2D51" w:rsidRDefault="00000000" w:rsidP="003E15AA">
            <w:pPr>
              <w:contextualSpacing/>
              <w:jc w:val="center"/>
            </w:pPr>
            <w:r>
              <w:rPr>
                <w:sz w:val="20"/>
                <w:szCs w:val="20"/>
              </w:rPr>
              <w:t>2</w:t>
            </w:r>
          </w:p>
        </w:tc>
        <w:tc>
          <w:tcPr>
            <w:tcW w:w="0" w:type="auto"/>
            <w:tcMar>
              <w:top w:w="60" w:type="dxa"/>
              <w:left w:w="100" w:type="dxa"/>
              <w:bottom w:w="60" w:type="dxa"/>
              <w:right w:w="100" w:type="dxa"/>
            </w:tcMar>
          </w:tcPr>
          <w:p w14:paraId="6A12E538" w14:textId="77777777" w:rsidR="009E2D51" w:rsidRDefault="00000000" w:rsidP="003E15AA">
            <w:pPr>
              <w:contextualSpacing/>
              <w:jc w:val="left"/>
              <w:ind w:firstLine="709"/>
            </w:pPr>
            <w:r>
              <w:rPr>
                <w:sz w:val="20"/>
                <w:szCs w:val="20"/>
              </w:rPr>
              <w:t>Módulo de análisis dinámico</w:t>
            </w:r>
          </w:p>
        </w:tc>
        <w:tc>
          <w:tcPr>
            <w:tcW w:w="0" w:type="auto"/>
            <w:tcMar>
              <w:top w:w="60" w:type="dxa"/>
              <w:left w:w="100" w:type="dxa"/>
              <w:bottom w:w="60" w:type="dxa"/>
              <w:right w:w="100" w:type="dxa"/>
            </w:tcMar>
          </w:tcPr>
          <w:p w14:paraId="71F0813D" w14:textId="77777777" w:rsidR="009E2D51" w:rsidRDefault="00000000" w:rsidP="003E15AA">
            <w:pPr>
              <w:contextualSpacing/>
              <w:jc w:val="left"/>
              <w:ind w:firstLine="709"/>
            </w:pPr>
            <w:r>
              <w:rPr>
                <w:sz w:val="20"/>
                <w:szCs w:val="20"/>
              </w:rPr>
              <w:t>Python, requests</w:t>
            </w:r>
          </w:p>
        </w:tc>
        <w:tc>
          <w:tcPr>
            <w:tcW w:w="0" w:type="auto"/>
            <w:tcMar>
              <w:top w:w="60" w:type="dxa"/>
              <w:left w:w="100" w:type="dxa"/>
              <w:bottom w:w="60" w:type="dxa"/>
              <w:right w:w="100" w:type="dxa"/>
            </w:tcMar>
          </w:tcPr>
          <w:p w14:paraId="329AF094" w14:textId="77777777" w:rsidR="009E2D51" w:rsidRDefault="00000000" w:rsidP="003E15AA">
            <w:pPr>
              <w:contextualSpacing/>
              <w:jc w:val="left"/>
              <w:ind w:firstLine="709"/>
            </w:pPr>
            <w:r>
              <w:rPr>
                <w:sz w:val="20"/>
                <w:szCs w:val="20"/>
              </w:rPr>
              <w:t>5 sondas HTTP; detecta indicadores en tiempo de ejecución</w:t>
            </w:r>
          </w:p>
        </w:tc>
      </w:tr>
      <w:tr w:rsidR="009E2D51" w14:paraId="75A0DAA2" w14:textId="77777777">
        <w:tc>
          <w:tcPr>
            <w:tcW w:w="0" w:type="auto"/>
            <w:tcMar>
              <w:top w:w="60" w:type="dxa"/>
              <w:left w:w="100" w:type="dxa"/>
              <w:bottom w:w="60" w:type="dxa"/>
              <w:right w:w="100" w:type="dxa"/>
            </w:tcMar>
          </w:tcPr>
          <w:p w14:paraId="59538041" w14:textId="77777777" w:rsidR="009E2D51" w:rsidRDefault="00000000" w:rsidP="003E15AA">
            <w:pPr>
              <w:contextualSpacing/>
              <w:jc w:val="center"/>
            </w:pPr>
            <w:r>
              <w:rPr>
                <w:sz w:val="20"/>
                <w:szCs w:val="20"/>
              </w:rPr>
              <w:t>3</w:t>
            </w:r>
          </w:p>
        </w:tc>
        <w:tc>
          <w:tcPr>
            <w:tcW w:w="0" w:type="auto"/>
            <w:tcMar>
              <w:top w:w="60" w:type="dxa"/>
              <w:left w:w="100" w:type="dxa"/>
              <w:bottom w:w="60" w:type="dxa"/>
              <w:right w:w="100" w:type="dxa"/>
            </w:tcMar>
          </w:tcPr>
          <w:p w14:paraId="736C26E2" w14:textId="77777777" w:rsidR="009E2D51" w:rsidRDefault="00000000" w:rsidP="003E15AA">
            <w:pPr>
              <w:contextualSpacing/>
              <w:jc w:val="left"/>
              <w:ind w:firstLine="709"/>
            </w:pPr>
            <w:r>
              <w:rPr>
                <w:sz w:val="20"/>
                <w:szCs w:val="20"/>
              </w:rPr>
              <w:t>Pipeline RAG</w:t>
            </w:r>
          </w:p>
        </w:tc>
        <w:tc>
          <w:tcPr>
            <w:tcW w:w="0" w:type="auto"/>
            <w:tcMar>
              <w:top w:w="60" w:type="dxa"/>
              <w:left w:w="100" w:type="dxa"/>
              <w:bottom w:w="60" w:type="dxa"/>
              <w:right w:w="100" w:type="dxa"/>
            </w:tcMar>
          </w:tcPr>
          <w:p w14:paraId="171CB42D" w14:textId="77777777" w:rsidR="009E2D51" w:rsidRPr="001B18B0" w:rsidRDefault="00000000" w:rsidP="003E15AA">
            <w:pPr>
              <w:contextualSpacing/>
              <w:jc w:val="left"/>
              <w:rPr>
                <w:lang w:val="en-US"/>
              </w:rPr>
              <w:ind w:firstLine="709"/>
            </w:pPr>
            <w:r>
              <w:rPr>
                <w:sz w:val="20"/>
                <w:szCs w:val="20"/>
                <w:lang w:val="en-US"/>
              </w:rPr>
              <w:t>ChromaDB 0.6.x, all-MiniLM-L6-v2, Mistral 7B Q4_K_M, Ollama 0.6.x</w:t>
            </w:r>
          </w:p>
        </w:tc>
        <w:tc>
          <w:tcPr>
            <w:tcW w:w="0" w:type="auto"/>
            <w:tcMar>
              <w:top w:w="60" w:type="dxa"/>
              <w:left w:w="100" w:type="dxa"/>
              <w:bottom w:w="60" w:type="dxa"/>
              <w:right w:w="100" w:type="dxa"/>
            </w:tcMar>
          </w:tcPr>
          <w:p w14:paraId="4338D06E" w14:textId="77777777" w:rsidR="009E2D51" w:rsidRDefault="00000000" w:rsidP="003E15AA">
            <w:pPr>
              <w:contextualSpacing/>
              <w:jc w:val="left"/>
              <w:ind w:firstLine="709"/>
            </w:pPr>
            <w:r>
              <w:rPr>
                <w:sz w:val="20"/>
                <w:szCs w:val="20"/>
              </w:rPr>
              <w:t>Base de conocimiento local; genera recomendaciones citadas</w:t>
            </w:r>
          </w:p>
        </w:tc>
      </w:tr>
      <w:tr w:rsidR="009E2D51" w14:paraId="0A309F03" w14:textId="77777777">
        <w:tc>
          <w:tcPr>
            <w:tcW w:w="0" w:type="auto"/>
            <w:tcMar>
              <w:top w:w="60" w:type="dxa"/>
              <w:left w:w="100" w:type="dxa"/>
              <w:bottom w:w="60" w:type="dxa"/>
              <w:right w:w="100" w:type="dxa"/>
            </w:tcMar>
          </w:tcPr>
          <w:p w14:paraId="36F06E6A" w14:textId="77777777" w:rsidR="009E2D51" w:rsidRDefault="00000000" w:rsidP="003E15AA">
            <w:pPr>
              <w:contextualSpacing/>
              <w:jc w:val="center"/>
            </w:pPr>
            <w:r>
              <w:rPr>
                <w:sz w:val="20"/>
                <w:szCs w:val="20"/>
              </w:rPr>
              <w:t>4</w:t>
            </w:r>
          </w:p>
        </w:tc>
        <w:tc>
          <w:tcPr>
            <w:tcW w:w="0" w:type="auto"/>
            <w:tcMar>
              <w:top w:w="60" w:type="dxa"/>
              <w:left w:w="100" w:type="dxa"/>
              <w:bottom w:w="60" w:type="dxa"/>
              <w:right w:w="100" w:type="dxa"/>
            </w:tcMar>
          </w:tcPr>
          <w:p w14:paraId="40C8B232" w14:textId="77777777" w:rsidR="009E2D51" w:rsidRDefault="00000000" w:rsidP="003E15AA">
            <w:pPr>
              <w:contextualSpacing/>
              <w:jc w:val="left"/>
              <w:ind w:firstLine="709"/>
            </w:pPr>
            <w:r>
              <w:rPr>
                <w:sz w:val="20"/>
                <w:szCs w:val="20"/>
              </w:rPr>
              <w:t>Generador de reportes</w:t>
            </w:r>
          </w:p>
        </w:tc>
        <w:tc>
          <w:tcPr>
            <w:tcW w:w="0" w:type="auto"/>
            <w:tcMar>
              <w:top w:w="60" w:type="dxa"/>
              <w:left w:w="100" w:type="dxa"/>
              <w:bottom w:w="60" w:type="dxa"/>
              <w:right w:w="100" w:type="dxa"/>
            </w:tcMar>
          </w:tcPr>
          <w:p w14:paraId="6E691243" w14:textId="77777777" w:rsidR="009E2D51" w:rsidRDefault="00000000" w:rsidP="003E15AA">
            <w:pPr>
              <w:contextualSpacing/>
              <w:jc w:val="left"/>
              <w:ind w:firstLine="709"/>
            </w:pPr>
            <w:r>
              <w:rPr>
                <w:sz w:val="20"/>
                <w:szCs w:val="20"/>
              </w:rPr>
              <w:t>ReportLab, Jinja2</w:t>
            </w:r>
          </w:p>
        </w:tc>
        <w:tc>
          <w:tcPr>
            <w:tcW w:w="0" w:type="auto"/>
            <w:tcMar>
              <w:top w:w="60" w:type="dxa"/>
              <w:left w:w="100" w:type="dxa"/>
              <w:bottom w:w="60" w:type="dxa"/>
              <w:right w:w="100" w:type="dxa"/>
            </w:tcMar>
          </w:tcPr>
          <w:p w14:paraId="4FEE75F9" w14:textId="77777777" w:rsidR="009E2D51" w:rsidRDefault="00000000" w:rsidP="003E15AA">
            <w:pPr>
              <w:contextualSpacing/>
              <w:jc w:val="left"/>
              <w:ind w:firstLine="709"/>
            </w:pPr>
            <w:r>
              <w:rPr>
                <w:sz w:val="20"/>
                <w:szCs w:val="20"/>
              </w:rPr>
              <w:t>Produce informes PDF y HTML con hallazgos y recomendaciones</w:t>
            </w:r>
          </w:p>
        </w:tc>
      </w:tr>
      <w:tr w:rsidR="009E2D51" w14:paraId="625B7DB5" w14:textId="77777777">
        <w:tc>
          <w:tcPr>
            <w:tcW w:w="0" w:type="auto"/>
            <w:tcMar>
              <w:top w:w="60" w:type="dxa"/>
              <w:left w:w="100" w:type="dxa"/>
              <w:bottom w:w="60" w:type="dxa"/>
              <w:right w:w="100" w:type="dxa"/>
            </w:tcMar>
          </w:tcPr>
          <w:p w14:paraId="0650E97F" w14:textId="77777777" w:rsidR="009E2D51" w:rsidRDefault="00000000" w:rsidP="003E15AA">
            <w:pPr>
              <w:contextualSpacing/>
              <w:jc w:val="center"/>
            </w:pPr>
            <w:r>
              <w:rPr>
                <w:sz w:val="20"/>
                <w:szCs w:val="20"/>
              </w:rPr>
              <w:t>5</w:t>
            </w:r>
          </w:p>
        </w:tc>
        <w:tc>
          <w:tcPr>
            <w:tcW w:w="0" w:type="auto"/>
            <w:tcMar>
              <w:top w:w="60" w:type="dxa"/>
              <w:left w:w="100" w:type="dxa"/>
              <w:bottom w:w="60" w:type="dxa"/>
              <w:right w:w="100" w:type="dxa"/>
            </w:tcMar>
          </w:tcPr>
          <w:p w14:paraId="691A517A" w14:textId="77777777" w:rsidR="009E2D51" w:rsidRDefault="00000000" w:rsidP="003E15AA">
            <w:pPr>
              <w:contextualSpacing/>
              <w:jc w:val="left"/>
              <w:ind w:firstLine="709"/>
            </w:pPr>
            <w:r>
              <w:rPr>
                <w:sz w:val="20"/>
                <w:szCs w:val="20"/>
              </w:rPr>
              <w:t>Suite de pruebas</w:t>
            </w:r>
          </w:p>
        </w:tc>
        <w:tc>
          <w:tcPr>
            <w:tcW w:w="0" w:type="auto"/>
            <w:tcMar>
              <w:top w:w="60" w:type="dxa"/>
              <w:left w:w="100" w:type="dxa"/>
              <w:bottom w:w="60" w:type="dxa"/>
              <w:right w:w="100" w:type="dxa"/>
            </w:tcMar>
          </w:tcPr>
          <w:p w14:paraId="31B492D5" w14:textId="77777777" w:rsidR="009E2D51" w:rsidRDefault="00000000" w:rsidP="003E15AA">
            <w:pPr>
              <w:contextualSpacing/>
              <w:jc w:val="left"/>
              <w:ind w:firstLine="709"/>
            </w:pPr>
            <w:r>
              <w:rPr>
                <w:sz w:val="20"/>
                <w:szCs w:val="20"/>
              </w:rPr>
              <w:t>pytest</w:t>
            </w:r>
          </w:p>
        </w:tc>
        <w:tc>
          <w:tcPr>
            <w:tcW w:w="0" w:type="auto"/>
            <w:tcMar>
              <w:top w:w="60" w:type="dxa"/>
              <w:left w:w="100" w:type="dxa"/>
              <w:bottom w:w="60" w:type="dxa"/>
              <w:right w:w="100" w:type="dxa"/>
            </w:tcMar>
          </w:tcPr>
          <w:p w14:paraId="7771C33A" w14:textId="77777777" w:rsidR="009E2D51" w:rsidRDefault="00000000" w:rsidP="003E15AA">
            <w:pPr>
              <w:contextualSpacing/>
              <w:jc w:val="left"/>
              <w:ind w:firstLine="709"/>
            </w:pPr>
            <w:r>
              <w:rPr>
                <w:sz w:val="20"/>
                <w:szCs w:val="20"/>
              </w:rPr>
              <w:t>113 casos de prueba automatizados (30 estático + 22 dinámico + 31 RAG + 30 reporte)</w:t>
            </w:r>
          </w:p>
        </w:tc>
      </w:tr>
      <w:tr w:rsidR="009E2D51" w14:paraId="29708BE0" w14:textId="77777777">
        <w:tc>
          <w:tcPr>
            <w:tcW w:w="0" w:type="auto"/>
            <w:tcMar>
              <w:top w:w="60" w:type="dxa"/>
              <w:left w:w="100" w:type="dxa"/>
              <w:bottom w:w="60" w:type="dxa"/>
              <w:right w:w="100" w:type="dxa"/>
            </w:tcMar>
          </w:tcPr>
          <w:p w14:paraId="6AF26956" w14:textId="77777777" w:rsidR="009E2D51" w:rsidRDefault="00000000" w:rsidP="003E15AA">
            <w:pPr>
              <w:contextualSpacing/>
              <w:jc w:val="center"/>
            </w:pPr>
            <w:r>
              <w:rPr>
                <w:sz w:val="20"/>
                <w:szCs w:val="20"/>
              </w:rPr>
              <w:t>6</w:t>
            </w:r>
          </w:p>
        </w:tc>
        <w:tc>
          <w:tcPr>
            <w:tcW w:w="0" w:type="auto"/>
            <w:tcMar>
              <w:top w:w="60" w:type="dxa"/>
              <w:left w:w="100" w:type="dxa"/>
              <w:bottom w:w="60" w:type="dxa"/>
              <w:right w:w="100" w:type="dxa"/>
            </w:tcMar>
          </w:tcPr>
          <w:p w14:paraId="70BFE740" w14:textId="77777777" w:rsidR="009E2D51" w:rsidRDefault="00000000" w:rsidP="003E15AA">
            <w:pPr>
              <w:contextualSpacing/>
              <w:jc w:val="left"/>
              <w:ind w:firstLine="709"/>
            </w:pPr>
            <w:r>
              <w:rPr>
                <w:sz w:val="20"/>
                <w:szCs w:val="20"/>
              </w:rPr>
              <w:t>Herramientas comparativas</w:t>
            </w:r>
          </w:p>
        </w:tc>
        <w:tc>
          <w:tcPr>
            <w:tcW w:w="0" w:type="auto"/>
            <w:tcMar>
              <w:top w:w="60" w:type="dxa"/>
              <w:left w:w="100" w:type="dxa"/>
              <w:bottom w:w="60" w:type="dxa"/>
              <w:right w:w="100" w:type="dxa"/>
            </w:tcMar>
          </w:tcPr>
          <w:p w14:paraId="0D176861" w14:textId="77777777" w:rsidR="009E2D51" w:rsidRPr="001B18B0" w:rsidRDefault="00000000" w:rsidP="003E15AA">
            <w:pPr>
              <w:contextualSpacing/>
              <w:jc w:val="left"/>
              <w:rPr>
                <w:lang w:val="en-US"/>
              </w:rPr>
              <w:ind w:firstLine="709"/>
            </w:pPr>
            <w:r>
              <w:rPr>
                <w:sz w:val="20"/>
                <w:szCs w:val="20"/>
                <w:lang w:val="en-US"/>
              </w:rPr>
              <w:t>Bandit 1.9.x, Semgrep 1.x (p/django)</w:t>
            </w:r>
          </w:p>
        </w:tc>
        <w:tc>
          <w:tcPr>
            <w:tcW w:w="0" w:type="auto"/>
            <w:tcMar>
              <w:top w:w="60" w:type="dxa"/>
              <w:left w:w="100" w:type="dxa"/>
              <w:bottom w:w="60" w:type="dxa"/>
              <w:right w:w="100" w:type="dxa"/>
            </w:tcMar>
          </w:tcPr>
          <w:p w14:paraId="560C1AE4" w14:textId="77777777" w:rsidR="009E2D51" w:rsidRDefault="00000000" w:rsidP="003E15AA">
            <w:pPr>
              <w:contextualSpacing/>
              <w:jc w:val="left"/>
              <w:ind w:firstLine="709"/>
            </w:pPr>
            <w:r>
              <w:rPr>
                <w:sz w:val="20"/>
                <w:szCs w:val="20"/>
              </w:rPr>
              <w:t>Línea base de comparación de cobertura OWASP</w:t>
            </w:r>
          </w:p>
        </w:tc>
      </w:tr>
      <w:tr w:rsidR="009E2D51" w14:paraId="6DE55BD5" w14:textId="77777777">
        <w:tc>
          <w:tcPr>
            <w:tcW w:w="0" w:type="auto"/>
            <w:tcMar>
              <w:top w:w="60" w:type="dxa"/>
              <w:left w:w="100" w:type="dxa"/>
              <w:bottom w:w="60" w:type="dxa"/>
              <w:right w:w="100" w:type="dxa"/>
            </w:tcMar>
          </w:tcPr>
          <w:p w14:paraId="5DB2CB31" w14:textId="77777777" w:rsidR="009E2D51" w:rsidRDefault="00000000" w:rsidP="003E15AA">
            <w:pPr>
              <w:contextualSpacing/>
              <w:jc w:val="center"/>
            </w:pPr>
            <w:r>
              <w:rPr>
                <w:sz w:val="20"/>
                <w:szCs w:val="20"/>
              </w:rPr>
              <w:t>7</w:t>
            </w:r>
          </w:p>
        </w:tc>
        <w:tc>
          <w:tcPr>
            <w:tcW w:w="0" w:type="auto"/>
            <w:tcMar>
              <w:top w:w="60" w:type="dxa"/>
              <w:left w:w="100" w:type="dxa"/>
              <w:bottom w:w="60" w:type="dxa"/>
              <w:right w:w="100" w:type="dxa"/>
            </w:tcMar>
          </w:tcPr>
          <w:p w14:paraId="2F2A0732" w14:textId="77777777" w:rsidR="009E2D51" w:rsidRDefault="00000000" w:rsidP="003E15AA">
            <w:pPr>
              <w:contextualSpacing/>
              <w:jc w:val="left"/>
              <w:ind w:firstLine="709"/>
            </w:pPr>
            <w:r>
              <w:rPr>
                <w:sz w:val="20"/>
                <w:szCs w:val="20"/>
              </w:rPr>
              <w:t>Hardware</w:t>
            </w:r>
          </w:p>
        </w:tc>
        <w:tc>
          <w:tcPr>
            <w:tcW w:w="0" w:type="auto"/>
            <w:tcMar>
              <w:top w:w="60" w:type="dxa"/>
              <w:left w:w="100" w:type="dxa"/>
              <w:bottom w:w="60" w:type="dxa"/>
              <w:right w:w="100" w:type="dxa"/>
            </w:tcMar>
          </w:tcPr>
          <w:p w14:paraId="7A62CE52" w14:textId="77777777" w:rsidR="009E2D51" w:rsidRDefault="00000000" w:rsidP="003E15AA">
            <w:pPr>
              <w:contextualSpacing/>
              <w:jc w:val="left"/>
              <w:ind w:firstLine="709"/>
            </w:pPr>
            <w:r>
              <w:rPr>
                <w:sz w:val="20"/>
                <w:szCs w:val="20"/>
              </w:rPr>
              <w:t>Apple M3, 16 GB RAM, sin GPU dedicada</w:t>
            </w:r>
          </w:p>
        </w:tc>
        <w:tc>
          <w:tcPr>
            <w:tcW w:w="0" w:type="auto"/>
            <w:tcMar>
              <w:top w:w="60" w:type="dxa"/>
              <w:left w:w="100" w:type="dxa"/>
              <w:bottom w:w="60" w:type="dxa"/>
              <w:right w:w="100" w:type="dxa"/>
            </w:tcMar>
          </w:tcPr>
          <w:p w14:paraId="3B9212BB" w14:textId="77777777" w:rsidR="009E2D51" w:rsidRDefault="00000000" w:rsidP="003E15AA">
            <w:pPr>
              <w:contextualSpacing/>
              <w:jc w:val="left"/>
              <w:ind w:firstLine="709"/>
            </w:pPr>
            <w:r>
              <w:rPr>
                <w:sz w:val="20"/>
                <w:szCs w:val="20"/>
              </w:rPr>
              <w:t>Plataforma de ejecución; valida viabilidad sin aceleradores</w:t>
            </w:r>
          </w:p>
        </w:tc>
      </w:tr>
    </w:tbl>
    <w:p w14:paraId="1300FAA9" w14:textId="77777777" w:rsidR="009E2D51" w:rsidRDefault="00000000" w:rsidP="003E15AA">
      <w:pPr>
        <w:contextualSpacing/>
        <w:jc w:val="left"/>
      </w:pPr>
      <w:commentRangeStart w:id="15"/>
      <w:r>
        <w:t xml:space="preserve">     Fuente: Propia.</w:t>
        <w:rPr>
          <w:sz w:val="20"/>
          <w:szCs w:val="20"/>
        </w:rPr>
      </w:r>
      <w:commentRangeEnd w:id="15"/>
      <w:r>
        <w:rPr>
          <w:rStyle w:val="CommentReference"/>
          <w:sz w:val="20"/>
          <w:szCs w:val="20"/>
        </w:rPr>
        <w:commentReference w:id="15"/>
      </w:r>
    </w:p>
    <w:p w14:paraId="0E25320E" w14:textId="77777777" w:rsidR="005D127F" w:rsidRDefault="005D127F" w:rsidP="003E15AA">
      <w:pPr>
        <w:contextualSpacing/>
        <w:jc w:val="left"/>
      </w:pPr>
    </w:p>
    <w:p w14:paraId="0310AB28" w14:textId="77777777" w:rsidR="005D127F" w:rsidRDefault="005D127F" w:rsidP="003E15AA">
      <w:pPr>
        <w:contextualSpacing/>
        <w:jc w:val="left"/>
      </w:pPr>
    </w:p>
    <w:p w14:paraId="279CD7AC" w14:textId="77777777" w:rsidR="009E2D51" w:rsidRDefault="00000000" w:rsidP="003E15AA">
      <w:pPr>
        <w:contextualSpacing/>
        <w:jc w:val="left"/>
      </w:pPr>
      <w:r>
        <w:rPr>
          <w:b/>
          <w:bCs/>
        </w:rPr>
        <w:lastRenderedPageBreak/>
        <w:t>3.4 PROCEDIMIENTO</w:t>
      </w:r>
    </w:p>
    <w:p>
      <w:pPr>
        <w:contextualSpacing/>
      </w:pPr>
      <w:r>
        <w:rPr/>
        <w:t xml:space="preserve">     El procedimiento de investigación se estructura en once etapas secuenciales:</w:t>
      </w:r>
    </w:p>
    <w:p>
      <w:pPr>
        <w:pStyle w:val="ListParagraph"/>
        <w:numPr>
          <w:ilvl w:val="0"/>
          <w:numId w:val="2"/>
        </w:numPr>
        <w:contextualSpacing/>
      </w:pPr>
      <w:r>
        <w:rPr/>
        <w:t xml:space="preserve">diseño de la arquitectura de cinco módulos (analizador estático, analizador dinámico, recuperador RAG, generador LLM, constructor de reportes)</w:t>
      </w:r>
    </w:p>
    <w:p>
      <w:pPr>
        <w:pStyle w:val="ListParagraph"/>
        <w:numPr>
          <w:ilvl w:val="0"/>
          <w:numId w:val="2"/>
        </w:numPr>
        <w:contextualSpacing/>
      </w:pPr>
      <w:r>
        <w:rPr/>
        <w:t xml:space="preserve">construcción de la interfaz de programación de aplicaciones de prueba con veintiséis instancias de vulnerabilidades plantadas en seis categorías OWASP</w:t>
      </w:r>
    </w:p>
    <w:p>
      <w:pPr>
        <w:pStyle w:val="ListParagraph"/>
        <w:numPr>
          <w:ilvl w:val="0"/>
          <w:numId w:val="2"/>
        </w:numPr>
        <w:contextualSpacing/>
      </w:pPr>
      <w:r>
        <w:rPr/>
        <w:t xml:space="preserve">implementación del módulo de análisis estático con siete reglas y treinta pruebas unitarias</w:t>
      </w:r>
    </w:p>
    <w:p>
      <w:pPr>
        <w:pStyle w:val="ListParagraph"/>
        <w:numPr>
          <w:ilvl w:val="0"/>
          <w:numId w:val="2"/>
        </w:numPr>
        <w:contextualSpacing/>
      </w:pPr>
      <w:r>
        <w:rPr/>
        <w:t xml:space="preserve">implementación del módulo de análisis dinámico con cinco sondas y veintidós pruebas unitarias</w:t>
      </w:r>
    </w:p>
    <w:p>
      <w:pPr>
        <w:pStyle w:val="ListParagraph"/>
        <w:numPr>
          <w:ilvl w:val="0"/>
          <w:numId w:val="2"/>
        </w:numPr>
        <w:contextualSpacing/>
      </w:pPr>
      <w:r>
        <w:rPr/>
        <w:t xml:space="preserve">construcción de la base de conocimiento mediante segmentación de tres documentos en fragmentos de ochocientos caracteres con solapamiento de cien, vectorización con </w:t>
      </w:r>
      <w:r>
        <w:rPr>
          <w:i/>
          <w:iCs/>
        </w:rPr>
        <w:t xml:space="preserve">all-MiniLM-L6-v2</w:t>
      </w:r>
      <w:r>
        <w:rPr/>
        <w:t xml:space="preserve"> y almacenamiento en ChromaDB</w:t>
      </w:r>
    </w:p>
    <w:p>
      <w:pPr>
        <w:pStyle w:val="ListParagraph"/>
        <w:numPr>
          <w:ilvl w:val="0"/>
          <w:numId w:val="2"/>
        </w:numPr>
        <w:contextualSpacing/>
      </w:pPr>
      <w:r>
        <w:rPr/>
        <w:t xml:space="preserve">integración del </w:t>
      </w:r>
      <w:r>
        <w:rPr>
          <w:i/>
          <w:iCs/>
        </w:rPr>
        <w:t xml:space="preserve">pipeline</w:t>
      </w:r>
      <w:r>
        <w:rPr/>
        <w:t xml:space="preserve"> RAG con Mistral 7B vía Ollama con temperatura 0.2 y máximo de 512 </w:t>
      </w:r>
      <w:r>
        <w:rPr>
          <w:i/>
          <w:iCs/>
        </w:rPr>
        <w:t xml:space="preserve">tokens</w:t>
      </w:r>
    </w:p>
    <w:p>
      <w:pPr>
        <w:pStyle w:val="ListParagraph"/>
        <w:numPr>
          <w:ilvl w:val="0"/>
          <w:numId w:val="2"/>
        </w:numPr>
        <w:contextualSpacing/>
      </w:pPr>
      <w:r>
        <w:rPr/>
        <w:t xml:space="preserve">implementación del generador de reportes con treinta y un pruebas unitarias</w:t>
      </w:r>
    </w:p>
    <w:p>
      <w:pPr>
        <w:pStyle w:val="ListParagraph"/>
        <w:numPr>
          <w:ilvl w:val="0"/>
          <w:numId w:val="2"/>
        </w:numPr>
        <w:contextualSpacing/>
      </w:pPr>
      <w:r>
        <w:rPr/>
        <w:t xml:space="preserve">evaluación en entorno controlado con cálculo de TP, FP, FN, P, R y F1</w:t>
      </w:r>
    </w:p>
    <w:p>
      <w:pPr>
        <w:pStyle w:val="ListParagraph"/>
        <w:numPr>
          <w:ilvl w:val="0"/>
          <w:numId w:val="2"/>
        </w:numPr>
        <w:contextualSpacing/>
      </w:pPr>
      <w:r>
        <w:rPr/>
        <w:t xml:space="preserve">evaluación en tres proyectos externos con clasificación manual de hallazgos</w:t>
      </w:r>
    </w:p>
    <w:p>
      <w:pPr>
        <w:pStyle w:val="ListParagraph"/>
        <w:numPr>
          <w:ilvl w:val="0"/>
          <w:numId w:val="2"/>
        </w:numPr>
        <w:contextualSpacing/>
      </w:pPr>
      <w:r>
        <w:rPr/>
        <w:t xml:space="preserve">estudio de ablación RAG con puntuación de cinco recomendaciones mediante la rúbrica de cinco criterios</w:t>
      </w:r>
    </w:p>
    <w:p>
      <w:pPr>
        <w:pStyle w:val="ListParagraph"/>
        <w:numPr>
          <w:ilvl w:val="0"/>
          <w:numId w:val="2"/>
        </w:numPr>
        <w:contextualSpacing/>
      </w:pPr>
      <w:r>
        <w:rPr/>
        <w:t xml:space="preserve">ejecución de Bandit y Semgrep sobre la interfaz de programación de aplicaciones de prueba para comparación de cobertura</w:t>
      </w:r>
    </w:p>
    <w:p w14:paraId="0111D8B8" w14:textId="77777777" w:rsidR="009E2D51" w:rsidRDefault="00000000" w:rsidP="003E15AA">
      <w:pPr>
        <w:contextualSpacing/>
      </w:pPr>
      <w:r>
        <w:t xml:space="preserve">     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i/>
          <w:iCs/>
        </w:rPr>
        <w:t>Framework</w:t>
      </w:r>
      <w:r>
        <w:t xml:space="preserve"> escritos en Python 3.11 o superior; la generalización a otras versiones o a otros </w:t>
      </w:r>
      <w:r>
        <w:rPr>
          <w:i/>
          <w:iCs/>
        </w:rPr>
        <w:t>frameworks</w:t>
      </w:r>
      <w:r>
        <w:t xml:space="preserve"> REST de Python (FastAPI, Flask-RESTful) requeriría una evaluación separada.</w:t>
      </w:r>
    </w:p>
    <w:p w14:paraId="24B3ACB7" w14:textId="77777777" w:rsidR="009E2D51" w:rsidRDefault="00000000" w:rsidP="003E15AA">
      <w:pPr>
        <w:contextualSpacing/>
      </w:pPr>
      <w:r>
        <w:t xml:space="preserve">     La confiabilidad del procedimiento se asegura mediante la automatización completa de los pasos de evaluación: los scripts de prueba son reproducibles ejecutando </w:t>
      </w:r>
      <w:r>
        <w:rPr>
          <w:i/>
          <w:iCs/>
        </w:rPr>
        <w:t>pytest</w:t>
      </w:r>
      <w:r>
        <w:t xml:space="preserve"> en el directorio raíz del proyecto, y los resultados numéricos de precisión y </w:t>
      </w:r>
      <w:r>
        <w:rPr>
          <w:i/>
          <w:iCs/>
        </w:rPr>
        <w:t>recall</w:t>
      </w:r>
      <w:r>
        <w:t xml:space="preserve"> se calculan automáticamente a partir del </w:t>
      </w:r>
      <w:r>
        <w:rPr>
          <w:i/>
          <w:iCs/>
        </w:rPr>
        <w:t>ground truth</w:t>
      </w:r>
      <w:r>
        <w:t xml:space="preserve"> definido en formato JSON. El estudio de ablación es reproducible iniciando Ollama con el modelo Mistral 7B y ejecutando el script de </w:t>
        <w:lastRenderedPageBreak/>
        <w:t xml:space="preserve">evaluación correspondiente, que guarda los resultados en los archivos </w:t>
      </w:r>
      <w:r>
        <w:rPr>
          <w:i/>
          <w:iCs/>
        </w:rPr>
        <w:t>ablation_with_rag.json</w:t>
      </w:r>
      <w:r>
        <w:t xml:space="preserve"> y </w:t>
      </w:r>
      <w:r>
        <w:rPr>
          <w:i/>
          <w:iCs/>
        </w:rPr>
        <w:t>ablation_no_rag.json</w:t>
      </w:r>
      <w:r>
        <w:t xml:space="preserve"> en el directorio </w:t>
      </w:r>
      <w:r>
        <w:rPr>
          <w:i/>
          <w:iCs/>
        </w:rPr>
        <w:t>results/</w:t>
      </w:r>
      <w:r>
        <w:t xml:space="preserve"> del repositorio.</w:t>
      </w:r>
      <w:r>
        <w:rPr>
          <w:rStyle w:val="FootnoteReference"/>
        </w:rPr>
        <w:footnoteReference w:id="75"/>
      </w:r>
    </w:p>
    <w:p w14:paraId="1BF59FDB" w14:textId="77777777" w:rsidR="009E2D51" w:rsidRDefault="00000000" w:rsidP="003E15AA">
      <w:pPr>
        <w:contextualSpacing/>
      </w:pPr>
      <w:r>
        <w:br w:type="page"/>
      </w:r>
    </w:p>
    <w:p w14:paraId="39025C74" w14:textId="77777777" w:rsidR="009E2D51" w:rsidRDefault="00000000" w:rsidP="003E15AA">
      <w:pPr>
        <w:contextualSpacing/>
        <w:jc w:val="center"/>
      </w:pPr>
      <w:r>
        <w:rPr>
          <w:b/>
          <w:bCs/>
        </w:rPr>
        <w:lastRenderedPageBreak/>
        <w:t>4. RESULTADOS ESPERADOS</w:t>
      </w:r>
    </w:p>
    <w:p w14:paraId="04AFB35A" w14:textId="77777777" w:rsidR="005D127F" w:rsidRDefault="005D127F" w:rsidP="003E15AA">
      <w:pPr>
        <w:contextualSpacing/>
      </w:pPr>
    </w:p>
    <w:p w14:paraId="2AA19FB4" w14:textId="3182DEF2" w:rsidR="009E2D51" w:rsidRDefault="00000000" w:rsidP="003E15AA">
      <w:pPr>
        <w:contextualSpacing/>
      </w:pPr>
      <w:r>
        <w:t xml:space="preserve">     A corto plazo, al concluir el período de investigación definido en el cronograma, se espera obtener: (1) una herramienta de interfaz de línea de comandos funcional que detecte las seis categorías objetivo del OWASP API Security Top 10 en proyectos Django REST </w:t>
      </w:r>
      <w:r>
        <w:rPr>
          <w:i/>
          <w:iCs/>
        </w:rPr>
        <w:t>Framework</w:t>
      </w:r>
      <w:r>
        <w:t xml:space="preserve"> con precisión igual a uno y </w:t>
      </w:r>
      <w:r>
        <w:rPr>
          <w:i/>
          <w:iCs/>
        </w:rPr>
        <w:t>recall</w:t>
      </w:r>
      <w:r>
        <w:t xml:space="preserve"> igual a uno en entorno controlado; (2) evidencia empírica de que Bandit y Semgrep detectan cero de las seis categorías objetivo cuando se ejecutan contra la misma interfaz de programación de aplicaciones de prueba; y (3) un </w:t>
      </w:r>
      <w:r>
        <w:rPr>
          <w:i/>
          <w:iCs/>
        </w:rPr>
        <w:t>pipeline</w:t>
      </w:r>
      <w:r>
        <w:t xml:space="preserve"> RAG local que reduzca las alucinaciones de dos de cinco a cero de cinco y mejore el puntaje promedio de calidad de recomendaciones de 1.80 a 2.80 sobre una escala de 3.0, según la rúbrica de cinco criterios definida.</w:t>
      </w:r>
    </w:p>
    <w:p w14:paraId="15787830" w14:textId="77777777" w:rsidR="009E2D51" w:rsidRDefault="00000000" w:rsidP="003E15AA">
      <w:pPr>
        <w:contextualSpacing/>
      </w:pPr>
      <w:r>
        <w:t xml:space="preserve">     A mediano plazo se espera la publicación del artículo científico correspondiente con los resultados validados, y la disponibilidad del código fuente en un repositorio público como herramienta de código abierto para la comunidad de desarrolladores Python.</w:t>
      </w:r>
    </w:p>
    <w:p w14:paraId="49A77AF7" w14:textId="77777777" w:rsidR="009E2D51" w:rsidRDefault="00000000" w:rsidP="003E15AA">
      <w:pPr>
        <w:contextualSpacing/>
      </w:pPr>
      <w:r>
        <w:t xml:space="preserve">     A largo plazo, el trabajo sienta las bases para extender la cobertura a las categorías API6, API7, API9 y API10 mediante análisis de flujo de datos interprocedural, y para corregir las dos reglas con mayor tasa de falsos positivos en proyectos externos —la regla de ausencia de configuración JWT y la regla de ausencia de </w:t>
      </w:r>
      <w:r>
        <w:rPr>
          <w:i/>
          <w:iCs/>
        </w:rPr>
        <w:t>permission_classes</w:t>
      </w:r>
      <w:r>
        <w:t xml:space="preserve"> cuando existe configuración global— lo que se proyecta elevaría la precisión en proyectos externos de 0.21 a un valor igual o superior a 0.90.</w:t>
      </w:r>
    </w:p>
    <w:p w14:paraId="3925320B" w14:textId="77777777" w:rsidR="009E2D51" w:rsidRDefault="00000000" w:rsidP="003E15AA">
      <w:pPr>
        <w:contextualSpacing/>
      </w:pPr>
      <w:r>
        <w:t xml:space="preserve">     El impacto esperado en la formación del estudiante de Ingeniería en Sistemas y Ciencias de la Computación es también un resultado de relevancia. El desarrollo de la herramienta integra competencias en cuatro áreas disciplinares: seguridad de </w:t>
      </w:r>
      <w:r>
        <w:rPr>
          <w:i/>
          <w:iCs/>
        </w:rPr>
        <w:t>software</w:t>
      </w:r>
      <w:r>
        <w:t xml:space="preserve"> (análisis de vulnerabilidades, estándares OWASP), ingeniería del </w:t>
      </w:r>
      <w:r>
        <w:rPr>
          <w:i/>
          <w:iCs/>
        </w:rPr>
        <w:t>software</w:t>
      </w:r>
      <w:r>
        <w:t xml:space="preserve"> (arquitectura modular, pruebas automatizadas), inteligencia artificial (modelos de lenguaje, sistemas de recuperación de información), y desarrollo en Python (análisis de Árboles de Sintaxis Abstracta, Django REST </w:t>
      </w:r>
      <w:r>
        <w:rPr>
          <w:i/>
          <w:iCs/>
        </w:rPr>
        <w:t>Framework</w:t>
      </w:r>
      <w:r>
        <w:t xml:space="preserve">). Esta integración multidisciplinar es característica de los trabajos de graduación de mayor complejidad en la carrera, y los resultados de la investigación pueden ser adoptados directamente como material de enseñanza en los cursos de seguridad de </w:t>
      </w:r>
      <w:r>
        <w:rPr>
          <w:i/>
          <w:iCs/>
        </w:rPr>
        <w:t>software</w:t>
      </w:r>
      <w:r>
        <w:t xml:space="preserve"> e inteligencia artificial de la Universidad del Istmo.</w:t>
      </w:r>
    </w:p>
    <w:p w14:paraId="62FDA171" w14:textId="77777777" w:rsidR="009E2D51" w:rsidRDefault="00000000" w:rsidP="003E15AA">
      <w:pPr>
        <w:contextualSpacing/>
      </w:pPr>
      <w:r>
        <w:lastRenderedPageBreak/>
        <w:t xml:space="preserve">     Un resultado adicional de relevancia es la contribución metodológica al área de evaluación de sistemas RAG aplicados a seguridad de </w:t>
      </w:r>
      <w:r>
        <w:rPr>
          <w:i/>
          <w:iCs/>
        </w:rPr>
        <w:t>software</w:t>
      </w:r>
      <w:r>
        <w:t>. La rúbrica de cinco criterios desarrollada en el presente trabajo —con sus anclas conductuales objetivamente verificables— puede ser adoptada en investigaciones futuras que evalúen la calidad de recomendaciones generadas por otros sistemas RAG especializados en dominios técnicos. De igual forma, el diseño del estudio de ablación, con la separación controlada de la condición con y sin recuperación manteniendo todos los demás parámetros constantes, ofrece un protocolo reproducible que puede servir como referencia metodológica para evaluaciones comparativas de componentes RAG en investigaciones posteriores de la Universidad del Istmo o de otras instituciones de la región.</w:t>
      </w:r>
    </w:p>
    <w:p w14:paraId="372756E6" w14:textId="77777777" w:rsidR="009E2D51" w:rsidRDefault="00000000" w:rsidP="003E15AA">
      <w:pPr>
        <w:contextualSpacing/>
      </w:pPr>
      <w:r>
        <w:t xml:space="preserve">     La disponibilidad del código fuente como herramienta de código abierto tiene un impacto potencial que va más allá del ecosistema académico. Las pequeñas y medianas empresas de desarrollo de </w:t>
      </w:r>
      <w:r>
        <w:rPr>
          <w:i/>
          <w:iCs/>
        </w:rPr>
        <w:t>software</w:t>
      </w:r>
      <w:r>
        <w:t xml:space="preserve"> en Centroamérica y el Caribe, que representan la mayoría del tejido productivo del sector tecnológico, carecen generalmente de equipos de seguridad dedicados y de presupuesto para herramientas comerciales de auditoría. Una herramienta de código abierto, con documentación en español, que opera sin requerir conectividad ni licencias, reduce la barrera de acceso a prácticas de seguridad formales para este segmento. El resultado esperado en este sentido es que la herramienta sea adoptada por al menos un equipo de desarrollo profesional de la región durante el período de investigación, validando su aplicabilidad más allá del entorno académico controlado.</w:t>
      </w:r>
    </w:p>
    <w:p w14:paraId="7B3D9024" w14:textId="77777777" w:rsidR="009E2D51" w:rsidRDefault="00000000" w:rsidP="003E15AA">
      <w:pPr>
        <w:contextualSpacing/>
      </w:pPr>
      <w:r>
        <w:br w:type="page"/>
      </w:r>
    </w:p>
    <w:p w14:paraId="03CFA613" w14:textId="77777777" w:rsidR="009E2D51" w:rsidRDefault="00000000" w:rsidP="003E15AA">
      <w:pPr>
        <w:contextualSpacing/>
        <w:jc w:val="center"/>
      </w:pPr>
      <w:r>
        <w:rPr>
          <w:b/>
          <w:bCs/>
        </w:rPr>
        <w:lastRenderedPageBreak/>
        <w:t>5. CRONOGRAMA PRELIMINAR</w:t>
      </w:r>
    </w:p>
    <w:p w14:paraId="468F9EA7" w14:textId="77777777" w:rsidR="005D127F" w:rsidRDefault="005D127F" w:rsidP="003E15AA">
      <w:pPr>
        <w:contextualSpacing/>
      </w:pPr>
    </w:p>
    <w:p w14:paraId="5022D715" w14:textId="6380281C" w:rsidR="009E2D51" w:rsidRDefault="00000000" w:rsidP="003E15AA">
      <w:pPr>
        <w:contextualSpacing/>
      </w:pPr>
      <w:r>
        <w:t xml:space="preserve">     La siguiente tabla presenta el cronograma preliminar de actividades para el período julio-septiembre de 2026, distribuidas en nueve semanas de trabajo.</w:t>
      </w:r>
    </w:p>
    <w:p w14:paraId="6521B6B4" w14:textId="77777777" w:rsidR="005D127F" w:rsidRDefault="005D127F" w:rsidP="003E15AA">
      <w:pPr>
        <w:contextualSpacing/>
        <w:jc w:val="center"/>
        <w:rPr>
          <w:b/>
          <w:bCs/>
        </w:rPr>
      </w:pPr>
    </w:p>
    <w:p w14:paraId="63A21299" w14:textId="0EC63667" w:rsidR="009E2D51" w:rsidRDefault="00000000" w:rsidP="003E15AA">
      <w:pPr>
        <w:contextualSpacing/>
        <w:jc w:val="center"/>
      </w:pPr>
      <w:commentRangeStart w:id="17"/>
      <w:r>
        <w:rPr/>
        <w:t>Cuadro No. 3</w:t>
      </w:r>
      <w:commentRangeEnd w:id="17"/>
      <w:r>
        <w:rPr>
          <w:rStyle w:val="CommentReference"/>
          <w:sz w:val="24"/>
          <w:szCs w:val="24"/>
        </w:rPr>
        <w:commentReference w:id="17"/>
      </w:r>
    </w:p>
    <w:p w14:paraId="5BB06CD8" w14:textId="77777777" w:rsidR="009E2D51" w:rsidRDefault="00000000" w:rsidP="003E15AA">
      <w:pPr>
        <w:contextualSpacing/>
        <w:jc w:val="center"/>
      </w:pPr>
      <w:r>
        <w:rPr>
          <w:b/>
          <w:bCs/>
        </w:rPr>
        <w:t>CRONOGRAMA PRELIMINAR DE ACTIVIDADES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561"/>
        <w:gridCol w:w="470"/>
        <w:gridCol w:w="567"/>
        <w:gridCol w:w="567"/>
        <w:gridCol w:w="567"/>
        <w:gridCol w:w="669"/>
        <w:gridCol w:w="484"/>
        <w:gridCol w:w="564"/>
        <w:gridCol w:w="564"/>
      </w:tblGrid>
      <w:tr w:rsidR="009E2D51" w14:paraId="33648D1B" w14:textId="77777777">
        <w:trPr>
          <w:tblHeader/>
        </w:trPr>
        <w:tc>
          <w:tcPr>
            <w:tcW w:w="0" w:type="auto"/>
            <w:tcMar>
              <w:top w:w="60" w:type="dxa"/>
              <w:left w:w="80" w:type="dxa"/>
              <w:bottom w:w="60" w:type="dxa"/>
              <w:right w:w="80" w:type="dxa"/>
            </w:tcMar>
          </w:tcPr>
          <w:p w14:paraId="1A4C7E93" w14:textId="77777777" w:rsidR="009E2D51" w:rsidRDefault="00000000" w:rsidP="003E15AA">
            <w:pPr>
              <w:contextualSpacing/>
              <w:jc w:val="left"/>
              <w:ind w:firstLine="709"/>
            </w:pPr>
            <w:r>
              <w:rPr>
                <w:b/>
                <w:bCs/>
                <w:sz w:val="18"/>
                <w:szCs w:val="18"/>
              </w:rPr>
              <w:t>Actividad</w:t>
            </w:r>
          </w:p>
        </w:tc>
        <w:tc>
          <w:tcPr>
            <w:tcW w:w="0" w:type="auto"/>
            <w:tcMar>
              <w:top w:w="60" w:type="dxa"/>
              <w:left w:w="80" w:type="dxa"/>
              <w:bottom w:w="60" w:type="dxa"/>
              <w:right w:w="80" w:type="dxa"/>
            </w:tcMar>
          </w:tcPr>
          <w:p w14:paraId="03A09AA8" w14:textId="77777777" w:rsidR="009E2D51" w:rsidRDefault="00000000" w:rsidP="003E15AA">
            <w:pPr>
              <w:contextualSpacing/>
              <w:jc w:val="center"/>
            </w:pPr>
            <w:r>
              <w:rPr>
                <w:b/>
                <w:bCs/>
                <w:sz w:val="18"/>
                <w:szCs w:val="18"/>
              </w:rPr>
              <w:t>27-31</w:t>
            </w:r>
            <w:r>
              <w:br/>
            </w:r>
            <w:r>
              <w:rPr>
                <w:b/>
                <w:bCs/>
                <w:sz w:val="18"/>
                <w:szCs w:val="18"/>
              </w:rPr>
              <w:t>Jul</w:t>
            </w:r>
          </w:p>
        </w:tc>
        <w:tc>
          <w:tcPr>
            <w:tcW w:w="0" w:type="auto"/>
            <w:tcMar>
              <w:top w:w="60" w:type="dxa"/>
              <w:left w:w="80" w:type="dxa"/>
              <w:bottom w:w="60" w:type="dxa"/>
              <w:right w:w="80" w:type="dxa"/>
            </w:tcMar>
          </w:tcPr>
          <w:p w14:paraId="4359DCEC" w14:textId="77777777" w:rsidR="009E2D51" w:rsidRDefault="00000000" w:rsidP="003E15AA">
            <w:pPr>
              <w:contextualSpacing/>
              <w:jc w:val="center"/>
            </w:pPr>
            <w:r>
              <w:rPr>
                <w:b/>
                <w:bCs/>
                <w:sz w:val="18"/>
                <w:szCs w:val="18"/>
              </w:rPr>
              <w:t>3-7</w:t>
            </w:r>
            <w:r>
              <w:br/>
            </w:r>
            <w:r>
              <w:rPr>
                <w:b/>
                <w:bCs/>
                <w:sz w:val="18"/>
                <w:szCs w:val="18"/>
              </w:rPr>
              <w:t>Ago</w:t>
            </w:r>
          </w:p>
        </w:tc>
        <w:tc>
          <w:tcPr>
            <w:tcW w:w="0" w:type="auto"/>
            <w:tcMar>
              <w:top w:w="60" w:type="dxa"/>
              <w:left w:w="80" w:type="dxa"/>
              <w:bottom w:w="60" w:type="dxa"/>
              <w:right w:w="80" w:type="dxa"/>
            </w:tcMar>
          </w:tcPr>
          <w:p w14:paraId="697D24EB" w14:textId="77777777" w:rsidR="009E2D51" w:rsidRDefault="00000000" w:rsidP="003E15AA">
            <w:pPr>
              <w:contextualSpacing/>
              <w:jc w:val="center"/>
            </w:pPr>
            <w:r>
              <w:rPr>
                <w:b/>
                <w:bCs/>
                <w:sz w:val="18"/>
                <w:szCs w:val="18"/>
              </w:rPr>
              <w:t>10-14</w:t>
            </w:r>
            <w:r>
              <w:br/>
            </w:r>
            <w:r>
              <w:rPr>
                <w:b/>
                <w:bCs/>
                <w:sz w:val="18"/>
                <w:szCs w:val="18"/>
              </w:rPr>
              <w:t>Ago</w:t>
            </w:r>
          </w:p>
        </w:tc>
        <w:tc>
          <w:tcPr>
            <w:tcW w:w="0" w:type="auto"/>
            <w:tcMar>
              <w:top w:w="60" w:type="dxa"/>
              <w:left w:w="80" w:type="dxa"/>
              <w:bottom w:w="60" w:type="dxa"/>
              <w:right w:w="80" w:type="dxa"/>
            </w:tcMar>
          </w:tcPr>
          <w:p w14:paraId="00FE4DC0" w14:textId="77777777" w:rsidR="009E2D51" w:rsidRDefault="00000000" w:rsidP="003E15AA">
            <w:pPr>
              <w:contextualSpacing/>
              <w:jc w:val="center"/>
            </w:pPr>
            <w:r>
              <w:rPr>
                <w:b/>
                <w:bCs/>
                <w:sz w:val="18"/>
                <w:szCs w:val="18"/>
              </w:rPr>
              <w:t>17-21</w:t>
            </w:r>
            <w:r>
              <w:br/>
            </w:r>
            <w:r>
              <w:rPr>
                <w:b/>
                <w:bCs/>
                <w:sz w:val="18"/>
                <w:szCs w:val="18"/>
              </w:rPr>
              <w:t>Ago</w:t>
            </w:r>
          </w:p>
        </w:tc>
        <w:tc>
          <w:tcPr>
            <w:tcW w:w="0" w:type="auto"/>
            <w:tcMar>
              <w:top w:w="60" w:type="dxa"/>
              <w:left w:w="80" w:type="dxa"/>
              <w:bottom w:w="60" w:type="dxa"/>
              <w:right w:w="80" w:type="dxa"/>
            </w:tcMar>
          </w:tcPr>
          <w:p w14:paraId="36F97453" w14:textId="77777777" w:rsidR="009E2D51" w:rsidRDefault="00000000" w:rsidP="003E15AA">
            <w:pPr>
              <w:contextualSpacing/>
              <w:jc w:val="center"/>
            </w:pPr>
            <w:r>
              <w:rPr>
                <w:b/>
                <w:bCs/>
                <w:sz w:val="18"/>
                <w:szCs w:val="18"/>
              </w:rPr>
              <w:t>24-28</w:t>
            </w:r>
            <w:r>
              <w:br/>
            </w:r>
            <w:r>
              <w:rPr>
                <w:b/>
                <w:bCs/>
                <w:sz w:val="18"/>
                <w:szCs w:val="18"/>
              </w:rPr>
              <w:t>Ago</w:t>
            </w:r>
          </w:p>
        </w:tc>
        <w:tc>
          <w:tcPr>
            <w:tcW w:w="0" w:type="auto"/>
            <w:tcMar>
              <w:top w:w="60" w:type="dxa"/>
              <w:left w:w="80" w:type="dxa"/>
              <w:bottom w:w="60" w:type="dxa"/>
              <w:right w:w="80" w:type="dxa"/>
            </w:tcMar>
          </w:tcPr>
          <w:p w14:paraId="1AF06920" w14:textId="77777777" w:rsidR="009E2D51" w:rsidRDefault="00000000" w:rsidP="003E15AA">
            <w:pPr>
              <w:contextualSpacing/>
              <w:jc w:val="center"/>
            </w:pPr>
            <w:r>
              <w:rPr>
                <w:b/>
                <w:bCs/>
                <w:sz w:val="18"/>
                <w:szCs w:val="18"/>
              </w:rPr>
              <w:t>31 Ago</w:t>
            </w:r>
            <w:r>
              <w:br/>
            </w:r>
            <w:r>
              <w:rPr>
                <w:b/>
                <w:bCs/>
                <w:sz w:val="18"/>
                <w:szCs w:val="18"/>
              </w:rPr>
              <w:t>4 Sep</w:t>
            </w:r>
          </w:p>
        </w:tc>
        <w:tc>
          <w:tcPr>
            <w:tcW w:w="0" w:type="auto"/>
            <w:tcMar>
              <w:top w:w="60" w:type="dxa"/>
              <w:left w:w="80" w:type="dxa"/>
              <w:bottom w:w="60" w:type="dxa"/>
              <w:right w:w="80" w:type="dxa"/>
            </w:tcMar>
          </w:tcPr>
          <w:p w14:paraId="13FDAED2" w14:textId="77777777" w:rsidR="009E2D51" w:rsidRDefault="00000000" w:rsidP="003E15AA">
            <w:pPr>
              <w:contextualSpacing/>
              <w:jc w:val="center"/>
            </w:pPr>
            <w:r>
              <w:rPr>
                <w:b/>
                <w:bCs/>
                <w:sz w:val="18"/>
                <w:szCs w:val="18"/>
              </w:rPr>
              <w:t>7-11</w:t>
            </w:r>
            <w:r>
              <w:br/>
            </w:r>
            <w:r>
              <w:rPr>
                <w:b/>
                <w:bCs/>
                <w:sz w:val="18"/>
                <w:szCs w:val="18"/>
              </w:rPr>
              <w:t>Sep</w:t>
            </w:r>
          </w:p>
        </w:tc>
        <w:tc>
          <w:tcPr>
            <w:tcW w:w="0" w:type="auto"/>
            <w:tcMar>
              <w:top w:w="60" w:type="dxa"/>
              <w:left w:w="80" w:type="dxa"/>
              <w:bottom w:w="60" w:type="dxa"/>
              <w:right w:w="80" w:type="dxa"/>
            </w:tcMar>
          </w:tcPr>
          <w:p w14:paraId="062858A1" w14:textId="77777777" w:rsidR="009E2D51" w:rsidRDefault="00000000" w:rsidP="003E15AA">
            <w:pPr>
              <w:contextualSpacing/>
              <w:jc w:val="center"/>
            </w:pPr>
            <w:r>
              <w:rPr>
                <w:b/>
                <w:bCs/>
                <w:sz w:val="18"/>
                <w:szCs w:val="18"/>
              </w:rPr>
              <w:t>14-18</w:t>
            </w:r>
            <w:r>
              <w:br/>
            </w:r>
            <w:r>
              <w:rPr>
                <w:b/>
                <w:bCs/>
                <w:sz w:val="18"/>
                <w:szCs w:val="18"/>
              </w:rPr>
              <w:t>Sep</w:t>
            </w:r>
          </w:p>
        </w:tc>
        <w:tc>
          <w:tcPr>
            <w:tcW w:w="0" w:type="auto"/>
            <w:tcMar>
              <w:top w:w="60" w:type="dxa"/>
              <w:left w:w="80" w:type="dxa"/>
              <w:bottom w:w="60" w:type="dxa"/>
              <w:right w:w="80" w:type="dxa"/>
            </w:tcMar>
          </w:tcPr>
          <w:p w14:paraId="54DCBDA7" w14:textId="77777777" w:rsidR="009E2D51" w:rsidRDefault="00000000" w:rsidP="003E15AA">
            <w:pPr>
              <w:contextualSpacing/>
              <w:jc w:val="center"/>
            </w:pPr>
            <w:r>
              <w:rPr>
                <w:b/>
                <w:bCs/>
                <w:sz w:val="18"/>
                <w:szCs w:val="18"/>
              </w:rPr>
              <w:t>21-25</w:t>
            </w:r>
            <w:r>
              <w:br/>
            </w:r>
            <w:r>
              <w:rPr>
                <w:b/>
                <w:bCs/>
                <w:sz w:val="18"/>
                <w:szCs w:val="18"/>
              </w:rPr>
              <w:t>Sep</w:t>
            </w:r>
          </w:p>
        </w:tc>
      </w:tr>
      <w:tr w:rsidR="009E2D51" w14:paraId="6AEF88B9" w14:textId="77777777">
        <w:tc>
          <w:tcPr>
            <w:tcW w:w="0" w:type="auto"/>
            <w:tcMar>
              <w:top w:w="60" w:type="dxa"/>
              <w:left w:w="80" w:type="dxa"/>
              <w:bottom w:w="60" w:type="dxa"/>
              <w:right w:w="80" w:type="dxa"/>
            </w:tcMar>
          </w:tcPr>
          <w:p w14:paraId="33860BB1" w14:textId="77777777" w:rsidR="009E2D51" w:rsidRDefault="00000000" w:rsidP="003E15AA">
            <w:pPr>
              <w:contextualSpacing/>
              <w:jc w:val="left"/>
              <w:ind w:firstLine="709"/>
            </w:pPr>
            <w:r>
              <w:rPr>
                <w:sz w:val="18"/>
                <w:szCs w:val="18"/>
              </w:rPr>
              <w:t>Entrega del anteproyecto y revisión bibliográfica</w:t>
            </w:r>
          </w:p>
        </w:tc>
        <w:tc>
          <w:tcPr>
            <w:tcW w:w="0" w:type="auto"/>
            <w:tcMar>
              <w:top w:w="60" w:type="dxa"/>
              <w:left w:w="80" w:type="dxa"/>
              <w:bottom w:w="60" w:type="dxa"/>
              <w:right w:w="80" w:type="dxa"/>
            </w:tcMar>
          </w:tcPr>
          <w:p w14:paraId="387B58B2"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F0684DF" w14:textId="77777777" w:rsidR="009E2D51" w:rsidRDefault="009E2D51" w:rsidP="003E15AA">
            <w:pPr>
              <w:contextualSpacing/>
              <w:jc w:val="center"/>
            </w:pPr>
          </w:p>
        </w:tc>
        <w:tc>
          <w:tcPr>
            <w:tcW w:w="0" w:type="auto"/>
            <w:tcMar>
              <w:top w:w="60" w:type="dxa"/>
              <w:left w:w="80" w:type="dxa"/>
              <w:bottom w:w="60" w:type="dxa"/>
              <w:right w:w="80" w:type="dxa"/>
            </w:tcMar>
          </w:tcPr>
          <w:p w14:paraId="6824418A" w14:textId="77777777" w:rsidR="009E2D51" w:rsidRDefault="009E2D51" w:rsidP="003E15AA">
            <w:pPr>
              <w:contextualSpacing/>
              <w:jc w:val="center"/>
            </w:pPr>
          </w:p>
        </w:tc>
        <w:tc>
          <w:tcPr>
            <w:tcW w:w="0" w:type="auto"/>
            <w:tcMar>
              <w:top w:w="60" w:type="dxa"/>
              <w:left w:w="80" w:type="dxa"/>
              <w:bottom w:w="60" w:type="dxa"/>
              <w:right w:w="80" w:type="dxa"/>
            </w:tcMar>
          </w:tcPr>
          <w:p w14:paraId="51F345F1" w14:textId="77777777" w:rsidR="009E2D51" w:rsidRDefault="009E2D51" w:rsidP="003E15AA">
            <w:pPr>
              <w:contextualSpacing/>
              <w:jc w:val="center"/>
            </w:pPr>
          </w:p>
        </w:tc>
        <w:tc>
          <w:tcPr>
            <w:tcW w:w="0" w:type="auto"/>
            <w:tcMar>
              <w:top w:w="60" w:type="dxa"/>
              <w:left w:w="80" w:type="dxa"/>
              <w:bottom w:w="60" w:type="dxa"/>
              <w:right w:w="80" w:type="dxa"/>
            </w:tcMar>
          </w:tcPr>
          <w:p w14:paraId="7CCEFD39" w14:textId="77777777" w:rsidR="009E2D51" w:rsidRDefault="009E2D51" w:rsidP="003E15AA">
            <w:pPr>
              <w:contextualSpacing/>
              <w:jc w:val="center"/>
            </w:pPr>
          </w:p>
        </w:tc>
        <w:tc>
          <w:tcPr>
            <w:tcW w:w="0" w:type="auto"/>
            <w:tcMar>
              <w:top w:w="60" w:type="dxa"/>
              <w:left w:w="80" w:type="dxa"/>
              <w:bottom w:w="60" w:type="dxa"/>
              <w:right w:w="80" w:type="dxa"/>
            </w:tcMar>
          </w:tcPr>
          <w:p w14:paraId="2BD56945" w14:textId="77777777" w:rsidR="009E2D51" w:rsidRDefault="009E2D51" w:rsidP="003E15AA">
            <w:pPr>
              <w:contextualSpacing/>
              <w:jc w:val="center"/>
            </w:pPr>
          </w:p>
        </w:tc>
        <w:tc>
          <w:tcPr>
            <w:tcW w:w="0" w:type="auto"/>
            <w:tcMar>
              <w:top w:w="60" w:type="dxa"/>
              <w:left w:w="80" w:type="dxa"/>
              <w:bottom w:w="60" w:type="dxa"/>
              <w:right w:w="80" w:type="dxa"/>
            </w:tcMar>
          </w:tcPr>
          <w:p w14:paraId="353455C2" w14:textId="77777777" w:rsidR="009E2D51" w:rsidRDefault="009E2D51" w:rsidP="003E15AA">
            <w:pPr>
              <w:contextualSpacing/>
              <w:jc w:val="center"/>
            </w:pPr>
          </w:p>
        </w:tc>
        <w:tc>
          <w:tcPr>
            <w:tcW w:w="0" w:type="auto"/>
            <w:tcMar>
              <w:top w:w="60" w:type="dxa"/>
              <w:left w:w="80" w:type="dxa"/>
              <w:bottom w:w="60" w:type="dxa"/>
              <w:right w:w="80" w:type="dxa"/>
            </w:tcMar>
          </w:tcPr>
          <w:p w14:paraId="33CAB736" w14:textId="77777777" w:rsidR="009E2D51" w:rsidRDefault="009E2D51" w:rsidP="003E15AA">
            <w:pPr>
              <w:contextualSpacing/>
              <w:jc w:val="center"/>
            </w:pPr>
          </w:p>
        </w:tc>
        <w:tc>
          <w:tcPr>
            <w:tcW w:w="0" w:type="auto"/>
            <w:tcMar>
              <w:top w:w="60" w:type="dxa"/>
              <w:left w:w="80" w:type="dxa"/>
              <w:bottom w:w="60" w:type="dxa"/>
              <w:right w:w="80" w:type="dxa"/>
            </w:tcMar>
          </w:tcPr>
          <w:p w14:paraId="02E37441" w14:textId="77777777" w:rsidR="009E2D51" w:rsidRDefault="009E2D51" w:rsidP="003E15AA">
            <w:pPr>
              <w:contextualSpacing/>
              <w:jc w:val="center"/>
            </w:pPr>
          </w:p>
        </w:tc>
      </w:tr>
      <w:tr w:rsidR="009E2D51" w14:paraId="43B8E0DF" w14:textId="77777777">
        <w:tc>
          <w:tcPr>
            <w:tcW w:w="0" w:type="auto"/>
            <w:tcMar>
              <w:top w:w="60" w:type="dxa"/>
              <w:left w:w="80" w:type="dxa"/>
              <w:bottom w:w="60" w:type="dxa"/>
              <w:right w:w="80" w:type="dxa"/>
            </w:tcMar>
          </w:tcPr>
          <w:p w14:paraId="025D1A5F" w14:textId="77777777" w:rsidR="009E2D51" w:rsidRDefault="00000000" w:rsidP="003E15AA">
            <w:pPr>
              <w:contextualSpacing/>
              <w:jc w:val="left"/>
              <w:ind w:firstLine="709"/>
            </w:pPr>
            <w:r>
              <w:rPr>
                <w:sz w:val="18"/>
                <w:szCs w:val="18"/>
              </w:rPr>
              <w:t>Implementación analizador estático (7 reglas AST)</w:t>
            </w:r>
          </w:p>
        </w:tc>
        <w:tc>
          <w:tcPr>
            <w:tcW w:w="0" w:type="auto"/>
            <w:tcMar>
              <w:top w:w="60" w:type="dxa"/>
              <w:left w:w="80" w:type="dxa"/>
              <w:bottom w:w="60" w:type="dxa"/>
              <w:right w:w="80" w:type="dxa"/>
            </w:tcMar>
          </w:tcPr>
          <w:p w14:paraId="48C96DFA" w14:textId="77777777" w:rsidR="009E2D51" w:rsidRDefault="009E2D51" w:rsidP="003E15AA">
            <w:pPr>
              <w:contextualSpacing/>
              <w:jc w:val="center"/>
            </w:pPr>
          </w:p>
        </w:tc>
        <w:tc>
          <w:tcPr>
            <w:tcW w:w="0" w:type="auto"/>
            <w:tcMar>
              <w:top w:w="60" w:type="dxa"/>
              <w:left w:w="80" w:type="dxa"/>
              <w:bottom w:w="60" w:type="dxa"/>
              <w:right w:w="80" w:type="dxa"/>
            </w:tcMar>
          </w:tcPr>
          <w:p w14:paraId="728CE3E4"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0F8B0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9556648" w14:textId="77777777" w:rsidR="009E2D51" w:rsidRDefault="009E2D51" w:rsidP="003E15AA">
            <w:pPr>
              <w:contextualSpacing/>
              <w:jc w:val="center"/>
            </w:pPr>
          </w:p>
        </w:tc>
        <w:tc>
          <w:tcPr>
            <w:tcW w:w="0" w:type="auto"/>
            <w:tcMar>
              <w:top w:w="60" w:type="dxa"/>
              <w:left w:w="80" w:type="dxa"/>
              <w:bottom w:w="60" w:type="dxa"/>
              <w:right w:w="80" w:type="dxa"/>
            </w:tcMar>
          </w:tcPr>
          <w:p w14:paraId="6C41B0B8" w14:textId="77777777" w:rsidR="009E2D51" w:rsidRDefault="009E2D51" w:rsidP="003E15AA">
            <w:pPr>
              <w:contextualSpacing/>
              <w:jc w:val="center"/>
            </w:pPr>
          </w:p>
        </w:tc>
        <w:tc>
          <w:tcPr>
            <w:tcW w:w="0" w:type="auto"/>
            <w:tcMar>
              <w:top w:w="60" w:type="dxa"/>
              <w:left w:w="80" w:type="dxa"/>
              <w:bottom w:w="60" w:type="dxa"/>
              <w:right w:w="80" w:type="dxa"/>
            </w:tcMar>
          </w:tcPr>
          <w:p w14:paraId="2F257782" w14:textId="77777777" w:rsidR="009E2D51" w:rsidRDefault="009E2D51" w:rsidP="003E15AA">
            <w:pPr>
              <w:contextualSpacing/>
              <w:jc w:val="center"/>
            </w:pPr>
          </w:p>
        </w:tc>
        <w:tc>
          <w:tcPr>
            <w:tcW w:w="0" w:type="auto"/>
            <w:tcMar>
              <w:top w:w="60" w:type="dxa"/>
              <w:left w:w="80" w:type="dxa"/>
              <w:bottom w:w="60" w:type="dxa"/>
              <w:right w:w="80" w:type="dxa"/>
            </w:tcMar>
          </w:tcPr>
          <w:p w14:paraId="4B668906" w14:textId="77777777" w:rsidR="009E2D51" w:rsidRDefault="009E2D51" w:rsidP="003E15AA">
            <w:pPr>
              <w:contextualSpacing/>
              <w:jc w:val="center"/>
            </w:pPr>
          </w:p>
        </w:tc>
        <w:tc>
          <w:tcPr>
            <w:tcW w:w="0" w:type="auto"/>
            <w:tcMar>
              <w:top w:w="60" w:type="dxa"/>
              <w:left w:w="80" w:type="dxa"/>
              <w:bottom w:w="60" w:type="dxa"/>
              <w:right w:w="80" w:type="dxa"/>
            </w:tcMar>
          </w:tcPr>
          <w:p w14:paraId="37A37A01" w14:textId="77777777" w:rsidR="009E2D51" w:rsidRDefault="009E2D51" w:rsidP="003E15AA">
            <w:pPr>
              <w:contextualSpacing/>
              <w:jc w:val="center"/>
            </w:pPr>
          </w:p>
        </w:tc>
        <w:tc>
          <w:tcPr>
            <w:tcW w:w="0" w:type="auto"/>
            <w:tcMar>
              <w:top w:w="60" w:type="dxa"/>
              <w:left w:w="80" w:type="dxa"/>
              <w:bottom w:w="60" w:type="dxa"/>
              <w:right w:w="80" w:type="dxa"/>
            </w:tcMar>
          </w:tcPr>
          <w:p w14:paraId="158C5581" w14:textId="77777777" w:rsidR="009E2D51" w:rsidRDefault="009E2D51" w:rsidP="003E15AA">
            <w:pPr>
              <w:contextualSpacing/>
              <w:jc w:val="center"/>
            </w:pPr>
          </w:p>
        </w:tc>
      </w:tr>
      <w:tr w:rsidR="009E2D51" w14:paraId="5EA44CF1" w14:textId="77777777">
        <w:tc>
          <w:tcPr>
            <w:tcW w:w="0" w:type="auto"/>
            <w:tcMar>
              <w:top w:w="60" w:type="dxa"/>
              <w:left w:w="80" w:type="dxa"/>
              <w:bottom w:w="60" w:type="dxa"/>
              <w:right w:w="80" w:type="dxa"/>
            </w:tcMar>
          </w:tcPr>
          <w:p w14:paraId="2697AEE5" w14:textId="77777777" w:rsidR="009E2D51" w:rsidRDefault="00000000" w:rsidP="003E15AA">
            <w:pPr>
              <w:contextualSpacing/>
              <w:jc w:val="left"/>
              <w:ind w:firstLine="709"/>
            </w:pPr>
            <w:r>
              <w:rPr>
                <w:sz w:val="18"/>
                <w:szCs w:val="18"/>
              </w:rPr>
              <w:t>Implementación analizador dinámico (5 sondas HTTP)</w:t>
            </w:r>
          </w:p>
        </w:tc>
        <w:tc>
          <w:tcPr>
            <w:tcW w:w="0" w:type="auto"/>
            <w:tcMar>
              <w:top w:w="60" w:type="dxa"/>
              <w:left w:w="80" w:type="dxa"/>
              <w:bottom w:w="60" w:type="dxa"/>
              <w:right w:w="80" w:type="dxa"/>
            </w:tcMar>
          </w:tcPr>
          <w:p w14:paraId="241D3F8A" w14:textId="77777777" w:rsidR="009E2D51" w:rsidRDefault="009E2D51" w:rsidP="003E15AA">
            <w:pPr>
              <w:contextualSpacing/>
              <w:jc w:val="center"/>
            </w:pPr>
          </w:p>
        </w:tc>
        <w:tc>
          <w:tcPr>
            <w:tcW w:w="0" w:type="auto"/>
            <w:tcMar>
              <w:top w:w="60" w:type="dxa"/>
              <w:left w:w="80" w:type="dxa"/>
              <w:bottom w:w="60" w:type="dxa"/>
              <w:right w:w="80" w:type="dxa"/>
            </w:tcMar>
          </w:tcPr>
          <w:p w14:paraId="111B5B64" w14:textId="77777777" w:rsidR="009E2D51" w:rsidRDefault="009E2D51" w:rsidP="003E15AA">
            <w:pPr>
              <w:contextualSpacing/>
              <w:jc w:val="center"/>
            </w:pPr>
          </w:p>
        </w:tc>
        <w:tc>
          <w:tcPr>
            <w:tcW w:w="0" w:type="auto"/>
            <w:tcMar>
              <w:top w:w="60" w:type="dxa"/>
              <w:left w:w="80" w:type="dxa"/>
              <w:bottom w:w="60" w:type="dxa"/>
              <w:right w:w="80" w:type="dxa"/>
            </w:tcMar>
          </w:tcPr>
          <w:p w14:paraId="618DBF0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5E6561F"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082B04A" w14:textId="77777777" w:rsidR="009E2D51" w:rsidRDefault="009E2D51" w:rsidP="003E15AA">
            <w:pPr>
              <w:contextualSpacing/>
              <w:jc w:val="center"/>
            </w:pPr>
          </w:p>
        </w:tc>
        <w:tc>
          <w:tcPr>
            <w:tcW w:w="0" w:type="auto"/>
            <w:tcMar>
              <w:top w:w="60" w:type="dxa"/>
              <w:left w:w="80" w:type="dxa"/>
              <w:bottom w:w="60" w:type="dxa"/>
              <w:right w:w="80" w:type="dxa"/>
            </w:tcMar>
          </w:tcPr>
          <w:p w14:paraId="70B1D63B" w14:textId="77777777" w:rsidR="009E2D51" w:rsidRDefault="009E2D51" w:rsidP="003E15AA">
            <w:pPr>
              <w:contextualSpacing/>
              <w:jc w:val="center"/>
            </w:pPr>
          </w:p>
        </w:tc>
        <w:tc>
          <w:tcPr>
            <w:tcW w:w="0" w:type="auto"/>
            <w:tcMar>
              <w:top w:w="60" w:type="dxa"/>
              <w:left w:w="80" w:type="dxa"/>
              <w:bottom w:w="60" w:type="dxa"/>
              <w:right w:w="80" w:type="dxa"/>
            </w:tcMar>
          </w:tcPr>
          <w:p w14:paraId="71747CFB" w14:textId="77777777" w:rsidR="009E2D51" w:rsidRDefault="009E2D51" w:rsidP="003E15AA">
            <w:pPr>
              <w:contextualSpacing/>
              <w:jc w:val="center"/>
            </w:pPr>
          </w:p>
        </w:tc>
        <w:tc>
          <w:tcPr>
            <w:tcW w:w="0" w:type="auto"/>
            <w:tcMar>
              <w:top w:w="60" w:type="dxa"/>
              <w:left w:w="80" w:type="dxa"/>
              <w:bottom w:w="60" w:type="dxa"/>
              <w:right w:w="80" w:type="dxa"/>
            </w:tcMar>
          </w:tcPr>
          <w:p w14:paraId="1CEBAA70" w14:textId="77777777" w:rsidR="009E2D51" w:rsidRDefault="009E2D51" w:rsidP="003E15AA">
            <w:pPr>
              <w:contextualSpacing/>
              <w:jc w:val="center"/>
            </w:pPr>
          </w:p>
        </w:tc>
        <w:tc>
          <w:tcPr>
            <w:tcW w:w="0" w:type="auto"/>
            <w:tcMar>
              <w:top w:w="60" w:type="dxa"/>
              <w:left w:w="80" w:type="dxa"/>
              <w:bottom w:w="60" w:type="dxa"/>
              <w:right w:w="80" w:type="dxa"/>
            </w:tcMar>
          </w:tcPr>
          <w:p w14:paraId="17F64AE7" w14:textId="77777777" w:rsidR="009E2D51" w:rsidRDefault="009E2D51" w:rsidP="003E15AA">
            <w:pPr>
              <w:contextualSpacing/>
              <w:jc w:val="center"/>
            </w:pPr>
          </w:p>
        </w:tc>
      </w:tr>
      <w:tr w:rsidR="009E2D51" w14:paraId="4A795157" w14:textId="77777777">
        <w:tc>
          <w:tcPr>
            <w:tcW w:w="0" w:type="auto"/>
            <w:tcMar>
              <w:top w:w="60" w:type="dxa"/>
              <w:left w:w="80" w:type="dxa"/>
              <w:bottom w:w="60" w:type="dxa"/>
              <w:right w:w="80" w:type="dxa"/>
            </w:tcMar>
          </w:tcPr>
          <w:p w14:paraId="6028AF43" w14:textId="77777777" w:rsidR="009E2D51" w:rsidRDefault="00000000" w:rsidP="003E15AA">
            <w:pPr>
              <w:contextualSpacing/>
              <w:jc w:val="left"/>
              <w:ind w:firstLine="709"/>
            </w:pPr>
            <w:r>
              <w:rPr>
                <w:sz w:val="18"/>
                <w:szCs w:val="18"/>
              </w:rPr>
              <w:t>Construcción base de conocimiento RAG (ChromaDB)</w:t>
            </w:r>
          </w:p>
        </w:tc>
        <w:tc>
          <w:tcPr>
            <w:tcW w:w="0" w:type="auto"/>
            <w:tcMar>
              <w:top w:w="60" w:type="dxa"/>
              <w:left w:w="80" w:type="dxa"/>
              <w:bottom w:w="60" w:type="dxa"/>
              <w:right w:w="80" w:type="dxa"/>
            </w:tcMar>
          </w:tcPr>
          <w:p w14:paraId="13D884E5" w14:textId="77777777" w:rsidR="009E2D51" w:rsidRDefault="009E2D51" w:rsidP="003E15AA">
            <w:pPr>
              <w:contextualSpacing/>
              <w:jc w:val="center"/>
            </w:pPr>
          </w:p>
        </w:tc>
        <w:tc>
          <w:tcPr>
            <w:tcW w:w="0" w:type="auto"/>
            <w:tcMar>
              <w:top w:w="60" w:type="dxa"/>
              <w:left w:w="80" w:type="dxa"/>
              <w:bottom w:w="60" w:type="dxa"/>
              <w:right w:w="80" w:type="dxa"/>
            </w:tcMar>
          </w:tcPr>
          <w:p w14:paraId="746EF9B7" w14:textId="77777777" w:rsidR="009E2D51" w:rsidRDefault="009E2D51" w:rsidP="003E15AA">
            <w:pPr>
              <w:contextualSpacing/>
              <w:jc w:val="center"/>
            </w:pPr>
          </w:p>
        </w:tc>
        <w:tc>
          <w:tcPr>
            <w:tcW w:w="0" w:type="auto"/>
            <w:tcMar>
              <w:top w:w="60" w:type="dxa"/>
              <w:left w:w="80" w:type="dxa"/>
              <w:bottom w:w="60" w:type="dxa"/>
              <w:right w:w="80" w:type="dxa"/>
            </w:tcMar>
          </w:tcPr>
          <w:p w14:paraId="606EC7FB" w14:textId="77777777" w:rsidR="009E2D51" w:rsidRDefault="009E2D51" w:rsidP="003E15AA">
            <w:pPr>
              <w:contextualSpacing/>
              <w:jc w:val="center"/>
            </w:pPr>
          </w:p>
        </w:tc>
        <w:tc>
          <w:tcPr>
            <w:tcW w:w="0" w:type="auto"/>
            <w:tcMar>
              <w:top w:w="60" w:type="dxa"/>
              <w:left w:w="80" w:type="dxa"/>
              <w:bottom w:w="60" w:type="dxa"/>
              <w:right w:w="80" w:type="dxa"/>
            </w:tcMar>
          </w:tcPr>
          <w:p w14:paraId="14FAD49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5BB11C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4A5E679" w14:textId="77777777" w:rsidR="009E2D51" w:rsidRDefault="009E2D51" w:rsidP="003E15AA">
            <w:pPr>
              <w:contextualSpacing/>
              <w:jc w:val="center"/>
            </w:pPr>
          </w:p>
        </w:tc>
        <w:tc>
          <w:tcPr>
            <w:tcW w:w="0" w:type="auto"/>
            <w:tcMar>
              <w:top w:w="60" w:type="dxa"/>
              <w:left w:w="80" w:type="dxa"/>
              <w:bottom w:w="60" w:type="dxa"/>
              <w:right w:w="80" w:type="dxa"/>
            </w:tcMar>
          </w:tcPr>
          <w:p w14:paraId="0B876815" w14:textId="77777777" w:rsidR="009E2D51" w:rsidRDefault="009E2D51" w:rsidP="003E15AA">
            <w:pPr>
              <w:contextualSpacing/>
              <w:jc w:val="center"/>
            </w:pPr>
          </w:p>
        </w:tc>
        <w:tc>
          <w:tcPr>
            <w:tcW w:w="0" w:type="auto"/>
            <w:tcMar>
              <w:top w:w="60" w:type="dxa"/>
              <w:left w:w="80" w:type="dxa"/>
              <w:bottom w:w="60" w:type="dxa"/>
              <w:right w:w="80" w:type="dxa"/>
            </w:tcMar>
          </w:tcPr>
          <w:p w14:paraId="64B0A2FA" w14:textId="77777777" w:rsidR="009E2D51" w:rsidRDefault="009E2D51" w:rsidP="003E15AA">
            <w:pPr>
              <w:contextualSpacing/>
              <w:jc w:val="center"/>
            </w:pPr>
          </w:p>
        </w:tc>
        <w:tc>
          <w:tcPr>
            <w:tcW w:w="0" w:type="auto"/>
            <w:tcMar>
              <w:top w:w="60" w:type="dxa"/>
              <w:left w:w="80" w:type="dxa"/>
              <w:bottom w:w="60" w:type="dxa"/>
              <w:right w:w="80" w:type="dxa"/>
            </w:tcMar>
          </w:tcPr>
          <w:p w14:paraId="6769373F" w14:textId="77777777" w:rsidR="009E2D51" w:rsidRDefault="009E2D51" w:rsidP="003E15AA">
            <w:pPr>
              <w:contextualSpacing/>
              <w:jc w:val="center"/>
            </w:pPr>
          </w:p>
        </w:tc>
      </w:tr>
      <w:tr w:rsidR="009E2D51" w14:paraId="71E0CB80" w14:textId="77777777">
        <w:tc>
          <w:tcPr>
            <w:tcW w:w="0" w:type="auto"/>
            <w:tcMar>
              <w:top w:w="60" w:type="dxa"/>
              <w:left w:w="80" w:type="dxa"/>
              <w:bottom w:w="60" w:type="dxa"/>
              <w:right w:w="80" w:type="dxa"/>
            </w:tcMar>
          </w:tcPr>
          <w:p w14:paraId="2B324E33" w14:textId="77777777" w:rsidR="009E2D51" w:rsidRDefault="00000000" w:rsidP="003E15AA">
            <w:pPr>
              <w:contextualSpacing/>
              <w:jc w:val="left"/>
              <w:ind w:firstLine="709"/>
            </w:pPr>
            <w:r>
              <w:rPr>
                <w:sz w:val="18"/>
                <w:szCs w:val="18"/>
              </w:rPr>
              <w:t>Integración pipeline LLM + generador de reportes</w:t>
            </w:r>
          </w:p>
        </w:tc>
        <w:tc>
          <w:tcPr>
            <w:tcW w:w="0" w:type="auto"/>
            <w:tcMar>
              <w:top w:w="60" w:type="dxa"/>
              <w:left w:w="80" w:type="dxa"/>
              <w:bottom w:w="60" w:type="dxa"/>
              <w:right w:w="80" w:type="dxa"/>
            </w:tcMar>
          </w:tcPr>
          <w:p w14:paraId="43EEBAF7" w14:textId="77777777" w:rsidR="009E2D51" w:rsidRDefault="009E2D51" w:rsidP="003E15AA">
            <w:pPr>
              <w:contextualSpacing/>
              <w:jc w:val="center"/>
            </w:pPr>
          </w:p>
        </w:tc>
        <w:tc>
          <w:tcPr>
            <w:tcW w:w="0" w:type="auto"/>
            <w:tcMar>
              <w:top w:w="60" w:type="dxa"/>
              <w:left w:w="80" w:type="dxa"/>
              <w:bottom w:w="60" w:type="dxa"/>
              <w:right w:w="80" w:type="dxa"/>
            </w:tcMar>
          </w:tcPr>
          <w:p w14:paraId="388777AA" w14:textId="77777777" w:rsidR="009E2D51" w:rsidRDefault="009E2D51" w:rsidP="003E15AA">
            <w:pPr>
              <w:contextualSpacing/>
              <w:jc w:val="center"/>
            </w:pPr>
          </w:p>
        </w:tc>
        <w:tc>
          <w:tcPr>
            <w:tcW w:w="0" w:type="auto"/>
            <w:tcMar>
              <w:top w:w="60" w:type="dxa"/>
              <w:left w:w="80" w:type="dxa"/>
              <w:bottom w:w="60" w:type="dxa"/>
              <w:right w:w="80" w:type="dxa"/>
            </w:tcMar>
          </w:tcPr>
          <w:p w14:paraId="400677BE" w14:textId="77777777" w:rsidR="009E2D51" w:rsidRDefault="009E2D51" w:rsidP="003E15AA">
            <w:pPr>
              <w:contextualSpacing/>
              <w:jc w:val="center"/>
            </w:pPr>
          </w:p>
        </w:tc>
        <w:tc>
          <w:tcPr>
            <w:tcW w:w="0" w:type="auto"/>
            <w:tcMar>
              <w:top w:w="60" w:type="dxa"/>
              <w:left w:w="80" w:type="dxa"/>
              <w:bottom w:w="60" w:type="dxa"/>
              <w:right w:w="80" w:type="dxa"/>
            </w:tcMar>
          </w:tcPr>
          <w:p w14:paraId="532C9CB3" w14:textId="77777777" w:rsidR="009E2D51" w:rsidRDefault="009E2D51" w:rsidP="003E15AA">
            <w:pPr>
              <w:contextualSpacing/>
              <w:jc w:val="center"/>
            </w:pPr>
          </w:p>
        </w:tc>
        <w:tc>
          <w:tcPr>
            <w:tcW w:w="0" w:type="auto"/>
            <w:tcMar>
              <w:top w:w="60" w:type="dxa"/>
              <w:left w:w="80" w:type="dxa"/>
              <w:bottom w:w="60" w:type="dxa"/>
              <w:right w:w="80" w:type="dxa"/>
            </w:tcMar>
          </w:tcPr>
          <w:p w14:paraId="71844F59"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BE4FEBE"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0DB124" w14:textId="77777777" w:rsidR="009E2D51" w:rsidRDefault="009E2D51" w:rsidP="003E15AA">
            <w:pPr>
              <w:contextualSpacing/>
              <w:jc w:val="center"/>
            </w:pPr>
          </w:p>
        </w:tc>
        <w:tc>
          <w:tcPr>
            <w:tcW w:w="0" w:type="auto"/>
            <w:tcMar>
              <w:top w:w="60" w:type="dxa"/>
              <w:left w:w="80" w:type="dxa"/>
              <w:bottom w:w="60" w:type="dxa"/>
              <w:right w:w="80" w:type="dxa"/>
            </w:tcMar>
          </w:tcPr>
          <w:p w14:paraId="77517E21" w14:textId="77777777" w:rsidR="009E2D51" w:rsidRDefault="009E2D51" w:rsidP="003E15AA">
            <w:pPr>
              <w:contextualSpacing/>
              <w:jc w:val="center"/>
            </w:pPr>
          </w:p>
        </w:tc>
        <w:tc>
          <w:tcPr>
            <w:tcW w:w="0" w:type="auto"/>
            <w:tcMar>
              <w:top w:w="60" w:type="dxa"/>
              <w:left w:w="80" w:type="dxa"/>
              <w:bottom w:w="60" w:type="dxa"/>
              <w:right w:w="80" w:type="dxa"/>
            </w:tcMar>
          </w:tcPr>
          <w:p w14:paraId="0C609FD8" w14:textId="77777777" w:rsidR="009E2D51" w:rsidRDefault="009E2D51" w:rsidP="003E15AA">
            <w:pPr>
              <w:contextualSpacing/>
              <w:jc w:val="center"/>
            </w:pPr>
          </w:p>
        </w:tc>
      </w:tr>
      <w:tr w:rsidR="009E2D51" w14:paraId="59C3AA81" w14:textId="77777777">
        <w:tc>
          <w:tcPr>
            <w:tcW w:w="0" w:type="auto"/>
            <w:tcMar>
              <w:top w:w="60" w:type="dxa"/>
              <w:left w:w="80" w:type="dxa"/>
              <w:bottom w:w="60" w:type="dxa"/>
              <w:right w:w="80" w:type="dxa"/>
            </w:tcMar>
          </w:tcPr>
          <w:p w14:paraId="57EBE9E1" w14:textId="77777777" w:rsidR="009E2D51" w:rsidRDefault="00000000" w:rsidP="003E15AA">
            <w:pPr>
              <w:contextualSpacing/>
              <w:jc w:val="left"/>
              <w:ind w:firstLine="709"/>
            </w:pPr>
            <w:r>
              <w:rPr>
                <w:sz w:val="18"/>
                <w:szCs w:val="18"/>
              </w:rPr>
              <w:t>Evaluación experimental (controlada + externa)</w:t>
            </w:r>
          </w:p>
        </w:tc>
        <w:tc>
          <w:tcPr>
            <w:tcW w:w="0" w:type="auto"/>
            <w:tcMar>
              <w:top w:w="60" w:type="dxa"/>
              <w:left w:w="80" w:type="dxa"/>
              <w:bottom w:w="60" w:type="dxa"/>
              <w:right w:w="80" w:type="dxa"/>
            </w:tcMar>
          </w:tcPr>
          <w:p w14:paraId="10784AA9" w14:textId="77777777" w:rsidR="009E2D51" w:rsidRDefault="009E2D51" w:rsidP="003E15AA">
            <w:pPr>
              <w:contextualSpacing/>
              <w:jc w:val="center"/>
            </w:pPr>
          </w:p>
        </w:tc>
        <w:tc>
          <w:tcPr>
            <w:tcW w:w="0" w:type="auto"/>
            <w:tcMar>
              <w:top w:w="60" w:type="dxa"/>
              <w:left w:w="80" w:type="dxa"/>
              <w:bottom w:w="60" w:type="dxa"/>
              <w:right w:w="80" w:type="dxa"/>
            </w:tcMar>
          </w:tcPr>
          <w:p w14:paraId="71D4FAC7" w14:textId="77777777" w:rsidR="009E2D51" w:rsidRDefault="009E2D51" w:rsidP="003E15AA">
            <w:pPr>
              <w:contextualSpacing/>
              <w:jc w:val="center"/>
            </w:pPr>
          </w:p>
        </w:tc>
        <w:tc>
          <w:tcPr>
            <w:tcW w:w="0" w:type="auto"/>
            <w:tcMar>
              <w:top w:w="60" w:type="dxa"/>
              <w:left w:w="80" w:type="dxa"/>
              <w:bottom w:w="60" w:type="dxa"/>
              <w:right w:w="80" w:type="dxa"/>
            </w:tcMar>
          </w:tcPr>
          <w:p w14:paraId="12A585C7" w14:textId="77777777" w:rsidR="009E2D51" w:rsidRDefault="009E2D51" w:rsidP="003E15AA">
            <w:pPr>
              <w:contextualSpacing/>
              <w:jc w:val="center"/>
            </w:pPr>
          </w:p>
        </w:tc>
        <w:tc>
          <w:tcPr>
            <w:tcW w:w="0" w:type="auto"/>
            <w:tcMar>
              <w:top w:w="60" w:type="dxa"/>
              <w:left w:w="80" w:type="dxa"/>
              <w:bottom w:w="60" w:type="dxa"/>
              <w:right w:w="80" w:type="dxa"/>
            </w:tcMar>
          </w:tcPr>
          <w:p w14:paraId="7309E2E8" w14:textId="77777777" w:rsidR="009E2D51" w:rsidRDefault="009E2D51" w:rsidP="003E15AA">
            <w:pPr>
              <w:contextualSpacing/>
              <w:jc w:val="center"/>
            </w:pPr>
          </w:p>
        </w:tc>
        <w:tc>
          <w:tcPr>
            <w:tcW w:w="0" w:type="auto"/>
            <w:tcMar>
              <w:top w:w="60" w:type="dxa"/>
              <w:left w:w="80" w:type="dxa"/>
              <w:bottom w:w="60" w:type="dxa"/>
              <w:right w:w="80" w:type="dxa"/>
            </w:tcMar>
          </w:tcPr>
          <w:p w14:paraId="5D52C049" w14:textId="77777777" w:rsidR="009E2D51" w:rsidRDefault="009E2D51" w:rsidP="003E15AA">
            <w:pPr>
              <w:contextualSpacing/>
              <w:jc w:val="center"/>
            </w:pPr>
          </w:p>
        </w:tc>
        <w:tc>
          <w:tcPr>
            <w:tcW w:w="0" w:type="auto"/>
            <w:tcMar>
              <w:top w:w="60" w:type="dxa"/>
              <w:left w:w="80" w:type="dxa"/>
              <w:bottom w:w="60" w:type="dxa"/>
              <w:right w:w="80" w:type="dxa"/>
            </w:tcMar>
          </w:tcPr>
          <w:p w14:paraId="4AA7A0D6"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D2164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5AE324E" w14:textId="77777777" w:rsidR="009E2D51" w:rsidRDefault="009E2D51" w:rsidP="003E15AA">
            <w:pPr>
              <w:contextualSpacing/>
              <w:jc w:val="center"/>
            </w:pPr>
          </w:p>
        </w:tc>
        <w:tc>
          <w:tcPr>
            <w:tcW w:w="0" w:type="auto"/>
            <w:tcMar>
              <w:top w:w="60" w:type="dxa"/>
              <w:left w:w="80" w:type="dxa"/>
              <w:bottom w:w="60" w:type="dxa"/>
              <w:right w:w="80" w:type="dxa"/>
            </w:tcMar>
          </w:tcPr>
          <w:p w14:paraId="66CCCC3A" w14:textId="77777777" w:rsidR="009E2D51" w:rsidRDefault="009E2D51" w:rsidP="003E15AA">
            <w:pPr>
              <w:contextualSpacing/>
              <w:jc w:val="center"/>
            </w:pPr>
          </w:p>
        </w:tc>
      </w:tr>
      <w:tr w:rsidR="009E2D51" w14:paraId="7F8A5724" w14:textId="77777777">
        <w:tc>
          <w:tcPr>
            <w:tcW w:w="0" w:type="auto"/>
            <w:tcMar>
              <w:top w:w="60" w:type="dxa"/>
              <w:left w:w="80" w:type="dxa"/>
              <w:bottom w:w="60" w:type="dxa"/>
              <w:right w:w="80" w:type="dxa"/>
            </w:tcMar>
          </w:tcPr>
          <w:p w14:paraId="4271041C" w14:textId="77777777" w:rsidR="009E2D51" w:rsidRDefault="00000000" w:rsidP="003E15AA">
            <w:pPr>
              <w:contextualSpacing/>
              <w:jc w:val="left"/>
              <w:ind w:firstLine="709"/>
            </w:pPr>
            <w:r>
              <w:rPr>
                <w:sz w:val="18"/>
                <w:szCs w:val="18"/>
              </w:rPr>
              <w:t>Análisis de resultados y redacción del informe</w:t>
            </w:r>
          </w:p>
        </w:tc>
        <w:tc>
          <w:tcPr>
            <w:tcW w:w="0" w:type="auto"/>
            <w:tcMar>
              <w:top w:w="60" w:type="dxa"/>
              <w:left w:w="80" w:type="dxa"/>
              <w:bottom w:w="60" w:type="dxa"/>
              <w:right w:w="80" w:type="dxa"/>
            </w:tcMar>
          </w:tcPr>
          <w:p w14:paraId="04B77992" w14:textId="77777777" w:rsidR="009E2D51" w:rsidRDefault="009E2D51" w:rsidP="003E15AA">
            <w:pPr>
              <w:contextualSpacing/>
              <w:jc w:val="center"/>
            </w:pPr>
          </w:p>
        </w:tc>
        <w:tc>
          <w:tcPr>
            <w:tcW w:w="0" w:type="auto"/>
            <w:tcMar>
              <w:top w:w="60" w:type="dxa"/>
              <w:left w:w="80" w:type="dxa"/>
              <w:bottom w:w="60" w:type="dxa"/>
              <w:right w:w="80" w:type="dxa"/>
            </w:tcMar>
          </w:tcPr>
          <w:p w14:paraId="0DBF8FE3" w14:textId="77777777" w:rsidR="009E2D51" w:rsidRDefault="009E2D51" w:rsidP="003E15AA">
            <w:pPr>
              <w:contextualSpacing/>
              <w:jc w:val="center"/>
            </w:pPr>
          </w:p>
        </w:tc>
        <w:tc>
          <w:tcPr>
            <w:tcW w:w="0" w:type="auto"/>
            <w:tcMar>
              <w:top w:w="60" w:type="dxa"/>
              <w:left w:w="80" w:type="dxa"/>
              <w:bottom w:w="60" w:type="dxa"/>
              <w:right w:w="80" w:type="dxa"/>
            </w:tcMar>
          </w:tcPr>
          <w:p w14:paraId="08FFB3A3" w14:textId="77777777" w:rsidR="009E2D51" w:rsidRDefault="009E2D51" w:rsidP="003E15AA">
            <w:pPr>
              <w:contextualSpacing/>
              <w:jc w:val="center"/>
            </w:pPr>
          </w:p>
        </w:tc>
        <w:tc>
          <w:tcPr>
            <w:tcW w:w="0" w:type="auto"/>
            <w:tcMar>
              <w:top w:w="60" w:type="dxa"/>
              <w:left w:w="80" w:type="dxa"/>
              <w:bottom w:w="60" w:type="dxa"/>
              <w:right w:w="80" w:type="dxa"/>
            </w:tcMar>
          </w:tcPr>
          <w:p w14:paraId="549B2238" w14:textId="77777777" w:rsidR="009E2D51" w:rsidRDefault="009E2D51" w:rsidP="003E15AA">
            <w:pPr>
              <w:contextualSpacing/>
              <w:jc w:val="center"/>
            </w:pPr>
          </w:p>
        </w:tc>
        <w:tc>
          <w:tcPr>
            <w:tcW w:w="0" w:type="auto"/>
            <w:tcMar>
              <w:top w:w="60" w:type="dxa"/>
              <w:left w:w="80" w:type="dxa"/>
              <w:bottom w:w="60" w:type="dxa"/>
              <w:right w:w="80" w:type="dxa"/>
            </w:tcMar>
          </w:tcPr>
          <w:p w14:paraId="5E7CAC69" w14:textId="77777777" w:rsidR="009E2D51" w:rsidRDefault="009E2D51" w:rsidP="003E15AA">
            <w:pPr>
              <w:contextualSpacing/>
              <w:jc w:val="center"/>
            </w:pPr>
          </w:p>
        </w:tc>
        <w:tc>
          <w:tcPr>
            <w:tcW w:w="0" w:type="auto"/>
            <w:tcMar>
              <w:top w:w="60" w:type="dxa"/>
              <w:left w:w="80" w:type="dxa"/>
              <w:bottom w:w="60" w:type="dxa"/>
              <w:right w:w="80" w:type="dxa"/>
            </w:tcMar>
          </w:tcPr>
          <w:p w14:paraId="6FEF31D3" w14:textId="77777777" w:rsidR="009E2D51" w:rsidRDefault="009E2D51" w:rsidP="003E15AA">
            <w:pPr>
              <w:contextualSpacing/>
              <w:jc w:val="center"/>
            </w:pPr>
          </w:p>
        </w:tc>
        <w:tc>
          <w:tcPr>
            <w:tcW w:w="0" w:type="auto"/>
            <w:tcMar>
              <w:top w:w="60" w:type="dxa"/>
              <w:left w:w="80" w:type="dxa"/>
              <w:bottom w:w="60" w:type="dxa"/>
              <w:right w:w="80" w:type="dxa"/>
            </w:tcMar>
          </w:tcPr>
          <w:p w14:paraId="46576B41"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BA835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84D7B91" w14:textId="77777777" w:rsidR="009E2D51" w:rsidRDefault="009E2D51" w:rsidP="003E15AA">
            <w:pPr>
              <w:contextualSpacing/>
              <w:jc w:val="center"/>
            </w:pPr>
          </w:p>
        </w:tc>
      </w:tr>
      <w:tr w:rsidR="009E2D51" w14:paraId="3A2BA039" w14:textId="77777777">
        <w:tc>
          <w:tcPr>
            <w:tcW w:w="0" w:type="auto"/>
            <w:tcMar>
              <w:top w:w="60" w:type="dxa"/>
              <w:left w:w="80" w:type="dxa"/>
              <w:bottom w:w="60" w:type="dxa"/>
              <w:right w:w="80" w:type="dxa"/>
            </w:tcMar>
          </w:tcPr>
          <w:p w14:paraId="793E0EBD" w14:textId="77777777" w:rsidR="009E2D51" w:rsidRDefault="00000000" w:rsidP="003E15AA">
            <w:pPr>
              <w:contextualSpacing/>
              <w:jc w:val="left"/>
              <w:ind w:firstLine="709"/>
            </w:pPr>
            <w:r>
              <w:rPr>
                <w:sz w:val="18"/>
                <w:szCs w:val="18"/>
              </w:rPr>
              <w:t>Revisión final y entrega al asesor</w:t>
            </w:r>
          </w:p>
        </w:tc>
        <w:tc>
          <w:tcPr>
            <w:tcW w:w="0" w:type="auto"/>
            <w:tcMar>
              <w:top w:w="60" w:type="dxa"/>
              <w:left w:w="80" w:type="dxa"/>
              <w:bottom w:w="60" w:type="dxa"/>
              <w:right w:w="80" w:type="dxa"/>
            </w:tcMar>
          </w:tcPr>
          <w:p w14:paraId="5CC862DE" w14:textId="77777777" w:rsidR="009E2D51" w:rsidRDefault="009E2D51" w:rsidP="003E15AA">
            <w:pPr>
              <w:contextualSpacing/>
              <w:jc w:val="center"/>
            </w:pPr>
          </w:p>
        </w:tc>
        <w:tc>
          <w:tcPr>
            <w:tcW w:w="0" w:type="auto"/>
            <w:tcMar>
              <w:top w:w="60" w:type="dxa"/>
              <w:left w:w="80" w:type="dxa"/>
              <w:bottom w:w="60" w:type="dxa"/>
              <w:right w:w="80" w:type="dxa"/>
            </w:tcMar>
          </w:tcPr>
          <w:p w14:paraId="0E85C262" w14:textId="77777777" w:rsidR="009E2D51" w:rsidRDefault="009E2D51" w:rsidP="003E15AA">
            <w:pPr>
              <w:contextualSpacing/>
              <w:jc w:val="center"/>
            </w:pPr>
          </w:p>
        </w:tc>
        <w:tc>
          <w:tcPr>
            <w:tcW w:w="0" w:type="auto"/>
            <w:tcMar>
              <w:top w:w="60" w:type="dxa"/>
              <w:left w:w="80" w:type="dxa"/>
              <w:bottom w:w="60" w:type="dxa"/>
              <w:right w:w="80" w:type="dxa"/>
            </w:tcMar>
          </w:tcPr>
          <w:p w14:paraId="3C7ED403" w14:textId="77777777" w:rsidR="009E2D51" w:rsidRDefault="009E2D51" w:rsidP="003E15AA">
            <w:pPr>
              <w:contextualSpacing/>
              <w:jc w:val="center"/>
            </w:pPr>
          </w:p>
        </w:tc>
        <w:tc>
          <w:tcPr>
            <w:tcW w:w="0" w:type="auto"/>
            <w:tcMar>
              <w:top w:w="60" w:type="dxa"/>
              <w:left w:w="80" w:type="dxa"/>
              <w:bottom w:w="60" w:type="dxa"/>
              <w:right w:w="80" w:type="dxa"/>
            </w:tcMar>
          </w:tcPr>
          <w:p w14:paraId="68984995" w14:textId="77777777" w:rsidR="009E2D51" w:rsidRDefault="009E2D51" w:rsidP="003E15AA">
            <w:pPr>
              <w:contextualSpacing/>
              <w:jc w:val="center"/>
            </w:pPr>
          </w:p>
        </w:tc>
        <w:tc>
          <w:tcPr>
            <w:tcW w:w="0" w:type="auto"/>
            <w:tcMar>
              <w:top w:w="60" w:type="dxa"/>
              <w:left w:w="80" w:type="dxa"/>
              <w:bottom w:w="60" w:type="dxa"/>
              <w:right w:w="80" w:type="dxa"/>
            </w:tcMar>
          </w:tcPr>
          <w:p w14:paraId="354BD8CF" w14:textId="77777777" w:rsidR="009E2D51" w:rsidRDefault="009E2D51" w:rsidP="003E15AA">
            <w:pPr>
              <w:contextualSpacing/>
              <w:jc w:val="center"/>
            </w:pPr>
          </w:p>
        </w:tc>
        <w:tc>
          <w:tcPr>
            <w:tcW w:w="0" w:type="auto"/>
            <w:tcMar>
              <w:top w:w="60" w:type="dxa"/>
              <w:left w:w="80" w:type="dxa"/>
              <w:bottom w:w="60" w:type="dxa"/>
              <w:right w:w="80" w:type="dxa"/>
            </w:tcMar>
          </w:tcPr>
          <w:p w14:paraId="39C94475" w14:textId="77777777" w:rsidR="009E2D51" w:rsidRDefault="009E2D51" w:rsidP="003E15AA">
            <w:pPr>
              <w:contextualSpacing/>
              <w:jc w:val="center"/>
            </w:pPr>
          </w:p>
        </w:tc>
        <w:tc>
          <w:tcPr>
            <w:tcW w:w="0" w:type="auto"/>
            <w:tcMar>
              <w:top w:w="60" w:type="dxa"/>
              <w:left w:w="80" w:type="dxa"/>
              <w:bottom w:w="60" w:type="dxa"/>
              <w:right w:w="80" w:type="dxa"/>
            </w:tcMar>
          </w:tcPr>
          <w:p w14:paraId="79540C60" w14:textId="77777777" w:rsidR="009E2D51" w:rsidRDefault="009E2D51" w:rsidP="003E15AA">
            <w:pPr>
              <w:contextualSpacing/>
              <w:jc w:val="center"/>
            </w:pPr>
          </w:p>
        </w:tc>
        <w:tc>
          <w:tcPr>
            <w:tcW w:w="0" w:type="auto"/>
            <w:tcMar>
              <w:top w:w="60" w:type="dxa"/>
              <w:left w:w="80" w:type="dxa"/>
              <w:bottom w:w="60" w:type="dxa"/>
              <w:right w:w="80" w:type="dxa"/>
            </w:tcMar>
          </w:tcPr>
          <w:p w14:paraId="286BB0D8" w14:textId="77777777" w:rsidR="009E2D51" w:rsidRDefault="009E2D51" w:rsidP="003E15AA">
            <w:pPr>
              <w:contextualSpacing/>
              <w:jc w:val="center"/>
            </w:pPr>
          </w:p>
        </w:tc>
        <w:tc>
          <w:tcPr>
            <w:tcW w:w="0" w:type="auto"/>
            <w:tcMar>
              <w:top w:w="60" w:type="dxa"/>
              <w:left w:w="80" w:type="dxa"/>
              <w:bottom w:w="60" w:type="dxa"/>
              <w:right w:w="80" w:type="dxa"/>
            </w:tcMar>
          </w:tcPr>
          <w:p w14:paraId="466C0C96" w14:textId="77777777" w:rsidR="009E2D51" w:rsidRDefault="00000000" w:rsidP="003E15AA">
            <w:pPr>
              <w:contextualSpacing/>
              <w:jc w:val="center"/>
            </w:pPr>
            <w:r>
              <w:rPr>
                <w:sz w:val="18"/>
                <w:szCs w:val="18"/>
              </w:rPr>
              <w:t>●</w:t>
            </w:r>
          </w:p>
        </w:tc>
      </w:tr>
    </w:tbl>
    <w:p w14:paraId="36AE7A5B" w14:textId="77777777" w:rsidR="009E2D51" w:rsidRDefault="00000000" w:rsidP="003E15AA">
      <w:pPr>
        <w:contextualSpacing/>
        <w:jc w:val="left"/>
      </w:pPr>
      <w:commentRangeStart w:id="18"/>
      <w:r>
        <w:t xml:space="preserve">     Fuente: Propia.</w:t>
        <w:rPr>
          <w:sz w:val="20"/>
          <w:szCs w:val="20"/>
        </w:rPr>
      </w:r>
      <w:commentRangeEnd w:id="18"/>
      <w:r>
        <w:rPr>
          <w:rStyle w:val="CommentReference"/>
          <w:sz w:val="20"/>
          <w:szCs w:val="20"/>
        </w:rPr>
        <w:commentReference w:id="18"/>
      </w:r>
    </w:p>
    <w:p w14:paraId="5E98D21E" w14:textId="77777777" w:rsidR="009E2D51" w:rsidRDefault="00000000" w:rsidP="003E15AA">
      <w:pPr>
        <w:contextualSpacing/>
      </w:pPr>
      <w:r>
        <w:br w:type="page"/>
      </w:r>
    </w:p>
    <w:p w14:paraId="27C1B9AB" w14:textId="77777777" w:rsidR="009E2D51" w:rsidRDefault="00000000" w:rsidP="003E15AA">
      <w:pPr>
        <w:contextualSpacing/>
        <w:jc w:val="center"/>
      </w:pPr>
      <w:commentRangeStart w:id="19"/>
      <w:r>
        <w:rPr>
          <w:b/>
          <w:bCs/>
        </w:rPr>
        <w:lastRenderedPageBreak/>
        <w:t>BIBLIOGRAFÍA</w:t>
      </w:r>
      <w:commentRangeEnd w:id="19"/>
      <w:r>
        <w:rPr>
          <w:rStyle w:val="CommentReference"/>
          <w:sz w:val="24"/>
          <w:szCs w:val="24"/>
        </w:rPr>
        <w:commentReference w:id="19"/>
      </w:r>
    </w:p>
    <w:p w14:paraId="0FC3BD35" w14:textId="77777777" w:rsidR="005D127F" w:rsidRDefault="005D127F" w:rsidP="003E15AA">
      <w:pPr>
        <w:contextualSpacing/>
        <w:jc w:val="left"/>
        <w:rPr>
          <w:b/>
          <w:bCs/>
        </w:rPr>
      </w:pPr>
    </w:p>
    <w:p>
      <w:pPr>
        <w:contextualSpacing/>
      </w:pPr>
      <w:r>
        <w:rPr/>
        <w:t xml:space="preserve">     Documentos Electrónicos</w:t>
      </w:r>
    </w:p>
    <w:p w14:paraId="6E306ECF" w14:textId="77777777" w:rsidR="009E2D51" w:rsidRDefault="00000000" w:rsidP="003E15AA">
      <w:pPr>
        <w:ind w:left="567" w:hanging="567"/>
        <w:contextualSpacing/>
      </w:pPr>
      <w:r>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p w14:paraId="5845A4E9" w14:textId="77777777" w:rsidR="009E2D51" w:rsidRDefault="00000000" w:rsidP="003E15AA">
      <w:pPr>
        <w:ind w:left="567" w:hanging="567"/>
        <w:contextualSpacing/>
      </w:pPr>
      <w:r>
        <w:t>OWASP Foundation. OWASP API Security Top 10 2023 [en línea] 2023. [Consulta: 23 de julio de 2026] Disponible en: https://owasp.org/API-Security/</w:t>
      </w:r>
    </w:p>
    <w:p w14:paraId="28F42BF8" w14:textId="0CAD2B9A" w:rsidR="009E2D51" w:rsidRDefault="00000000" w:rsidP="003E15AA">
      <w:pPr>
        <w:ind w:left="567" w:hanging="567"/>
        <w:contextualSpacing/>
      </w:pPr>
      <w:r>
        <w:t xml:space="preserve">ATLIDAKIS, Vaggelis, et al. </w:t>
      </w:r>
      <w:r>
        <w:rPr>
          <w:lang w:val="en-US"/>
        </w:rPr>
        <w:t xml:space="preserve">RESTler: Stateful REST API Fuzzing. En: Proceedings of ICSE, 2019. pp. 748-758. </w:t>
      </w:r>
      <w:r>
        <w:t xml:space="preserve">[Consulta: 23 de julio de 2026] Disponible en: https://dl.acm.org/doi/10.1109/ICSE.2019.00083</w:t>
      </w:r>
    </w:p>
    <w:p w14:paraId="3A478C62" w14:textId="77777777" w:rsidR="009E2D51" w:rsidRDefault="00000000" w:rsidP="003E15AA">
      <w:pPr>
        <w:ind w:left="567" w:hanging="567"/>
        <w:contextualSpacing/>
      </w:pPr>
      <w:r>
        <w:rPr>
          <w:lang w:val="en-US"/>
        </w:rPr>
        <w:t xml:space="preserve">BORGEAUD, Sebastian, et al. Improving Language Models by Retrieving from Trillions of Tokens. </w:t>
      </w:r>
      <w:r>
        <w:t>En: Proceedings of ICML, 2022. [Consulta: 23 de julio de 2026] Disponible en: https://arxiv.org/abs/2112.04426</w:t>
      </w:r>
    </w:p>
    <w:p w14:paraId="65E15A6D" w14:textId="77777777" w:rsidR="009E2D51" w:rsidRDefault="00000000" w:rsidP="003E15AA">
      <w:pPr>
        <w:ind w:left="567" w:hanging="567"/>
        <w:contextualSpacing/>
      </w:pPr>
      <w:r>
        <w:rPr>
          <w:lang w:val="en-US"/>
        </w:rPr>
        <w:t xml:space="preserve">BROWN, Tom, et al. Language Models are Few-Shot Learners. En: Advances in Neural Information Processing Systems, vol. 33, 2020. pp. 1877-1901. </w:t>
      </w:r>
      <w:r>
        <w:t>[Consulta: 23 de julio de 2026] Disponible en: https://arxiv.org/abs/2005.14165</w:t>
      </w:r>
    </w:p>
    <w:p w14:paraId="1156E4BD" w14:textId="13391F22" w:rsidR="009E2D51" w:rsidRDefault="00000000" w:rsidP="003E15AA">
      <w:pPr>
        <w:ind w:left="567" w:hanging="567"/>
        <w:contextualSpacing/>
      </w:pPr>
      <w:r>
        <w:rPr>
          <w:lang w:val="en-US"/>
        </w:rPr>
        <w:t xml:space="preserve">CHESS, Brian y McGRAW, Gary. Static Analysis for Security. En: IEEE Security &amp; Privacy, vol. 2, núm. 6, 2004. pp. 76-79. </w:t>
      </w:r>
      <w:r>
        <w:t>[Consulta: 23 de julio de 2026] Disponible en: https://ieeexplore.ieee.org/document/1366126</w:t>
      </w:r>
    </w:p>
    <w:p w14:paraId="4D91D1AB" w14:textId="77777777" w:rsidR="009E2D51" w:rsidRDefault="00000000" w:rsidP="003E15AA">
      <w:pPr>
        <w:ind w:left="567" w:hanging="567"/>
        <w:contextualSpacing/>
      </w:pPr>
      <w:r>
        <w:rPr>
          <w:lang w:val="en-US"/>
        </w:rPr>
        <w:t xml:space="preserve">DEVLIN, Jacob, et al. BERT: Pre-training of Deep Bidirectional Transformers for Language Understanding. </w:t>
      </w:r>
      <w:r>
        <w:t>En: Proceedings of NAACL-HLT, 2019. pp. 4171-4186. [Consulta: 23 de julio de 2026] Disponible en: https://arxiv.org/abs/1810.04805</w:t>
      </w:r>
    </w:p>
    <w:p w14:paraId="6E2570FF" w14:textId="77777777" w:rsidR="009E2D51" w:rsidRDefault="00000000" w:rsidP="003E15AA">
      <w:pPr>
        <w:ind w:left="567" w:hanging="567"/>
        <w:contextualSpacing/>
      </w:pPr>
      <w:r>
        <w:rPr>
          <w:lang w:val="en-US"/>
        </w:rPr>
        <w:t xml:space="preserve">FAWCETT, Tom. An Introduction to ROC Analysis. En: Pattern Recognition Letters, vol. 27, núm. 8, 2006. pp. 861-874. </w:t>
      </w:r>
      <w:r>
        <w:t>[Consulta: 23 de julio de 2026] Disponible en: https://doi.org/10.1016/j.patrec.2005.10.010</w:t>
      </w:r>
    </w:p>
    <w:p w14:paraId="2D6CEBB6" w14:textId="77777777" w:rsidR="009E2D51" w:rsidRDefault="00000000" w:rsidP="003E15AA">
      <w:pPr>
        <w:ind w:left="567" w:hanging="567"/>
        <w:contextualSpacing/>
      </w:pPr>
      <w:r>
        <w:rPr>
          <w:lang w:val="en-US"/>
        </w:rPr>
        <w:t xml:space="preserve">FENG, Zhangyin, et al. CodeBERT: A Pre-Trained Model for Programming and Natural Languages. </w:t>
      </w:r>
      <w:r>
        <w:t>En: Findings of EMNLP, 2020. pp. 1536-1547. [Consulta: 23 de julio de 2026] Disponible en: https://arxiv.org/abs/2002.08155</w:t>
      </w:r>
    </w:p>
    <w:p w14:paraId="73E69772" w14:textId="77777777" w:rsidR="00B93E29" w:rsidRDefault="00B93E29" w:rsidP="003E15AA">
      <w:pPr>
        <w:ind w:left="567" w:hanging="567"/>
        <w:contextualSpacing/>
      </w:pPr>
      <w:r>
        <w:rPr>
          <w:lang w:val="en-US"/>
        </w:rPr>
        <w:lastRenderedPageBreak/>
        <w:t xml:space="preserve">FU, Michael y TANTITHAMTHAVORN, Chakkrit. LineVul: A Transformer-based Line-Level Vulnerability Prediction. </w:t>
      </w:r>
      <w:r>
        <w:t>En: Proceedings of MSR, 2022. [Consulta: 23 de julio de 2026] Disponible en: https://dl.acm.org/doi/10.1145/3524842.3528452</w:t>
      </w:r>
    </w:p>
    <w:p w14:paraId="540C6993" w14:textId="77777777" w:rsidR="009E2D51" w:rsidRDefault="00000000" w:rsidP="003E15AA">
      <w:pPr>
        <w:ind w:left="567" w:hanging="567"/>
        <w:contextualSpacing/>
      </w:pPr>
      <w:r>
        <w:rPr>
          <w:lang w:val="en-US"/>
        </w:rPr>
        <w:t xml:space="preserve">GAO, Yunfan, et al. Retrieval-Augmented Generation for Large Language Models: A Survey. arXiv:2312.10997 [en línea] 2023. </w:t>
      </w:r>
      <w:r>
        <w:t>[Consulta: 23 de julio de 2026] Disponible en: https://arxiv.org/abs/2312.10997</w:t>
      </w:r>
    </w:p>
    <w:p w14:paraId="7B3B12FA" w14:textId="77777777" w:rsidR="009E2D51" w:rsidRDefault="00000000" w:rsidP="003E15AA">
      <w:pPr>
        <w:ind w:left="567" w:hanging="567"/>
        <w:contextualSpacing/>
      </w:pPr>
      <w:r>
        <w:rPr>
          <w:lang w:val="en-US"/>
        </w:rPr>
        <w:t xml:space="preserve">JI, Ziwei, et al. Survey of Hallucination in Natural Language Generation. </w:t>
      </w:r>
      <w:r>
        <w:t>En: ACM Computing Surveys, vol. 55, núm. 12, art. 248, 2023. [Consulta: 23 de julio de 2026] Disponible en: https://arxiv.org/abs/2202.03629</w:t>
      </w:r>
    </w:p>
    <w:p w14:paraId="2453F436" w14:textId="77777777" w:rsidR="009E2D51" w:rsidRDefault="00000000" w:rsidP="003E15AA">
      <w:pPr>
        <w:ind w:left="567" w:hanging="567"/>
        <w:contextualSpacing/>
      </w:pPr>
      <w:r>
        <w:rPr>
          <w:lang w:val="en-US"/>
        </w:rPr>
        <w:t xml:space="preserve">JIANG, Albert Q., et al. </w:t>
      </w:r>
      <w:r>
        <w:t>Mistral 7B. arXiv:2310.06825 [en línea] 2023. [Consulta: 23 de julio de 2026] Disponible en: https://arxiv.org/abs/2310.06825</w:t>
      </w:r>
    </w:p>
    <w:p w14:paraId="43CC8AF7" w14:textId="77777777" w:rsidR="009E2D51" w:rsidRDefault="00000000" w:rsidP="003E15AA">
      <w:pPr>
        <w:ind w:left="567" w:hanging="567"/>
        <w:contextualSpacing/>
      </w:pPr>
      <w:r>
        <w:rPr>
          <w:lang w:val="en-US"/>
        </w:rPr>
        <w:t xml:space="preserve">JOHNSON, Jeff, et al. Billion-scale similarity search with GPUs. </w:t>
      </w:r>
      <w:r>
        <w:t>En: IEEE Transactions on Big Data, vol. 7, núm. 3, 2021. pp. 535-547. [Consulta: 23 de julio de 2026] Disponible en: https://arxiv.org/abs/1702.08734</w:t>
      </w:r>
    </w:p>
    <w:p w14:paraId="18FC0D49" w14:textId="77777777" w:rsidR="009E2D51" w:rsidRDefault="00000000" w:rsidP="003E15AA">
      <w:pPr>
        <w:ind w:left="567" w:hanging="567"/>
        <w:contextualSpacing/>
      </w:pPr>
      <w:r>
        <w:rPr>
          <w:lang w:val="en-US"/>
        </w:rPr>
        <w:t xml:space="preserve">KARPUKHIN, Vladimir, et al. Dense Passage Retrieval for Open-Domain Question Answering. </w:t>
      </w:r>
      <w:r>
        <w:t>En: Proceedings of EMNLP, 2020. pp. 6769-6781. [Consulta: 23 de julio de 2026] Disponible en: https://arxiv.org/abs/2004.04906</w:t>
      </w:r>
    </w:p>
    <w:p w14:paraId="18965E0C" w14:textId="77777777" w:rsidR="009E2D51" w:rsidRPr="001B18B0" w:rsidRDefault="00000000" w:rsidP="003E15AA">
      <w:pPr>
        <w:ind w:left="567" w:hanging="567"/>
        <w:contextualSpacing/>
        <w:rPr>
          <w:lang w:val="en-US"/>
        </w:rPr>
      </w:pPr>
      <w:r>
        <w:rPr>
          <w:lang w:val="en-US"/>
        </w:rPr>
        <w:t>LEWIS, Patrick, et al. Retrieval-Augmented Generation for Knowledge-Intensive NLP Tasks. En: Advances in Neural Information Processing Systems, vol. 33, 2020. pp. 9459-9474. [Consulta: 23 de julio de 2026] Disponible en: https://arxiv.org/abs/2005.11401</w:t>
      </w:r>
    </w:p>
    <w:p w14:paraId="5BA2B27F" w14:textId="77777777" w:rsidR="009E2D51" w:rsidRDefault="00000000" w:rsidP="003E15AA">
      <w:pPr>
        <w:ind w:left="567" w:hanging="567"/>
        <w:contextualSpacing/>
      </w:pPr>
      <w:r>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p w14:paraId="0BA69E90" w14:textId="77777777" w:rsidR="009E2D51" w:rsidRDefault="00000000" w:rsidP="003E15AA">
      <w:pPr>
        <w:ind w:left="567" w:hanging="567"/>
        <w:contextualSpacing/>
      </w:pPr>
      <w:r>
        <w:rPr>
          <w:lang w:val="en-US"/>
        </w:rPr>
        <w:t xml:space="preserve">LI, Zhen, et al. VulDeePecker: A Deep Learning-Based System for Vulnerability Detection. </w:t>
      </w:r>
      <w:r>
        <w:t>En: Proceedings of NDSS, 2018. [Consulta: 23 de julio de 2026] Disponible en: https://arxiv.org/abs/1801.01681</w:t>
      </w:r>
    </w:p>
    <w:p w14:paraId="121DA76C" w14:textId="77777777" w:rsidR="009E2D51" w:rsidRDefault="00000000" w:rsidP="003E15AA">
      <w:pPr>
        <w:ind w:left="567" w:hanging="567"/>
        <w:contextualSpacing/>
      </w:pPr>
      <w:r>
        <w:rPr>
          <w:lang w:val="en-US"/>
        </w:rPr>
        <w:t xml:space="preserve">MIKOLOV, Tomáš, et al. Efficient Estimation of Word Representations in Vector Space. arXiv:1301.3781 [en línea] 2013. </w:t>
      </w:r>
      <w:r>
        <w:t>[Consulta: 23 de julio de 2026] Disponible en: https://arxiv.org/abs/1301.3781</w:t>
      </w:r>
    </w:p>
    <w:p w14:paraId="16AC9B0D" w14:textId="77777777" w:rsidR="009E2D51" w:rsidRDefault="00000000" w:rsidP="003E15AA">
      <w:pPr>
        <w:ind w:left="567" w:hanging="567"/>
        <w:contextualSpacing/>
      </w:pPr>
      <w:r>
        <w:rPr>
          <w:lang w:val="en-US"/>
        </w:rPr>
        <w:lastRenderedPageBreak/>
        <w:t xml:space="preserve">PEARCE, Hammond, et al. Examining Zero-Shot Vulnerability Repair with Large Language Models. </w:t>
      </w:r>
      <w:r>
        <w:t>En: Proceedings of IEEE S&amp;P, 2023. pp. 2339-2356. [Consulta: 23 de julio de 2026] Disponible en: https://arxiv.org/abs/2112.02125</w:t>
      </w:r>
    </w:p>
    <w:p w14:paraId="76C4F9C4" w14:textId="77777777" w:rsidR="009E2D51" w:rsidRDefault="00000000" w:rsidP="003E15AA">
      <w:pPr>
        <w:ind w:left="567" w:hanging="567"/>
        <w:contextualSpacing/>
      </w:pPr>
      <w:r>
        <w:rPr>
          <w:lang w:val="en-US"/>
        </w:rPr>
        <w:t xml:space="preserve">REIMERS, Nils y GUREVYCH, Iryna. Sentence-BERT: Sentence Embeddings using Siamese BERT-Networks. </w:t>
      </w:r>
      <w:r>
        <w:t>En: Proceedings of EMNLP, 2019. pp. 3982-3992. [Consulta: 23 de julio de 2026] Disponible en: https://arxiv.org/abs/1908.10084</w:t>
      </w:r>
    </w:p>
    <w:p w14:paraId="7DAECF4F" w14:textId="77777777" w:rsidR="009E2D51" w:rsidRDefault="00000000" w:rsidP="003E15AA">
      <w:pPr>
        <w:ind w:left="567" w:hanging="567"/>
        <w:contextualSpacing/>
      </w:pPr>
      <w:r>
        <w:rPr>
          <w:lang w:val="en-US"/>
        </w:rPr>
        <w:t xml:space="preserve">TOUVRON, Hugo, et al. Llama 2: Open Foundation and Fine-Tuned Chat Models. arXiv:2307.09288 [en línea] 2023. </w:t>
      </w:r>
      <w:r>
        <w:t>[Consulta: 23 de julio de 2026] Disponible en: https://arxiv.org/abs/2307.09288</w:t>
      </w:r>
    </w:p>
    <w:p w14:paraId="3653F453" w14:textId="77777777" w:rsidR="009E2D51" w:rsidRDefault="00000000" w:rsidP="003E15AA">
      <w:pPr>
        <w:ind w:left="567" w:hanging="567"/>
        <w:contextualSpacing/>
      </w:pPr>
      <w:r>
        <w:rPr>
          <w:lang w:val="en-US"/>
        </w:rPr>
        <w:t xml:space="preserve">VASWANI, Ashish, et al. Attention Is All You Need. En: Advances in Neural Information Processing Systems, vol. 30, 2017. </w:t>
      </w:r>
      <w:r>
        <w:t>[Consulta: 23 de julio de 2026] Disponible en: https://arxiv.org/abs/1706.03762</w:t>
      </w:r>
    </w:p>
    <w:p w14:paraId="4DD0D9E9" w14:textId="77777777" w:rsidR="009E2D51" w:rsidRDefault="00000000" w:rsidP="003E15AA">
      <w:pPr>
        <w:ind w:left="567" w:hanging="567"/>
        <w:contextualSpacing/>
      </w:pPr>
      <w:r>
        <w:rPr>
          <w:lang w:val="en-US"/>
        </w:rPr>
        <w:t xml:space="preserve">VIGLIANISI, Emanuele, et al. RESTTESTGEN: Automated Black-Box Testing of RESTful API. </w:t>
      </w:r>
      <w:r>
        <w:t>En: Proceedings of IEEE ICST, 2020. pp. 367-377. [Consulta: 23 de julio de 2026] Disponible en: https://ieeexplore.ieee.org/document/9159077</w:t>
      </w:r>
    </w:p>
    <w:p w14:paraId="60449D9A" w14:textId="77777777" w:rsidR="009E2D51" w:rsidRDefault="00000000" w:rsidP="003E15AA">
      <w:pPr>
        <w:ind w:left="567" w:hanging="567"/>
        <w:contextualSpacing/>
      </w:pPr>
      <w:r>
        <w:rPr>
          <w:lang w:val="en-US"/>
        </w:rPr>
        <w:t xml:space="preserve">ZHOU, Yaqin, et al. Devign: Effective Vulnerability Identification by Learning Comprehensive Program Semantics via Graph Neural Networks. </w:t>
      </w:r>
      <w:r>
        <w:t>En: Advances in Neural Information Processing Systems, vol. 32, 2019. [Consulta: 23 de julio de 2026] Disponible en: https://arxiv.org/abs/1909.03496</w:t>
      </w:r>
    </w:p>
    <w:sectPr w:rsidR="009E2D51">
      <w:footerReference w:type="default" r:id="rId14"/>
      <w:pgSz w:w="12240" w:h="15840"/>
      <w:pgMar w:top="1418" w:right="1418" w:bottom="1418" w:left="1985"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URA LORENA CRUZ RIVAS" w:date="2026-07-29T18:54:00Z" w:initials="ALCR">
    <w:p w14:paraId="24C720B6" w14:textId="77777777" w:rsidR="00CA0E2B" w:rsidRDefault="00CA0E2B" w:rsidP="00CA0E2B">
      <w:pPr>
        <w:jc w:val="left"/>
      </w:pPr>
      <w:r>
        <w:rPr>
          <w:rStyle w:val="CommentReference"/>
        </w:rPr>
        <w:annotationRef/>
      </w:r>
      <w:r>
        <w:rPr>
          <w:sz w:val="20"/>
          <w:szCs w:val="20"/>
        </w:rPr>
        <w:t>Didvin:</w:t>
      </w:r>
    </w:p>
    <w:p w14:paraId="063EBE76" w14:textId="77777777" w:rsidR="00CA0E2B" w:rsidRDefault="00CA0E2B" w:rsidP="00CA0E2B">
      <w:pPr>
        <w:jc w:val="left"/>
      </w:pPr>
      <w:r>
        <w:rPr>
          <w:sz w:val="20"/>
          <w:szCs w:val="20"/>
        </w:rPr>
        <w:t>Para hacer las correcciones, por favor sigue las instrucciones listadas a continuación:</w:t>
      </w:r>
    </w:p>
    <w:p w14:paraId="301D6E43" w14:textId="77777777" w:rsidR="00CA0E2B" w:rsidRDefault="00CA0E2B" w:rsidP="00CA0E2B">
      <w:pPr>
        <w:jc w:val="left"/>
      </w:pPr>
    </w:p>
    <w:p w14:paraId="741BDF6C" w14:textId="77777777" w:rsidR="00CA0E2B" w:rsidRDefault="00CA0E2B" w:rsidP="00CA0E2B">
      <w:pPr>
        <w:jc w:val="left"/>
      </w:pPr>
      <w:r>
        <w:rPr>
          <w:sz w:val="20"/>
          <w:szCs w:val="20"/>
        </w:rPr>
        <w:t>1. Trabaja las correcciones sobre este mismo documento.</w:t>
      </w:r>
    </w:p>
    <w:p w14:paraId="6C571F54" w14:textId="77777777" w:rsidR="00CA0E2B" w:rsidRDefault="00CA0E2B" w:rsidP="00CA0E2B">
      <w:pPr>
        <w:jc w:val="left"/>
      </w:pPr>
      <w:r>
        <w:rPr>
          <w:sz w:val="20"/>
          <w:szCs w:val="20"/>
        </w:rPr>
        <w:t>2. Por favor no borres mis comentarios así será más fácil ubicar las correcciones y mi trabajo será más eficiente.</w:t>
      </w:r>
    </w:p>
    <w:p w14:paraId="517996B9" w14:textId="77777777" w:rsidR="00CA0E2B" w:rsidRDefault="00CA0E2B" w:rsidP="00CA0E2B">
      <w:pPr>
        <w:jc w:val="left"/>
      </w:pPr>
      <w:r>
        <w:rPr>
          <w:sz w:val="20"/>
          <w:szCs w:val="20"/>
        </w:rPr>
        <w:t>3. Cuando me devuelvas el archivo, sólo cámbiale la fecha</w:t>
      </w:r>
    </w:p>
  </w:comment>
  <w:comment w:id="1" w:author="AURA LORENA CRUZ RIVAS" w:date="2026-07-29T18:41:00Z" w:initials="ALCR">
    <w:p w14:paraId="48C7F0BD" w14:textId="77777777" w:rsidR="00B5669C" w:rsidRDefault="00B5669C" w:rsidP="00B5669C">
      <w:pPr>
        <w:jc w:val="left"/>
      </w:pPr>
      <w:r>
        <w:rPr>
          <w:rStyle w:val="CommentReference"/>
        </w:rPr>
        <w:annotationRef/>
      </w:r>
      <w:r>
        <w:rPr>
          <w:sz w:val="20"/>
          <w:szCs w:val="20"/>
        </w:rPr>
        <w:t>¿fecha?</w:t>
      </w:r>
    </w:p>
  </w:comment>
  <w:comment w:id="2" w:author="AURA LORENA CRUZ RIVAS" w:date="2026-07-29T18:15:00Z" w:initials="ALCR">
    <w:p w14:paraId="5D52BF1A" w14:textId="77777777" w:rsidR="003E15AA" w:rsidRDefault="003E15AA" w:rsidP="003E15AA">
      <w:pPr>
        <w:jc w:val="left"/>
      </w:pPr>
      <w:r>
        <w:rPr>
          <w:rStyle w:val="CommentReference"/>
        </w:rPr>
        <w:annotationRef/>
      </w:r>
      <w:r>
        <w:rPr>
          <w:sz w:val="20"/>
          <w:szCs w:val="20"/>
        </w:rPr>
        <w:t>La sangría debe ser de 5 espacios, como esta que te dejo aquí de ejemplo. Corrígelas en todo el trabajo.</w:t>
      </w:r>
    </w:p>
  </w:comment>
  <w:comment w:id="3" w:author="AURA LORENA CRUZ RIVAS" w:date="2026-07-29T18:41:00Z" w:initials="ALCR">
    <w:p w14:paraId="647D1C51" w14:textId="77777777" w:rsidR="00B5669C" w:rsidRDefault="00B5669C" w:rsidP="00B5669C">
      <w:pPr>
        <w:jc w:val="left"/>
      </w:pPr>
      <w:r>
        <w:rPr>
          <w:rStyle w:val="CommentReference"/>
        </w:rPr>
        <w:annotationRef/>
      </w:r>
      <w:r>
        <w:rPr>
          <w:sz w:val="20"/>
          <w:szCs w:val="20"/>
        </w:rPr>
        <w:t>innecesario</w:t>
      </w:r>
    </w:p>
  </w:comment>
  <w:comment w:id="4" w:author="AURA LORENA CRUZ RIVAS" w:date="2026-07-29T18:42:00Z" w:initials="ALCR">
    <w:p w14:paraId="7D796EF5" w14:textId="77777777" w:rsidR="00B5669C" w:rsidRDefault="00B5669C" w:rsidP="00B5669C">
      <w:pPr>
        <w:jc w:val="left"/>
      </w:pPr>
      <w:r>
        <w:rPr>
          <w:rStyle w:val="CommentReference"/>
        </w:rPr>
        <w:annotationRef/>
      </w:r>
      <w:r>
        <w:rPr>
          <w:sz w:val="20"/>
          <w:szCs w:val="20"/>
        </w:rPr>
        <w:t>No es correcto poner doble cita. Hay que colocarlas individualmente. Corrige todas las que tengas así en el trabajo</w:t>
      </w:r>
    </w:p>
  </w:comment>
  <w:comment w:id="5" w:author="AURA LORENA CRUZ RIVAS" w:date="2026-07-29T18:17:00Z" w:initials="ALCR">
    <w:p w14:paraId="555A1547" w14:textId="77777777" w:rsidR="003424B8" w:rsidRDefault="003424B8" w:rsidP="003424B8">
      <w:pPr>
        <w:jc w:val="left"/>
      </w:pPr>
      <w:r>
        <w:rPr>
          <w:rStyle w:val="CommentReference"/>
        </w:rPr>
        <w:annotationRef/>
      </w:r>
      <w:r>
        <w:rPr>
          <w:sz w:val="20"/>
          <w:szCs w:val="20"/>
        </w:rPr>
        <w:t>No negrilla</w:t>
      </w:r>
    </w:p>
    <w:p w14:paraId="7BEF315C" w14:textId="77777777" w:rsidR="003424B8" w:rsidRDefault="003424B8" w:rsidP="003424B8">
      <w:pPr>
        <w:jc w:val="left"/>
      </w:pPr>
    </w:p>
    <w:p w14:paraId="22459E32" w14:textId="77777777" w:rsidR="003424B8" w:rsidRDefault="003424B8" w:rsidP="003424B8">
      <w:pPr>
        <w:jc w:val="left"/>
      </w:pPr>
      <w:r>
        <w:rPr>
          <w:sz w:val="20"/>
          <w:szCs w:val="20"/>
        </w:rPr>
        <w:t>Debes colocarle un recuadro a la figura.</w:t>
      </w:r>
    </w:p>
    <w:p w14:paraId="63D29CBC" w14:textId="77777777" w:rsidR="003424B8" w:rsidRDefault="003424B8" w:rsidP="003424B8">
      <w:pPr>
        <w:jc w:val="left"/>
      </w:pPr>
    </w:p>
    <w:p w14:paraId="63C8B8F9" w14:textId="77777777" w:rsidR="003424B8" w:rsidRDefault="003424B8" w:rsidP="003424B8">
      <w:pPr>
        <w:jc w:val="left"/>
      </w:pPr>
      <w:r>
        <w:rPr>
          <w:sz w:val="20"/>
          <w:szCs w:val="20"/>
        </w:rPr>
        <w:t>Y lo más importante, debes escribir una introducción antes de la figura, por lo menos para explicar por qué está allí</w:t>
      </w:r>
    </w:p>
  </w:comment>
  <w:comment w:id="6" w:author="AURA LORENA CRUZ RIVAS" w:date="2026-07-29T18:19:00Z" w:initials="ALCR">
    <w:p w14:paraId="0818AF1F" w14:textId="77777777" w:rsidR="003424B8" w:rsidRDefault="003424B8" w:rsidP="003424B8">
      <w:pPr>
        <w:jc w:val="left"/>
      </w:pPr>
      <w:r>
        <w:rPr>
          <w:rStyle w:val="CommentReference"/>
        </w:rPr>
        <w:annotationRef/>
      </w:r>
      <w:r>
        <w:rPr>
          <w:sz w:val="20"/>
          <w:szCs w:val="20"/>
        </w:rPr>
        <w:t>Las palabras que escriba en rojo no van con mayúsculas</w:t>
      </w:r>
    </w:p>
    <w:p w14:paraId="3602DEC7" w14:textId="77777777" w:rsidR="003424B8" w:rsidRDefault="003424B8" w:rsidP="003424B8">
      <w:pPr>
        <w:jc w:val="left"/>
      </w:pPr>
    </w:p>
    <w:p w14:paraId="272939B5" w14:textId="77777777" w:rsidR="003424B8" w:rsidRDefault="003424B8" w:rsidP="003424B8">
      <w:pPr>
        <w:jc w:val="left"/>
      </w:pPr>
      <w:r>
        <w:rPr>
          <w:sz w:val="20"/>
          <w:szCs w:val="20"/>
        </w:rPr>
        <w:t>Las palabras resaltadas en verde van con cursiva. Corregir todas las web y otras que aparezcan por allí</w:t>
      </w:r>
    </w:p>
    <w:p w14:paraId="73979E2E" w14:textId="77777777" w:rsidR="003424B8" w:rsidRDefault="003424B8" w:rsidP="003424B8">
      <w:pPr>
        <w:jc w:val="left"/>
      </w:pPr>
    </w:p>
    <w:p w14:paraId="3C231DE9" w14:textId="77777777" w:rsidR="003424B8" w:rsidRDefault="003424B8" w:rsidP="003424B8">
      <w:pPr>
        <w:jc w:val="left"/>
      </w:pPr>
      <w:r>
        <w:rPr>
          <w:sz w:val="20"/>
          <w:szCs w:val="20"/>
        </w:rPr>
        <w:t>Los acrónimos no tienen plural. Corregir todas las APIs que haya.</w:t>
      </w:r>
    </w:p>
  </w:comment>
  <w:comment w:id="7" w:author="AURA LORENA CRUZ RIVAS" w:date="2026-07-29T18:39:00Z" w:initials="ALCR">
    <w:p w14:paraId="36CF440C" w14:textId="77777777" w:rsidR="00A641D3" w:rsidRDefault="00A641D3" w:rsidP="00A641D3">
      <w:pPr>
        <w:jc w:val="left"/>
      </w:pPr>
      <w:r>
        <w:rPr>
          <w:rStyle w:val="CommentReference"/>
        </w:rPr>
        <w:annotationRef/>
      </w:r>
      <w:r>
        <w:rPr>
          <w:sz w:val="20"/>
          <w:szCs w:val="20"/>
        </w:rPr>
        <w:t>Busca en el manual cómo debes citar cuando repites una fuente</w:t>
      </w:r>
    </w:p>
    <w:p w14:paraId="48725C85" w14:textId="77777777" w:rsidR="00A641D3" w:rsidRDefault="00A641D3" w:rsidP="00A641D3">
      <w:pPr>
        <w:jc w:val="left"/>
      </w:pPr>
    </w:p>
    <w:p w14:paraId="73476324" w14:textId="77777777" w:rsidR="00A641D3" w:rsidRDefault="00A641D3" w:rsidP="00A641D3">
      <w:pPr>
        <w:jc w:val="left"/>
      </w:pPr>
      <w:r>
        <w:rPr>
          <w:sz w:val="20"/>
          <w:szCs w:val="20"/>
        </w:rPr>
        <w:t>Yo te marqué algunas pero tienes varias que citas varias veces. Hay que corregir las citas al pie entonces.</w:t>
      </w:r>
    </w:p>
  </w:comment>
  <w:comment w:id="8" w:author="AURA LORENA CRUZ RIVAS" w:date="2026-07-29T18:20:00Z" w:initials="ALCR">
    <w:p w14:paraId="5A3FBC9F" w14:textId="77777777" w:rsidR="003424B8" w:rsidRDefault="003424B8" w:rsidP="003424B8">
      <w:pPr>
        <w:jc w:val="left"/>
      </w:pPr>
      <w:r>
        <w:rPr>
          <w:rStyle w:val="CommentReference"/>
        </w:rPr>
        <w:annotationRef/>
      </w:r>
      <w:r>
        <w:rPr>
          <w:sz w:val="20"/>
          <w:szCs w:val="20"/>
        </w:rPr>
        <w:t>esta tampoco se pone en plural.</w:t>
      </w:r>
    </w:p>
  </w:comment>
  <w:comment w:id="9" w:author="AURA LORENA CRUZ RIVAS" w:date="2026-07-29T18:30:00Z" w:initials="ALCR">
    <w:p w14:paraId="13C0125E" w14:textId="77777777" w:rsidR="005D127F" w:rsidRDefault="005D127F" w:rsidP="005D127F">
      <w:pPr>
        <w:jc w:val="left"/>
      </w:pPr>
      <w:r>
        <w:rPr>
          <w:rStyle w:val="CommentReference"/>
        </w:rPr>
        <w:annotationRef/>
      </w:r>
      <w:r>
        <w:rPr>
          <w:sz w:val="20"/>
          <w:szCs w:val="20"/>
        </w:rPr>
        <w:t>No negrilla</w:t>
      </w:r>
    </w:p>
    <w:p w14:paraId="6907FA9D" w14:textId="77777777" w:rsidR="005D127F" w:rsidRDefault="005D127F" w:rsidP="005D127F">
      <w:pPr>
        <w:jc w:val="left"/>
      </w:pPr>
      <w:r>
        <w:rPr>
          <w:sz w:val="20"/>
          <w:szCs w:val="20"/>
        </w:rPr>
        <w:t>Colocarle recuadro a la figura</w:t>
      </w:r>
    </w:p>
  </w:comment>
  <w:comment w:id="10" w:author="AURA LORENA CRUZ RIVAS" w:date="2026-07-29T18:46:00Z" w:initials="ALCR">
    <w:p w14:paraId="3F5168F3" w14:textId="77777777" w:rsidR="00B5669C" w:rsidRDefault="00B5669C" w:rsidP="00B5669C">
      <w:pPr>
        <w:jc w:val="left"/>
      </w:pPr>
      <w:r>
        <w:rPr>
          <w:rStyle w:val="CommentReference"/>
        </w:rPr>
        <w:annotationRef/>
      </w:r>
      <w:r>
        <w:rPr>
          <w:sz w:val="20"/>
          <w:szCs w:val="20"/>
        </w:rPr>
        <w:t>esta parte no está citada</w:t>
      </w:r>
    </w:p>
  </w:comment>
  <w:comment w:id="11" w:author="AURA LORENA CRUZ RIVAS" w:date="2026-07-29T18:47:00Z" w:initials="ALCR">
    <w:p w14:paraId="6D9F60EE" w14:textId="77777777" w:rsidR="00B5669C" w:rsidRDefault="00B5669C" w:rsidP="00B5669C">
      <w:pPr>
        <w:jc w:val="left"/>
      </w:pPr>
      <w:r>
        <w:rPr>
          <w:rStyle w:val="CommentReference"/>
        </w:rPr>
        <w:annotationRef/>
      </w:r>
      <w:r>
        <w:rPr>
          <w:sz w:val="20"/>
          <w:szCs w:val="20"/>
        </w:rPr>
        <w:t>Cambié la numeración por viñetas</w:t>
      </w:r>
    </w:p>
  </w:comment>
  <w:comment w:id="12" w:author="AURA LORENA CRUZ RIVAS" w:date="2026-07-29T18:34:00Z" w:initials="ALCR">
    <w:p w14:paraId="6A8B0684" w14:textId="77777777" w:rsidR="005D127F" w:rsidRDefault="005D127F" w:rsidP="005D127F">
      <w:pPr>
        <w:jc w:val="left"/>
      </w:pPr>
      <w:r>
        <w:rPr>
          <w:rStyle w:val="CommentReference"/>
        </w:rPr>
        <w:annotationRef/>
      </w:r>
      <w:r>
        <w:rPr>
          <w:sz w:val="20"/>
          <w:szCs w:val="20"/>
        </w:rPr>
        <w:t>No negrilla</w:t>
      </w:r>
    </w:p>
  </w:comment>
  <w:comment w:id="13" w:author="AURA LORENA CRUZ RIVAS" w:date="2026-07-29T18:34:00Z" w:initials="ALCR">
    <w:p w14:paraId="50CDF0B1" w14:textId="77777777" w:rsidR="005D127F" w:rsidRDefault="005D127F" w:rsidP="005D127F">
      <w:pPr>
        <w:jc w:val="left"/>
      </w:pPr>
      <w:r>
        <w:rPr>
          <w:rStyle w:val="CommentReference"/>
        </w:rPr>
        <w:annotationRef/>
      </w:r>
      <w:r>
        <w:rPr>
          <w:sz w:val="20"/>
          <w:szCs w:val="20"/>
        </w:rPr>
        <w:t>tamaño 10</w:t>
      </w:r>
    </w:p>
  </w:comment>
  <w:comment w:id="14" w:author="AURA LORENA CRUZ RIVAS" w:date="2026-07-29T18:34:00Z" w:initials="ALCR">
    <w:p w14:paraId="7CF024BE" w14:textId="77777777" w:rsidR="005D127F" w:rsidRDefault="005D127F" w:rsidP="005D127F">
      <w:pPr>
        <w:jc w:val="left"/>
      </w:pPr>
      <w:r>
        <w:rPr>
          <w:rStyle w:val="CommentReference"/>
        </w:rPr>
        <w:annotationRef/>
      </w:r>
      <w:r>
        <w:rPr>
          <w:sz w:val="20"/>
          <w:szCs w:val="20"/>
        </w:rPr>
        <w:t>no negrilla</w:t>
      </w:r>
    </w:p>
  </w:comment>
  <w:comment w:id="15" w:author="AURA LORENA CRUZ RIVAS" w:date="2026-07-29T18:34:00Z" w:initials="ALCR">
    <w:p w14:paraId="2EB94C40" w14:textId="77777777" w:rsidR="005D127F" w:rsidRDefault="005D127F" w:rsidP="005D127F">
      <w:pPr>
        <w:jc w:val="left"/>
      </w:pPr>
      <w:r>
        <w:rPr>
          <w:rStyle w:val="CommentReference"/>
        </w:rPr>
        <w:annotationRef/>
      </w:r>
      <w:r>
        <w:rPr>
          <w:sz w:val="20"/>
          <w:szCs w:val="20"/>
        </w:rPr>
        <w:t>tamaño 10</w:t>
      </w:r>
    </w:p>
  </w:comment>
  <w:comment w:id="16" w:author="AURA LORENA CRUZ RIVAS" w:date="2026-07-29T18:51:00Z" w:initials="ALCR">
    <w:p w14:paraId="226D58DE" w14:textId="77777777" w:rsidR="00CA0E2B" w:rsidRDefault="00CA0E2B" w:rsidP="00CA0E2B">
      <w:pPr>
        <w:jc w:val="left"/>
      </w:pPr>
      <w:r>
        <w:rPr>
          <w:rStyle w:val="CommentReference"/>
        </w:rPr>
        <w:annotationRef/>
      </w:r>
      <w:r>
        <w:rPr>
          <w:sz w:val="20"/>
          <w:szCs w:val="20"/>
        </w:rPr>
        <w:t>Por ser un procedimiento, es una serie de pasos. Modifícalo para que quede como listado. Cuando lo hayas corregido, lo revisaré.</w:t>
      </w:r>
    </w:p>
  </w:comment>
  <w:comment w:id="17" w:author="AURA LORENA CRUZ RIVAS" w:date="2026-07-29T18:35:00Z" w:initials="ALCR">
    <w:p w14:paraId="596AF473" w14:textId="77777777" w:rsidR="005D127F" w:rsidRDefault="005D127F" w:rsidP="005D127F">
      <w:pPr>
        <w:jc w:val="left"/>
      </w:pPr>
      <w:r>
        <w:rPr>
          <w:rStyle w:val="CommentReference"/>
        </w:rPr>
        <w:annotationRef/>
      </w:r>
      <w:r>
        <w:rPr>
          <w:sz w:val="20"/>
          <w:szCs w:val="20"/>
        </w:rPr>
        <w:t>no negrilla</w:t>
      </w:r>
    </w:p>
  </w:comment>
  <w:comment w:id="18" w:author="AURA LORENA CRUZ RIVAS" w:date="2026-07-29T18:35:00Z" w:initials="ALCR">
    <w:p w14:paraId="16D82366" w14:textId="77777777" w:rsidR="005D127F" w:rsidRDefault="005D127F" w:rsidP="005D127F">
      <w:pPr>
        <w:jc w:val="left"/>
      </w:pPr>
      <w:r>
        <w:rPr>
          <w:rStyle w:val="CommentReference"/>
        </w:rPr>
        <w:annotationRef/>
      </w:r>
      <w:r>
        <w:rPr>
          <w:sz w:val="20"/>
          <w:szCs w:val="20"/>
        </w:rPr>
        <w:t>tamaño 10</w:t>
      </w:r>
    </w:p>
  </w:comment>
  <w:comment w:id="19" w:author="AURA LORENA CRUZ RIVAS" w:date="2026-07-29T18:37:00Z" w:initials="ALCR">
    <w:p w14:paraId="52B0278F" w14:textId="77777777" w:rsidR="005D127F" w:rsidRDefault="005D127F" w:rsidP="005D127F">
      <w:pPr>
        <w:jc w:val="left"/>
      </w:pPr>
      <w:r>
        <w:rPr>
          <w:rStyle w:val="CommentReference"/>
        </w:rPr>
        <w:annotationRef/>
      </w:r>
      <w:r>
        <w:rPr>
          <w:sz w:val="20"/>
          <w:szCs w:val="20"/>
        </w:rPr>
        <w:t>Según las categorías explicadas en el manual de enteproyecto, todas tus fuentes son documentos electrónicos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7996B9" w15:done="0"/>
  <w15:commentEx w15:paraId="48C7F0BD" w15:done="0"/>
  <w15:commentEx w15:paraId="5D52BF1A" w15:done="0"/>
  <w15:commentEx w15:paraId="647D1C51" w15:done="0"/>
  <w15:commentEx w15:paraId="7D796EF5" w15:done="0"/>
  <w15:commentEx w15:paraId="63C8B8F9" w15:done="0"/>
  <w15:commentEx w15:paraId="3C231DE9" w15:done="0"/>
  <w15:commentEx w15:paraId="73476324" w15:done="0"/>
  <w15:commentEx w15:paraId="5A3FBC9F" w15:done="0"/>
  <w15:commentEx w15:paraId="6907FA9D" w15:done="0"/>
  <w15:commentEx w15:paraId="3F5168F3" w15:done="0"/>
  <w15:commentEx w15:paraId="6D9F60EE" w15:done="0"/>
  <w15:commentEx w15:paraId="6A8B0684" w15:done="0"/>
  <w15:commentEx w15:paraId="50CDF0B1" w15:done="0"/>
  <w15:commentEx w15:paraId="7CF024BE" w15:done="0"/>
  <w15:commentEx w15:paraId="2EB94C40" w15:done="0"/>
  <w15:commentEx w15:paraId="226D58DE" w15:done="0"/>
  <w15:commentEx w15:paraId="596AF473" w15:done="0"/>
  <w15:commentEx w15:paraId="16D82366" w15:done="0"/>
  <w15:commentEx w15:paraId="52B027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8E29646" w16cex:dateUtc="2026-07-30T00:54:00Z"/>
  <w16cex:commentExtensible w16cex:durableId="5FC8253C" w16cex:dateUtc="2026-07-30T00:41:00Z"/>
  <w16cex:commentExtensible w16cex:durableId="162F93FE" w16cex:dateUtc="2026-07-30T00:15:00Z"/>
  <w16cex:commentExtensible w16cex:durableId="51600429" w16cex:dateUtc="2026-07-30T00:41:00Z"/>
  <w16cex:commentExtensible w16cex:durableId="2DAEFE94" w16cex:dateUtc="2026-07-30T00:42:00Z"/>
  <w16cex:commentExtensible w16cex:durableId="1494DFDD" w16cex:dateUtc="2026-07-30T00:17:00Z"/>
  <w16cex:commentExtensible w16cex:durableId="017608A4" w16cex:dateUtc="2026-07-30T00:19:00Z"/>
  <w16cex:commentExtensible w16cex:durableId="1C2CAF8D" w16cex:dateUtc="2026-07-30T00:39:00Z"/>
  <w16cex:commentExtensible w16cex:durableId="45D451FF" w16cex:dateUtc="2026-07-30T00:20:00Z"/>
  <w16cex:commentExtensible w16cex:durableId="6B76B4B0" w16cex:dateUtc="2026-07-30T00:30:00Z"/>
  <w16cex:commentExtensible w16cex:durableId="26C13830" w16cex:dateUtc="2026-07-30T00:46:00Z"/>
  <w16cex:commentExtensible w16cex:durableId="76D1E080" w16cex:dateUtc="2026-07-30T00:47:00Z"/>
  <w16cex:commentExtensible w16cex:durableId="3043F306" w16cex:dateUtc="2026-07-30T00:34:00Z"/>
  <w16cex:commentExtensible w16cex:durableId="1308C7BD" w16cex:dateUtc="2026-07-30T00:34:00Z"/>
  <w16cex:commentExtensible w16cex:durableId="65FD5324" w16cex:dateUtc="2026-07-30T00:34:00Z"/>
  <w16cex:commentExtensible w16cex:durableId="5857E009" w16cex:dateUtc="2026-07-30T00:34:00Z"/>
  <w16cex:commentExtensible w16cex:durableId="52006013" w16cex:dateUtc="2026-07-30T00:51:00Z"/>
  <w16cex:commentExtensible w16cex:durableId="7F94C377" w16cex:dateUtc="2026-07-30T00:35:00Z"/>
  <w16cex:commentExtensible w16cex:durableId="6D33A68C" w16cex:dateUtc="2026-07-30T00:35:00Z"/>
  <w16cex:commentExtensible w16cex:durableId="7657B461" w16cex:dateUtc="2026-07-30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7996B9" w16cid:durableId="38E29646"/>
  <w16cid:commentId w16cid:paraId="48C7F0BD" w16cid:durableId="5FC8253C"/>
  <w16cid:commentId w16cid:paraId="5D52BF1A" w16cid:durableId="162F93FE"/>
  <w16cid:commentId w16cid:paraId="647D1C51" w16cid:durableId="51600429"/>
  <w16cid:commentId w16cid:paraId="7D796EF5" w16cid:durableId="2DAEFE94"/>
  <w16cid:commentId w16cid:paraId="63C8B8F9" w16cid:durableId="1494DFDD"/>
  <w16cid:commentId w16cid:paraId="3C231DE9" w16cid:durableId="017608A4"/>
  <w16cid:commentId w16cid:paraId="73476324" w16cid:durableId="1C2CAF8D"/>
  <w16cid:commentId w16cid:paraId="5A3FBC9F" w16cid:durableId="45D451FF"/>
  <w16cid:commentId w16cid:paraId="6907FA9D" w16cid:durableId="6B76B4B0"/>
  <w16cid:commentId w16cid:paraId="3F5168F3" w16cid:durableId="26C13830"/>
  <w16cid:commentId w16cid:paraId="6D9F60EE" w16cid:durableId="76D1E080"/>
  <w16cid:commentId w16cid:paraId="6A8B0684" w16cid:durableId="3043F306"/>
  <w16cid:commentId w16cid:paraId="50CDF0B1" w16cid:durableId="1308C7BD"/>
  <w16cid:commentId w16cid:paraId="7CF024BE" w16cid:durableId="65FD5324"/>
  <w16cid:commentId w16cid:paraId="2EB94C40" w16cid:durableId="5857E009"/>
  <w16cid:commentId w16cid:paraId="226D58DE" w16cid:durableId="52006013"/>
  <w16cid:commentId w16cid:paraId="596AF473" w16cid:durableId="7F94C377"/>
  <w16cid:commentId w16cid:paraId="16D82366" w16cid:durableId="6D33A68C"/>
  <w16cid:commentId w16cid:paraId="52B0278F" w16cid:durableId="7657B4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34E13A" w14:textId="77777777" w:rsidR="001A072E" w:rsidRDefault="001A072E">
      <w:pPr>
        <w:spacing w:line="240" w:lineRule="auto"/>
      </w:pPr>
      <w:r>
        <w:separator/>
      </w:r>
    </w:p>
  </w:endnote>
  <w:endnote w:type="continuationSeparator" w:id="0">
    <w:p w14:paraId="6314854D" w14:textId="77777777" w:rsidR="001A072E" w:rsidRDefault="001A07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36D07" w14:textId="77777777" w:rsidR="009E2D51" w:rsidRDefault="00000000">
    <w:pPr>
      <w:jc w:val="right"/>
    </w:pPr>
    <w:r>
      <w:fldChar w:fldCharType="begin"/>
    </w:r>
    <w:r>
      <w:instrText>PAGE</w:instrText>
    </w:r>
    <w:r>
      <w:fldChar w:fldCharType="separate"/>
    </w:r>
    <w:r w:rsidR="001B1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D0A9E2" w14:textId="77777777" w:rsidR="001A072E" w:rsidRDefault="001A072E">
      <w:pPr>
        <w:spacing w:line="240" w:lineRule="auto"/>
      </w:pPr>
      <w:r>
        <w:separator/>
      </w:r>
    </w:p>
  </w:footnote>
  <w:footnote w:type="continuationSeparator" w:id="0">
    <w:p w14:paraId="07FBD19A" w14:textId="77777777" w:rsidR="001A072E" w:rsidRDefault="001A072E">
      <w:pPr>
        <w:spacing w:line="240" w:lineRule="auto"/>
      </w:pPr>
      <w:r>
        <w:continuationSeparator/>
      </w:r>
    </w:p>
  </w:footnote>
  <w:footnote w:id="1">
    <w:p w14:paraId="5F88FC53" w14:textId="77777777" w:rsidR="009E2D51" w:rsidRDefault="00000000">
      <w:pPr>
        <w:pStyle w:val="FootnoteText"/>
      </w:pPr>
      <w:r>
        <w:rPr>
          <w:rStyle w:val="FootnoteReferenc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2">
    <w:p w14:paraId="2544ECEC" w14:textId="77777777" w:rsidR="009E2D51" w:rsidRDefault="00000000">
      <w:pPr>
        <w:pStyle w:val="FootnoteText"/>
      </w:pPr>
      <w:r>
        <w:rPr>
          <w:rStyle w:val="FootnoteReference"/>
        </w:rPr>
        <w:footnoteRef/>
      </w:r>
      <w:r w:rsidRPr="001B18B0">
        <w:rPr>
          <w:lang w:val="en-US"/>
        </w:rPr>
        <w:t xml:space="preserve">OWASP Foundation. OWASP API Security Top 10 2023 [en línea] 2023. </w:t>
      </w:r>
      <w:r>
        <w:t>[Consulta: 23 de julio de 2026] Disponible en: https://owasp.org/API-Security/</w:t>
      </w:r>
    </w:p>
  </w:footnote>
  <w:footnote w:id="3">
    <w:p w14:paraId="6041DB5F" w14:textId="77777777" w:rsidR="009E2D51" w:rsidRDefault="00000000">
      <w:pPr>
        <w:pStyle w:val="FootnoteText"/>
      </w:pPr>
      <w:r>
        <w:rPr>
          <w:rStyle w:val="FootnoteReferenc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4">
    <w:p w14:paraId="5989A9D8" w14:textId="77777777" w:rsidR="009E2D51" w:rsidRDefault="00000000">
      <w:pPr>
        <w:pStyle w:val="FootnoteText"/>
      </w:pPr>
      <w:r>
        <w:rPr>
          <w:rStyle w:val="FootnoteReferenc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
    <w:p w14:paraId="1145B79C" w14:textId="77777777" w:rsidR="009E2D51" w:rsidRPr="001B18B0" w:rsidRDefault="00000000">
      <w:pPr>
        <w:pStyle w:val="FootnoteText"/>
        <w:rPr>
          <w:lang w:val="en-US"/>
        </w:rPr>
      </w:pPr>
      <w:r>
        <w:rPr>
          <w:rStyle w:val="FootnoteReferenc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
    <w:p w14:paraId="3AA1A3FA" w14:textId="77777777" w:rsidR="009E2D51" w:rsidRDefault="00000000">
      <w:pPr>
        <w:pStyle w:val="FootnoteText"/>
      </w:pPr>
      <w:r>
        <w:rPr>
          <w:rStyle w:val="FootnoteReferenc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
    <w:p w14:paraId="661C9286" w14:textId="77777777" w:rsidR="009E2D51" w:rsidRDefault="00000000">
      <w:pPr>
        <w:pStyle w:val="FootnoteText"/>
      </w:pPr>
      <w:r>
        <w:rPr>
          <w:rStyle w:val="FootnoteReference"/>
        </w:rPr>
        <w:footnoteRef/>
      </w:r>
      <w:r w:rsidRPr="001B18B0">
        <w:rPr>
          <w:lang w:val="en-US"/>
        </w:rPr>
        <w:t xml:space="preserve">JIANG, Albert Q., et al. </w:t>
      </w:r>
      <w:r>
        <w:t>Mistral 7B. arXiv:2310.06825 [en línea] 2023. [Consulta: 23 de julio de 2026] Disponible en: https://arxiv.org/abs/2310.06825</w:t>
      </w:r>
    </w:p>
  </w:footnote>
  <w:footnote w:id="8">
    <w:p w14:paraId="712DFD50" w14:textId="77777777" w:rsidR="009E2D51" w:rsidRDefault="00000000">
      <w:pPr>
        <w:pStyle w:val="FootnoteText"/>
      </w:pPr>
      <w:r>
        <w:rPr>
          <w:rStyle w:val="FootnoteReferenc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9">
    <w:p w14:paraId="0C5BCFB7" w14:textId="77777777" w:rsidR="009E2D51" w:rsidRDefault="00000000">
      <w:pPr>
        <w:pStyle w:val="FootnoteText"/>
      </w:pPr>
      <w:r>
        <w:rPr>
          <w:rStyle w:val="FootnoteReference"/>
        </w:rPr>
        <w:footnoteRef/>
      </w:r>
      <w:r w:rsidRPr="001B18B0">
        <w:rPr>
          <w:lang w:val="en-US"/>
        </w:rPr>
        <w:t xml:space="preserve">VIGLIANISI, Emanuele, et al. RESTTESTGEN: Automated Black-Box Testing of RESTful API. </w:t>
      </w:r>
      <w:r>
        <w:t>En: Proceedings of IEEE ICST, 2020. pp. 367-377. [Consulta: 23 de julio de 2026] Disponible en: https://ieeexplore.ieee.org/document/9159077</w:t>
      </w:r>
    </w:p>
  </w:footnote>
  <w:footnote w:id="10">
    <w:p w14:paraId="393C574E" w14:textId="77777777" w:rsidR="009E2D51" w:rsidRDefault="00000000">
      <w:pPr>
        <w:pStyle w:val="FootnoteText"/>
      </w:pPr>
      <w:r>
        <w:rPr>
          <w:rStyle w:val="FootnoteReferenc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11">
    <w:p w14:paraId="5AEE0B2C" w14:textId="77777777" w:rsidR="009E2D51" w:rsidRDefault="00000000">
      <w:pPr>
        <w:pStyle w:val="FootnoteText"/>
      </w:pPr>
      <w:r>
        <w:rPr>
          <w:rStyle w:val="FootnoteReference"/>
        </w:rPr>
        <w:footnoteRef/>
      </w:r>
      <w:r w:rsidRPr="001B18B0">
        <w:rPr>
          <w:lang w:val="en-US"/>
        </w:rPr>
        <w:t xml:space="preserve">TOUVRON, Op. Cit.</w:t>
      </w:r>
      <w:r>
        <w:t/>
      </w:r>
    </w:p>
  </w:footnote>
  <w:footnote w:id="12">
    <w:p w14:paraId="792F8DE4" w14:textId="77777777" w:rsidR="009E2D51" w:rsidRDefault="00000000">
      <w:pPr>
        <w:pStyle w:val="FootnoteText"/>
      </w:pPr>
      <w:r>
        <w:rPr>
          <w:rStyle w:val="FootnoteReference"/>
        </w:rPr>
        <w:footnoteRef/>
      </w:r>
      <w:r w:rsidRPr="001B18B0">
        <w:rPr>
          <w:lang w:val="en-US"/>
        </w:rPr>
        <w:t xml:space="preserve">JIANG, Op. Cit.</w:t>
      </w:r>
      <w:r>
        <w:t/>
      </w:r>
    </w:p>
  </w:footnote>
  <w:footnote w:id="13">
    <w:p w14:paraId="30636E26" w14:textId="77777777" w:rsidR="009E2D51" w:rsidRDefault="00000000">
      <w:pPr>
        <w:pStyle w:val="FootnoteText"/>
      </w:pPr>
      <w:r>
        <w:rPr>
          <w:rStyle w:val="FootnoteReferenc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14">
    <w:p w14:paraId="7185671E" w14:textId="77777777" w:rsidR="009E2D51" w:rsidRPr="005D127F" w:rsidRDefault="00000000">
      <w:pPr>
        <w:pStyle w:val="FootnoteText"/>
        <w:rPr>
          <w:color w:val="EE0000"/>
        </w:rPr>
      </w:pPr>
      <w:r w:rsidRPr="005D127F">
        <w:rPr>
          <w:rStyle w:val="FootnoteReference"/>
          <w:color w:val="EE0000"/>
        </w:rPr>
        <w:footnoteRef/>
      </w:r>
      <w:r w:rsidRPr="005D127F">
        <w:rPr>
          <w:color w:val="EE0000"/>
          <w:lang w:val="en-US"/>
        </w:rPr>
        <w:t xml:space="preserve">CHESS, Op. Cit.</w:t>
      </w:r>
      <w:r w:rsidRPr="005D127F">
        <w:rPr>
          <w:color w:val="EE0000"/>
        </w:rPr>
        <w:t/>
      </w:r>
    </w:p>
  </w:footnote>
  <w:footnote w:id="15">
    <w:p w14:paraId="25D1D666" w14:textId="77777777" w:rsidR="009E2D51" w:rsidRDefault="00000000">
      <w:pPr>
        <w:pStyle w:val="FootnoteText"/>
      </w:pPr>
      <w:r>
        <w:rPr>
          <w:rStyle w:val="FootnoteReference"/>
        </w:rPr>
        <w:footnoteRef/>
      </w:r>
      <w:r w:rsidRPr="001B18B0">
        <w:rPr>
          <w:lang w:val="en-US"/>
        </w:rPr>
        <w:t xml:space="preserve">VIGLIANISI, Op. Cit.</w:t>
      </w:r>
      <w:r>
        <w:t/>
      </w:r>
    </w:p>
  </w:footnote>
  <w:footnote w:id="16">
    <w:p w14:paraId="7E1ABB20" w14:textId="77777777" w:rsidR="009E2D51" w:rsidRDefault="00000000">
      <w:pPr>
        <w:pStyle w:val="FootnoteText"/>
      </w:pPr>
      <w:r>
        <w:rPr>
          <w:rStyle w:val="FootnoteReference"/>
        </w:rPr>
        <w:footnoteRef/>
      </w:r>
      <w:r w:rsidRPr="001B18B0">
        <w:rPr>
          <w:lang w:val="en-US"/>
        </w:rPr>
        <w:t xml:space="preserve">FIELDING, Op. Cit.</w:t>
      </w:r>
      <w:r>
        <w:t/>
      </w:r>
    </w:p>
  </w:footnote>
  <w:footnote w:id="17">
    <w:p w14:paraId="6289C40B"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CHESS, Op. Cit.</w:t>
      </w:r>
      <w:r w:rsidRPr="003424B8">
        <w:rPr>
          <w:color w:val="EE0000"/>
        </w:rPr>
        <w:t/>
      </w:r>
    </w:p>
  </w:footnote>
  <w:footnote w:id="18">
    <w:p w14:paraId="5A32B8C7" w14:textId="77777777" w:rsidR="009E2D51" w:rsidRDefault="00000000">
      <w:pPr>
        <w:pStyle w:val="FootnoteText"/>
      </w:pPr>
      <w:r>
        <w:rPr>
          <w:rStyle w:val="FootnoteReference"/>
        </w:rPr>
        <w:footnoteRef/>
      </w:r>
      <w:r w:rsidRPr="001B18B0">
        <w:rPr>
          <w:lang w:val="en-US"/>
        </w:rPr>
        <w:t xml:space="preserve">ATLIDAKIS, Op. Cit.</w:t>
      </w:r>
      <w:r>
        <w:t/>
      </w:r>
    </w:p>
  </w:footnote>
  <w:footnote w:id="19">
    <w:p w14:paraId="66E7A1E0" w14:textId="77777777" w:rsidR="009E2D51" w:rsidRPr="001B18B0" w:rsidRDefault="00000000">
      <w:pPr>
        <w:pStyle w:val="FootnoteText"/>
        <w:rPr>
          <w:lang w:val="en-US"/>
        </w:rPr>
      </w:pPr>
      <w:r>
        <w:rPr>
          <w:rStyle w:val="FootnoteReference"/>
        </w:rPr>
        <w:footnoteRef/>
      </w:r>
      <w:r w:rsidRPr="001B18B0">
        <w:rPr>
          <w:lang w:val="en-US"/>
        </w:rPr>
        <w:t>ZHOU, Yaqin, et al. Devign: Effective Vulnerability Identification by Learning Comprehensive Program Semantics via Graph Neural Networks. En: Advances in Neural Information Processing Systems, vol. 32, 2019. [Consulta: 23 de julio de 2026] Disponible en: https://arxiv.org/abs/1909.03496</w:t>
      </w:r>
    </w:p>
  </w:footnote>
  <w:footnote w:id="20">
    <w:p w14:paraId="5F3A0AAE"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OWASP Foundation, Op. Cit.</w:t>
      </w:r>
      <w:r w:rsidRPr="00A641D3">
        <w:rPr>
          <w:color w:val="EE0000"/>
        </w:rPr>
        <w:t/>
      </w:r>
    </w:p>
  </w:footnote>
  <w:footnote w:id="21">
    <w:p w14:paraId="50B89C29"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Ibid.</w:t>
      </w:r>
      <w:r w:rsidRPr="00A641D3">
        <w:rPr>
          <w:color w:val="EE0000"/>
        </w:rPr>
        <w:t/>
      </w:r>
    </w:p>
  </w:footnote>
  <w:footnote w:id="22">
    <w:p w14:paraId="554BC0C3"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Ibid.</w:t>
      </w:r>
      <w:r w:rsidRPr="003424B8">
        <w:rPr>
          <w:color w:val="EE0000"/>
        </w:rPr>
        <w:t/>
      </w:r>
    </w:p>
  </w:footnote>
  <w:footnote w:id="23">
    <w:p w14:paraId="562ED9F2"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Ibid.</w:t>
      </w:r>
      <w:r w:rsidRPr="003424B8">
        <w:rPr>
          <w:color w:val="EE0000"/>
        </w:rPr>
        <w:t/>
      </w:r>
    </w:p>
  </w:footnote>
  <w:footnote w:id="24">
    <w:p w14:paraId="5E6C0256"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Ibid.</w:t>
      </w:r>
      <w:r w:rsidRPr="00A641D3">
        <w:rPr>
          <w:color w:val="EE0000"/>
        </w:rPr>
        <w:t/>
      </w:r>
    </w:p>
  </w:footnote>
  <w:footnote w:id="25">
    <w:p w14:paraId="70A28CE2"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Ibid.</w:t>
      </w:r>
      <w:r w:rsidRPr="00A641D3">
        <w:rPr>
          <w:color w:val="EE0000"/>
        </w:rPr>
        <w:t/>
      </w:r>
    </w:p>
  </w:footnote>
  <w:footnote w:id="26">
    <w:p w14:paraId="2703ACAB"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Ibid.</w:t>
      </w:r>
      <w:r w:rsidRPr="00A641D3">
        <w:rPr>
          <w:color w:val="EE0000"/>
        </w:rPr>
        <w:t/>
      </w:r>
    </w:p>
  </w:footnote>
  <w:footnote w:id="27">
    <w:p w14:paraId="5303EB9F"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Ibid.</w:t>
      </w:r>
      <w:r w:rsidRPr="003424B8">
        <w:rPr>
          <w:color w:val="EE0000"/>
        </w:rPr>
        <w:t/>
      </w:r>
    </w:p>
  </w:footnote>
  <w:footnote w:id="28">
    <w:p w14:paraId="587301E3"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Ibid.</w:t>
      </w:r>
      <w:r w:rsidRPr="003424B8">
        <w:rPr>
          <w:color w:val="EE0000"/>
        </w:rPr>
        <w:t/>
      </w:r>
    </w:p>
  </w:footnote>
  <w:footnote w:id="29">
    <w:p w14:paraId="4F1C341C"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Ibid.</w:t>
      </w:r>
      <w:r w:rsidRPr="003424B8">
        <w:rPr>
          <w:color w:val="EE0000"/>
        </w:rPr>
        <w:t/>
      </w:r>
    </w:p>
  </w:footnote>
  <w:footnote w:id="30">
    <w:p w14:paraId="0807FD6D"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CHESS, Op. Cit.</w:t>
      </w:r>
      <w:r w:rsidRPr="003424B8">
        <w:rPr>
          <w:color w:val="EE0000"/>
        </w:rPr>
        <w:t/>
      </w:r>
    </w:p>
  </w:footnote>
  <w:footnote w:id="31">
    <w:p w14:paraId="3591FD9D" w14:textId="77777777" w:rsidR="009E2D51" w:rsidRDefault="00000000">
      <w:pPr>
        <w:pStyle w:val="FootnoteText"/>
      </w:pPr>
      <w:r>
        <w:rPr>
          <w:rStyle w:val="FootnoteReference"/>
        </w:rPr>
        <w:footnoteRef/>
      </w:r>
      <w:r w:rsidRPr="001B18B0">
        <w:rPr>
          <w:lang w:val="en-US"/>
        </w:rPr>
        <w:t xml:space="preserve">PEARCE, Op. Cit.</w:t>
      </w:r>
      <w:r>
        <w:t/>
      </w:r>
    </w:p>
  </w:footnote>
  <w:footnote w:id="32">
    <w:p w14:paraId="3CBB40A9" w14:textId="77777777" w:rsidR="009E2D51" w:rsidRDefault="00000000">
      <w:pPr>
        <w:pStyle w:val="FootnoteText"/>
      </w:pPr>
      <w:r>
        <w:rPr>
          <w:rStyle w:val="FootnoteReference"/>
        </w:rPr>
        <w:footnoteRef/>
      </w:r>
      <w:r w:rsidRPr="001B18B0">
        <w:rPr>
          <w:lang w:val="en-US"/>
        </w:rPr>
        <w:t xml:space="preserve">LI, Zhen, et al. VulDeePecker: A Deep Learning-Based System for Vulnerability Detection. </w:t>
      </w:r>
      <w:r>
        <w:t>En: Proceedings of NDSS, 2018. [Consulta: 23 de julio de 2026] Disponible en: https://arxiv.org/abs/1801.01681</w:t>
      </w:r>
    </w:p>
  </w:footnote>
  <w:footnote w:id="33">
    <w:p w14:paraId="76AC57F3"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CHESS, Op. Cit.</w:t>
      </w:r>
      <w:r w:rsidRPr="003424B8">
        <w:rPr>
          <w:color w:val="EE0000"/>
        </w:rPr>
        <w:t/>
      </w:r>
    </w:p>
  </w:footnote>
  <w:footnote w:id="34">
    <w:p w14:paraId="4CB70D32" w14:textId="77777777" w:rsidR="009E2D51" w:rsidRDefault="00000000">
      <w:pPr>
        <w:pStyle w:val="FootnoteText"/>
      </w:pPr>
      <w:r>
        <w:rPr>
          <w:rStyle w:val="FootnoteReference"/>
        </w:rPr>
        <w:footnoteRef/>
      </w:r>
      <w:r w:rsidRPr="001B18B0">
        <w:rPr>
          <w:lang w:val="en-US"/>
        </w:rPr>
        <w:t xml:space="preserve">PEARCE, Op. Cit.</w:t>
      </w:r>
      <w:r>
        <w:t/>
      </w:r>
    </w:p>
  </w:footnote>
  <w:footnote w:id="35">
    <w:p w14:paraId="25822409" w14:textId="77777777" w:rsidR="009E2D51" w:rsidRDefault="00000000">
      <w:pPr>
        <w:pStyle w:val="FootnoteText"/>
      </w:pPr>
      <w:r>
        <w:rPr>
          <w:rStyle w:val="FootnoteReference"/>
        </w:rPr>
        <w:footnoteRef/>
      </w:r>
      <w:r w:rsidRPr="001B18B0">
        <w:rPr>
          <w:lang w:val="en-US"/>
        </w:rPr>
        <w:t xml:space="preserve">Ibid.</w:t>
      </w:r>
      <w:r>
        <w:t/>
      </w:r>
    </w:p>
  </w:footnote>
  <w:footnote w:id="36">
    <w:p w14:paraId="0CAD4431"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CHESS, Op. Cit.</w:t>
      </w:r>
      <w:r w:rsidRPr="003424B8">
        <w:rPr>
          <w:color w:val="EE0000"/>
        </w:rPr>
        <w:t/>
      </w:r>
    </w:p>
  </w:footnote>
  <w:footnote w:id="37">
    <w:p w14:paraId="6E1DB3E3"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Ibid.</w:t>
      </w:r>
      <w:r w:rsidRPr="003424B8">
        <w:rPr>
          <w:color w:val="EE0000"/>
        </w:rPr>
        <w:t/>
      </w:r>
    </w:p>
  </w:footnote>
  <w:footnote w:id="38">
    <w:p w14:paraId="048AEC20" w14:textId="77777777" w:rsidR="009E2D51" w:rsidRDefault="00000000">
      <w:pPr>
        <w:pStyle w:val="FootnoteText"/>
      </w:pPr>
      <w:r>
        <w:rPr>
          <w:rStyle w:val="FootnoteReference"/>
        </w:rPr>
        <w:footnoteRef/>
      </w:r>
      <w:r w:rsidRPr="001B18B0">
        <w:rPr>
          <w:lang w:val="en-US"/>
        </w:rPr>
        <w:t xml:space="preserve">LI, Op. Cit.</w:t>
      </w:r>
      <w:r>
        <w:t/>
      </w:r>
    </w:p>
  </w:footnote>
  <w:footnote w:id="39">
    <w:p w14:paraId="6091473D" w14:textId="77777777" w:rsidR="009E2D51" w:rsidRDefault="00000000">
      <w:pPr>
        <w:pStyle w:val="FootnoteText"/>
      </w:pPr>
      <w:r>
        <w:rPr>
          <w:rStyle w:val="FootnoteReference"/>
        </w:rPr>
        <w:footnoteRef/>
      </w:r>
      <w:r w:rsidRPr="001B18B0">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footnote>
  <w:footnote w:id="40">
    <w:p w14:paraId="4066D12B" w14:textId="77777777" w:rsidR="009E2D51" w:rsidRDefault="00000000">
      <w:pPr>
        <w:pStyle w:val="FootnoteText"/>
      </w:pPr>
      <w:r>
        <w:rPr>
          <w:rStyle w:val="FootnoteReference"/>
        </w:rPr>
        <w:footnoteRef/>
      </w:r>
      <w:r w:rsidRPr="001B18B0">
        <w:rPr>
          <w:lang w:val="en-US"/>
        </w:rPr>
        <w:t xml:space="preserve">FU, Michael y TANTITHAMTHAVORN, Chakkrit. LineVul: A Transformer-based Line-Level Vulnerability Prediction. </w:t>
      </w:r>
      <w:r>
        <w:t>En: Proceedings of MSR, 2022. [Consulta: 23 de julio de 2026] Disponible en: https://arxiv.org/abs/2205.02368</w:t>
      </w:r>
    </w:p>
  </w:footnote>
  <w:footnote w:id="41">
    <w:p w14:paraId="43732893" w14:textId="77777777" w:rsidR="009E2D51" w:rsidRDefault="00000000">
      <w:pPr>
        <w:pStyle w:val="FootnoteText"/>
      </w:pPr>
      <w:r>
        <w:rPr>
          <w:rStyle w:val="FootnoteReference"/>
        </w:rPr>
        <w:footnoteRef/>
      </w:r>
      <w:r w:rsidRPr="001B18B0">
        <w:rPr>
          <w:lang w:val="en-US"/>
        </w:rPr>
        <w:t xml:space="preserve">FENG, Zhangyin, et al. CodeBERT: A Pre-Trained Model for Programming and Natural Languages. </w:t>
      </w:r>
      <w:r>
        <w:t>En: Findings of EMNLP, 2020. pp. 1536-1547. [Consulta: 23 de julio de 2026] Disponible en: https://arxiv.org/abs/2002.08155</w:t>
      </w:r>
    </w:p>
  </w:footnote>
  <w:footnote w:id="42">
    <w:p w14:paraId="33E873F5" w14:textId="77777777" w:rsidR="009E2D51" w:rsidRDefault="00000000">
      <w:pPr>
        <w:pStyle w:val="FootnoteText"/>
      </w:pPr>
      <w:r>
        <w:rPr>
          <w:rStyle w:val="FootnoteReference"/>
        </w:rPr>
        <w:footnoteRef/>
      </w:r>
      <w:r w:rsidRPr="001B18B0">
        <w:rPr>
          <w:lang w:val="en-US"/>
        </w:rPr>
        <w:t xml:space="preserve">ATLIDAKIS, Op. Cit.</w:t>
      </w:r>
      <w:r>
        <w:t/>
      </w:r>
    </w:p>
  </w:footnote>
  <w:footnote w:id="43">
    <w:p w14:paraId="77B54EB3" w14:textId="77777777" w:rsidR="009E2D51" w:rsidRDefault="00000000">
      <w:pPr>
        <w:pStyle w:val="FootnoteText"/>
      </w:pPr>
      <w:r>
        <w:rPr>
          <w:rStyle w:val="FootnoteReference"/>
        </w:rPr>
        <w:footnoteRef/>
      </w:r>
      <w:r w:rsidRPr="001B18B0">
        <w:rPr>
          <w:lang w:val="en-US"/>
        </w:rPr>
        <w:t xml:space="preserve">VIGLIANISI, Op. Cit.</w:t>
      </w:r>
      <w:r>
        <w:t/>
      </w:r>
    </w:p>
  </w:footnote>
  <w:footnote w:id="44">
    <w:p w14:paraId="01991AEC" w14:textId="77777777" w:rsidR="009E2D51" w:rsidRDefault="00000000">
      <w:pPr>
        <w:pStyle w:val="FootnoteText"/>
      </w:pPr>
      <w:r>
        <w:rPr>
          <w:rStyle w:val="FootnoteReference"/>
        </w:rPr>
        <w:footnoteRef/>
      </w:r>
      <w:r w:rsidRPr="001B18B0">
        <w:rPr>
          <w:lang w:val="en-US"/>
        </w:rPr>
        <w:t xml:space="preserve">ATLIDAKIS, Op. Cit.</w:t>
      </w:r>
      <w:r>
        <w:t/>
      </w:r>
    </w:p>
  </w:footnote>
  <w:footnote w:id="45">
    <w:p w14:paraId="69AA86CE" w14:textId="77777777" w:rsidR="009E2D51" w:rsidRDefault="00000000">
      <w:pPr>
        <w:pStyle w:val="FootnoteText"/>
      </w:pPr>
      <w:r>
        <w:rPr>
          <w:rStyle w:val="FootnoteReference"/>
        </w:rPr>
        <w:footnoteRef/>
      </w:r>
      <w:r w:rsidRPr="001B18B0">
        <w:rPr>
          <w:lang w:val="en-US"/>
        </w:rPr>
        <w:t xml:space="preserve">VIGLIANISI, Op. Cit.</w:t>
      </w:r>
      <w:r>
        <w:t/>
      </w:r>
    </w:p>
  </w:footnote>
  <w:footnote w:id="46">
    <w:p w14:paraId="4E027A15" w14:textId="77777777" w:rsidR="009E2D51" w:rsidRPr="005D127F" w:rsidRDefault="00000000">
      <w:pPr>
        <w:pStyle w:val="FootnoteText"/>
        <w:rPr>
          <w:color w:val="EE0000"/>
        </w:rPr>
      </w:pPr>
      <w:r w:rsidRPr="005D127F">
        <w:rPr>
          <w:rStyle w:val="FootnoteReference"/>
          <w:color w:val="EE0000"/>
        </w:rPr>
        <w:footnoteRef/>
      </w:r>
      <w:r w:rsidRPr="005D127F">
        <w:rPr>
          <w:color w:val="EE0000"/>
          <w:lang w:val="en-US"/>
        </w:rPr>
        <w:t xml:space="preserve">CHESS, Op. Cit.</w:t>
      </w:r>
      <w:r w:rsidRPr="005D127F">
        <w:rPr>
          <w:color w:val="EE0000"/>
        </w:rPr>
        <w:t/>
      </w:r>
    </w:p>
  </w:footnote>
  <w:footnote w:id="47">
    <w:p w14:paraId="5012567D" w14:textId="77777777" w:rsidR="009E2D51" w:rsidRDefault="00000000">
      <w:pPr>
        <w:pStyle w:val="FootnoteText"/>
      </w:pPr>
      <w:r>
        <w:rPr>
          <w:rStyle w:val="FootnoteReference"/>
        </w:rPr>
        <w:footnoteRef/>
      </w:r>
      <w:r w:rsidRPr="001B18B0">
        <w:rPr>
          <w:lang w:val="en-US"/>
        </w:rPr>
        <w:t xml:space="preserve">ATLIDAKIS, Op. Cit.</w:t>
      </w:r>
      <w:r>
        <w:t/>
      </w:r>
    </w:p>
  </w:footnote>
  <w:footnote w:id="48">
    <w:p w14:paraId="6A8CD199" w14:textId="77777777" w:rsidR="009E2D51" w:rsidRDefault="00000000">
      <w:pPr>
        <w:pStyle w:val="FootnoteText"/>
      </w:pPr>
      <w:r>
        <w:rPr>
          <w:rStyle w:val="FootnoteReference"/>
        </w:rPr>
        <w:footnoteRef/>
      </w:r>
      <w:r w:rsidRPr="001B18B0">
        <w:rPr>
          <w:lang w:val="en-US"/>
        </w:rPr>
        <w:t xml:space="preserve">VASWANI, Ashish, et al. Attention Is All You Need. En: Advances in Neural Information Processing Systems, vol. 30, 2017. </w:t>
      </w:r>
      <w:r>
        <w:t>[Consulta: 23 de julio de 2026] Disponible en: https://arxiv.org/abs/1706.03762</w:t>
      </w:r>
    </w:p>
  </w:footnote>
  <w:footnote w:id="49">
    <w:p w14:paraId="3751D2C5" w14:textId="77777777" w:rsidR="009E2D51" w:rsidRDefault="00000000">
      <w:pPr>
        <w:pStyle w:val="FootnoteText"/>
      </w:pPr>
      <w:r>
        <w:rPr>
          <w:rStyle w:val="FootnoteReference"/>
        </w:rPr>
        <w:footnoteRef/>
      </w:r>
      <w:r w:rsidRPr="001B18B0">
        <w:rPr>
          <w:lang w:val="en-US"/>
        </w:rPr>
        <w:t xml:space="preserve">PEARCE, Op. Cit.</w:t>
      </w:r>
      <w:r>
        <w:t/>
      </w:r>
    </w:p>
  </w:footnote>
  <w:footnote w:id="50">
    <w:p w14:paraId="590F9087" w14:textId="77777777" w:rsidR="009E2D51" w:rsidRDefault="00000000">
      <w:pPr>
        <w:pStyle w:val="FootnoteText"/>
      </w:pPr>
      <w:r>
        <w:rPr>
          <w:rStyle w:val="FootnoteReference"/>
        </w:rPr>
        <w:footnoteRef/>
      </w:r>
      <w:r w:rsidRPr="001B18B0">
        <w:rPr>
          <w:lang w:val="en-US"/>
        </w:rPr>
        <w:t xml:space="preserve">JI, Ziwei, et al. Survey of Hallucination in Natural Language Generation. </w:t>
      </w:r>
      <w:r>
        <w:t>En: ACM Computing Surveys, vol. 55, núm. 12, art. 248, 2023. [Consulta: 23 de julio de 2026] Disponible en: https://arxiv.org/abs/2202.03629</w:t>
      </w:r>
    </w:p>
  </w:footnote>
  <w:footnote w:id="51">
    <w:p w14:paraId="45287764" w14:textId="77777777" w:rsidR="009E2D51" w:rsidRDefault="00000000">
      <w:pPr>
        <w:pStyle w:val="FootnoteText"/>
      </w:pPr>
      <w:r>
        <w:rPr>
          <w:rStyle w:val="FootnoteReference"/>
        </w:rPr>
        <w:footnoteRef/>
      </w:r>
      <w:r w:rsidRPr="001B18B0">
        <w:rPr>
          <w:lang w:val="en-US"/>
        </w:rPr>
        <w:t xml:space="preserve">PEARCE, Op. Cit.</w:t>
      </w:r>
      <w:r>
        <w:t/>
      </w:r>
    </w:p>
  </w:footnote>
  <w:footnote w:id="52">
    <w:p w14:paraId="3C7903D5" w14:textId="77777777" w:rsidR="009E2D51" w:rsidRDefault="00000000">
      <w:pPr>
        <w:pStyle w:val="FootnoteText"/>
      </w:pPr>
      <w:r>
        <w:rPr>
          <w:rStyle w:val="FootnoteReference"/>
        </w:rPr>
        <w:footnoteRef/>
      </w: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footnote>
  <w:footnote w:id="53">
    <w:p w14:paraId="0994C751" w14:textId="77777777" w:rsidR="009E2D51" w:rsidRDefault="00000000">
      <w:pPr>
        <w:pStyle w:val="FootnoteText"/>
      </w:pPr>
      <w:r>
        <w:rPr>
          <w:rStyle w:val="FootnoteReference"/>
        </w:rPr>
        <w:footnoteRef/>
      </w: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footnote>
  <w:footnote w:id="54">
    <w:p w14:paraId="2BAF2619" w14:textId="77777777" w:rsidR="009E2D51" w:rsidRDefault="00000000">
      <w:pPr>
        <w:pStyle w:val="FootnoteText"/>
      </w:pPr>
      <w:r>
        <w:rPr>
          <w:rStyle w:val="FootnoteReference"/>
        </w:rPr>
        <w:footnoteRef/>
      </w:r>
      <w:r w:rsidRPr="001B18B0">
        <w:rPr>
          <w:lang w:val="en-US"/>
        </w:rPr>
        <w:t xml:space="preserve">JIANG, Op. Cit.</w:t>
      </w:r>
      <w:r>
        <w:t/>
      </w:r>
    </w:p>
  </w:footnote>
  <w:footnote w:id="55">
    <w:p w14:paraId="79556558" w14:textId="77777777" w:rsidR="009E2D51" w:rsidRDefault="00000000">
      <w:pPr>
        <w:pStyle w:val="FootnoteText"/>
      </w:pPr>
      <w:r>
        <w:rPr>
          <w:rStyle w:val="FootnoteReference"/>
        </w:rPr>
        <w:footnoteRef/>
      </w:r>
      <w:r w:rsidRPr="001B18B0">
        <w:rPr>
          <w:lang w:val="en-US"/>
        </w:rPr>
        <w:t xml:space="preserve">Ibid.</w:t>
      </w:r>
      <w:r>
        <w:t/>
      </w:r>
    </w:p>
  </w:footnote>
  <w:footnote w:id="56">
    <w:p w14:paraId="5C1DE01F" w14:textId="77777777" w:rsidR="009E2D51" w:rsidRDefault="00000000">
      <w:pPr>
        <w:pStyle w:val="FootnoteText"/>
      </w:pPr>
      <w:r>
        <w:rPr>
          <w:rStyle w:val="FootnoteReference"/>
        </w:rPr>
        <w:footnoteRef/>
      </w:r>
      <w:r w:rsidRPr="001B18B0">
        <w:rPr>
          <w:lang w:val="en-US"/>
        </w:rPr>
        <w:t xml:space="preserve">TOUVRON, Op. Cit.</w:t>
      </w:r>
      <w:r>
        <w:t/>
      </w:r>
    </w:p>
  </w:footnote>
  <w:footnote w:id="57">
    <w:p w14:paraId="012BE88C" w14:textId="77777777" w:rsidR="009E2D51" w:rsidRPr="001B18B0" w:rsidRDefault="00000000">
      <w:pPr>
        <w:pStyle w:val="FootnoteText"/>
        <w:rPr>
          <w:lang w:val="en-US"/>
        </w:rPr>
      </w:pPr>
      <w:r>
        <w:rPr>
          <w:rStyle w:val="FootnoteReference"/>
        </w:rPr>
        <w:footnoteRef/>
      </w:r>
      <w:r w:rsidRPr="001B18B0">
        <w:rPr>
          <w:lang w:val="en-US"/>
        </w:rPr>
        <w:t>LEWIS, Op. Cit.</w:t>
      </w:r>
    </w:p>
  </w:footnote>
  <w:footnote w:id="58">
    <w:p w14:paraId="0C84E9D3" w14:textId="77777777" w:rsidR="009E2D51" w:rsidRPr="001B18B0" w:rsidRDefault="00000000">
      <w:pPr>
        <w:pStyle w:val="FootnoteText"/>
        <w:rPr>
          <w:lang w:val="en-US"/>
        </w:rPr>
      </w:pPr>
      <w:r>
        <w:rPr>
          <w:rStyle w:val="FootnoteReference"/>
        </w:rPr>
        <w:footnoteRef/>
      </w:r>
      <w:r w:rsidRPr="001B18B0">
        <w:rPr>
          <w:lang w:val="en-US"/>
        </w:rPr>
        <w:t>Ibid.</w:t>
      </w:r>
    </w:p>
  </w:footnote>
  <w:footnote w:id="59">
    <w:p w14:paraId="620B0883" w14:textId="77777777" w:rsidR="009E2D51" w:rsidRDefault="00000000">
      <w:pPr>
        <w:pStyle w:val="FootnoteText"/>
      </w:pPr>
      <w:r>
        <w:rPr>
          <w:rStyle w:val="FootnoteReference"/>
        </w:rPr>
        <w:footnoteRef/>
      </w:r>
      <w:r w:rsidRPr="001B18B0">
        <w:rPr>
          <w:lang w:val="en-US"/>
        </w:rPr>
        <w:t xml:space="preserve">GAO, Yunfan, et al. Retrieval-Augmented Generation for Large Language Models: A Survey. arXiv:2312.10997 [en línea] 2023. </w:t>
      </w:r>
      <w:r>
        <w:t>[Consulta: 23 de julio de 2026] Disponible en: https://arxiv.org/abs/2312.10997</w:t>
      </w:r>
    </w:p>
  </w:footnote>
  <w:footnote w:id="60">
    <w:p w14:paraId="5C526C28" w14:textId="77777777" w:rsidR="009E2D51" w:rsidRDefault="00000000">
      <w:pPr>
        <w:pStyle w:val="FootnoteText"/>
      </w:pPr>
      <w:r>
        <w:rPr>
          <w:rStyle w:val="FootnoteReference"/>
        </w:rPr>
        <w:footnoteRef/>
      </w:r>
      <w:r w:rsidRPr="001B18B0">
        <w:rPr>
          <w:lang w:val="en-US"/>
        </w:rPr>
        <w:t xml:space="preserve">BORGEAUD, Sebastian, et al. Improving Language Models by Retrieving from Trillions of Tokens. </w:t>
      </w:r>
      <w:r>
        <w:t>En: Proceedings of ICML, 2022. [Consulta: 23 de julio de 2026] Disponible en: https://arxiv.org/abs/2112.04426</w:t>
      </w:r>
    </w:p>
  </w:footnote>
  <w:footnote w:id="61">
    <w:p w14:paraId="610C259A" w14:textId="77777777" w:rsidR="009E2D51" w:rsidRDefault="00000000">
      <w:pPr>
        <w:pStyle w:val="FootnoteText"/>
      </w:pPr>
      <w:r>
        <w:rPr>
          <w:rStyle w:val="FootnoteReference"/>
        </w:rPr>
        <w:footnoteRef/>
      </w:r>
      <w:r w:rsidRPr="001B18B0">
        <w:rPr>
          <w:lang w:val="en-US"/>
        </w:rPr>
        <w:t xml:space="preserve">MIKOLOV, Tomáš, et al. Efficient Estimation of Word Representations in Vector Space. arXiv:1301.3781 [en línea] 2013. </w:t>
      </w:r>
      <w:r>
        <w:t>[Consulta: 23 de julio de 2026] Disponible en: https://arxiv.org/abs/1301.3781</w:t>
      </w:r>
    </w:p>
  </w:footnote>
  <w:footnote w:id="62">
    <w:p w14:paraId="2A0B7471" w14:textId="77777777" w:rsidR="009E2D51" w:rsidRDefault="00000000">
      <w:pPr>
        <w:pStyle w:val="FootnoteText"/>
      </w:pPr>
      <w:r>
        <w:rPr>
          <w:rStyle w:val="FootnoteReference"/>
        </w:rPr>
        <w:footnoteRef/>
      </w:r>
      <w:r w:rsidRPr="001B18B0">
        <w:rPr>
          <w:lang w:val="en-US"/>
        </w:rPr>
        <w:t xml:space="preserve">REIMERS, Op. Cit.</w:t>
      </w:r>
      <w:r>
        <w:t/>
      </w:r>
    </w:p>
  </w:footnote>
  <w:footnote w:id="63">
    <w:p w14:paraId="147ED152" w14:textId="77777777" w:rsidR="009E2D51" w:rsidRDefault="00000000">
      <w:pPr>
        <w:pStyle w:val="FootnoteText"/>
      </w:pPr>
      <w:r>
        <w:rPr>
          <w:rStyle w:val="FootnoteReference"/>
        </w:rPr>
        <w:footnoteRef/>
      </w:r>
      <w:r w:rsidRPr="001B18B0">
        <w:rPr>
          <w:lang w:val="en-US"/>
        </w:rPr>
        <w:t xml:space="preserve">KARPUKHIN, Op. Cit.</w:t>
      </w:r>
      <w:r>
        <w:t/>
      </w:r>
    </w:p>
  </w:footnote>
  <w:footnote w:id="64">
    <w:p w14:paraId="6030E817" w14:textId="77777777" w:rsidR="009E2D51" w:rsidRDefault="00000000">
      <w:pPr>
        <w:pStyle w:val="FootnoteText"/>
      </w:pPr>
      <w:r>
        <w:rPr>
          <w:rStyle w:val="FootnoteReference"/>
        </w:rPr>
        <w:footnoteRef/>
      </w:r>
      <w:r w:rsidRPr="001B18B0">
        <w:rPr>
          <w:lang w:val="en-US"/>
        </w:rPr>
        <w:t xml:space="preserve">JOHNSON, Jeff, et al. Billion-scale similarity search with GPUs. </w:t>
      </w:r>
      <w:r>
        <w:t>En: IEEE Transactions on Big Data, vol. 7, núm. 3, 2021. pp. 535-547. [Consulta: 23 de julio de 2026] Disponible en: https://arxiv.org/abs/1702.08734</w:t>
      </w:r>
    </w:p>
  </w:footnote>
  <w:footnote w:id="65">
    <w:p w14:paraId="4F44A820" w14:textId="77777777" w:rsidR="009E2D51" w:rsidRPr="001B18B0" w:rsidRDefault="00000000">
      <w:pPr>
        <w:pStyle w:val="FootnoteText"/>
        <w:rPr>
          <w:lang w:val="en-US"/>
        </w:rPr>
      </w:pPr>
      <w:r>
        <w:rPr>
          <w:rStyle w:val="FootnoteReference"/>
        </w:rPr>
        <w:footnoteRef/>
      </w:r>
      <w:r w:rsidRPr="001B18B0">
        <w:rPr>
          <w:lang w:val="en-US"/>
        </w:rPr>
        <w:t>LEWIS, Op. Cit.</w:t>
      </w:r>
    </w:p>
  </w:footnote>
  <w:footnote w:id="66">
    <w:p w14:paraId="17F2B170" w14:textId="77777777" w:rsidR="009E2D51" w:rsidRPr="001B18B0" w:rsidRDefault="00000000">
      <w:pPr>
        <w:pStyle w:val="FootnoteText"/>
        <w:rPr>
          <w:lang w:val="en-US"/>
        </w:rPr>
      </w:pPr>
      <w:r>
        <w:rPr>
          <w:rStyle w:val="FootnoteReference"/>
        </w:rPr>
        <w:footnoteRef/>
      </w:r>
      <w:r w:rsidRPr="001B18B0">
        <w:rPr>
          <w:lang w:val="en-US"/>
        </w:rPr>
        <w:t>Ibid.</w:t>
      </w:r>
    </w:p>
  </w:footnote>
  <w:footnote w:id="67">
    <w:p w14:paraId="548DD90C" w14:textId="77777777" w:rsidR="009E2D51" w:rsidRPr="005D127F" w:rsidRDefault="00000000">
      <w:pPr>
        <w:pStyle w:val="FootnoteText"/>
        <w:rPr>
          <w:color w:val="EE0000"/>
        </w:rPr>
      </w:pPr>
      <w:r w:rsidRPr="005D127F">
        <w:rPr>
          <w:rStyle w:val="FootnoteReference"/>
          <w:color w:val="EE0000"/>
        </w:rPr>
        <w:footnoteRef/>
      </w:r>
      <w:r w:rsidRPr="005D127F">
        <w:rPr>
          <w:color w:val="EE0000"/>
          <w:lang w:val="en-US"/>
        </w:rPr>
        <w:t xml:space="preserve">CHESS, Op. Cit.</w:t>
      </w:r>
      <w:r w:rsidRPr="005D127F">
        <w:rPr>
          <w:color w:val="EE0000"/>
        </w:rPr>
        <w:t/>
      </w:r>
    </w:p>
  </w:footnote>
  <w:footnote w:id="68">
    <w:p w14:paraId="60CC8683" w14:textId="77777777" w:rsidR="009E2D51" w:rsidRPr="005D127F" w:rsidRDefault="00000000">
      <w:pPr>
        <w:pStyle w:val="FootnoteText"/>
        <w:rPr>
          <w:color w:val="EE0000"/>
        </w:rPr>
      </w:pPr>
      <w:r w:rsidRPr="005D127F">
        <w:rPr>
          <w:rStyle w:val="FootnoteReference"/>
          <w:color w:val="EE0000"/>
        </w:rPr>
        <w:footnoteRef/>
      </w:r>
      <w:r w:rsidRPr="005D127F">
        <w:rPr>
          <w:color w:val="EE0000"/>
          <w:lang w:val="en-US"/>
        </w:rPr>
        <w:t xml:space="preserve">Ibid.</w:t>
      </w:r>
      <w:r w:rsidRPr="005D127F">
        <w:rPr>
          <w:color w:val="EE0000"/>
        </w:rPr>
        <w:t/>
      </w:r>
    </w:p>
  </w:footnote>
  <w:footnote w:id="69">
    <w:p w14:paraId="215131AC" w14:textId="77777777" w:rsidR="009E2D51" w:rsidRDefault="00000000">
      <w:pPr>
        <w:pStyle w:val="FootnoteText"/>
      </w:pPr>
      <w:r>
        <w:rPr>
          <w:rStyle w:val="FootnoteReference"/>
        </w:rPr>
        <w:footnoteRef/>
      </w:r>
      <w:r w:rsidRPr="001B18B0">
        <w:rPr>
          <w:lang w:val="en-US"/>
        </w:rPr>
        <w:t xml:space="preserve">FAWCETT, Tom. An Introduction to ROC Analysis. En: Pattern Recognition Letters, vol. 27, núm. 8, 2006. pp. 861-874. </w:t>
      </w:r>
      <w:r>
        <w:t>[Consulta: 23 de julio de 2026] Disponible en: https://doi.org/10.1016/j.patrec.2005.10.010</w:t>
      </w:r>
    </w:p>
  </w:footnote>
  <w:footnote w:id="70">
    <w:p w14:paraId="42EB6468" w14:textId="77777777" w:rsidR="009E2D51" w:rsidRDefault="00000000">
      <w:pPr>
        <w:pStyle w:val="FootnoteText"/>
      </w:pPr>
      <w:r>
        <w:rPr>
          <w:rStyle w:val="FootnoteReference"/>
        </w:rPr>
        <w:footnoteRef/>
      </w:r>
      <w:r w:rsidRPr="001B18B0">
        <w:rPr>
          <w:lang w:val="en-US"/>
        </w:rPr>
        <w:t xml:space="preserve">PEARCE, Op. Cit.</w:t>
      </w:r>
      <w:r>
        <w:t/>
      </w:r>
    </w:p>
  </w:footnote>
  <w:footnote w:id="71">
    <w:p w14:paraId="5B77CA36" w14:textId="77777777" w:rsidR="009E2D51" w:rsidRPr="001B18B0" w:rsidRDefault="00000000">
      <w:pPr>
        <w:pStyle w:val="FootnoteText"/>
        <w:rPr>
          <w:lang w:val="en-US"/>
        </w:rPr>
      </w:pPr>
      <w:r>
        <w:rPr>
          <w:rStyle w:val="FootnoteReference"/>
        </w:rPr>
        <w:footnoteRef/>
      </w:r>
      <w:r w:rsidRPr="001B18B0">
        <w:rPr>
          <w:lang w:val="en-US"/>
        </w:rPr>
        <w:t>LEWIS, Op. Cit.</w:t>
      </w:r>
    </w:p>
  </w:footnote>
  <w:footnote w:id="72">
    <w:p w14:paraId="1D95710E" w14:textId="77777777" w:rsidR="009E2D51" w:rsidRDefault="00000000">
      <w:pPr>
        <w:pStyle w:val="FootnoteText"/>
      </w:pPr>
      <w:r>
        <w:rPr>
          <w:rStyle w:val="FootnoteReference"/>
        </w:rPr>
        <w:footnoteRef/>
      </w:r>
      <w:r w:rsidRPr="001B18B0">
        <w:rPr>
          <w:lang w:val="en-US"/>
        </w:rPr>
        <w:t xml:space="preserve">FAWCETT, Op. Cit.</w:t>
      </w:r>
      <w:r>
        <w:t/>
      </w:r>
    </w:p>
  </w:footnote>
  <w:footnote w:id="73">
    <w:p w14:paraId="091EEE19" w14:textId="77777777" w:rsidR="009E2D51" w:rsidRDefault="00000000">
      <w:pPr>
        <w:pStyle w:val="FootnoteText"/>
      </w:pPr>
      <w:r>
        <w:rPr>
          <w:rStyle w:val="FootnoteReference"/>
        </w:rPr>
        <w:footnoteRef/>
      </w:r>
      <w:r w:rsidRPr="001B18B0">
        <w:rPr>
          <w:lang w:val="en-US"/>
        </w:rPr>
        <w:t xml:space="preserve">KARPUKHIN, Op. Cit.</w:t>
      </w:r>
      <w:r>
        <w:t/>
      </w:r>
    </w:p>
  </w:footnote>
  <w:footnote w:id="74">
    <w:p w14:paraId="02A0D78E" w14:textId="77777777" w:rsidR="009E2D51" w:rsidRDefault="00000000">
      <w:pPr>
        <w:pStyle w:val="FootnoteText"/>
      </w:pPr>
      <w:r>
        <w:rPr>
          <w:rStyle w:val="FootnoteReference"/>
        </w:rPr>
        <w:footnoteRef/>
      </w:r>
      <w:r w:rsidRPr="001B18B0">
        <w:rPr>
          <w:lang w:val="en-US"/>
        </w:rPr>
        <w:t xml:space="preserve">REIMERS, Op. Cit.</w:t>
      </w:r>
      <w:r>
        <w:t/>
      </w:r>
    </w:p>
  </w:footnote>
  <w:footnote w:id="75">
    <w:p w14:paraId="6F7A04FA" w14:textId="77777777" w:rsidR="009E2D51" w:rsidRDefault="00000000">
      <w:pPr>
        <w:pStyle w:val="FootnoteText"/>
      </w:pPr>
      <w:r>
        <w:rPr>
          <w:rStyle w:val="FootnoteReference"/>
        </w:rPr>
        <w:footnoteRef/>
      </w:r>
      <w:r w:rsidRPr="001B18B0">
        <w:rPr>
          <w:lang w:val="en-US"/>
        </w:rPr>
        <w:t xml:space="preserve">LEWIS, Op. Cit.</w:t>
      </w:r>
      <w:r>
        <w:t/>
      </w:r>
    </w:p>
  </w:footnote>
  <w:footnote w:id="76">
    <w:p>
      <w:pPr>
        <w:pStyle w:val="FootnoteText"/>
      </w:pPr>
      <w:r>
        <w:rPr>
          <w:rStyle w:val="FootnoteReference"/>
        </w:rPr>
        <w:footnoteMark/>
      </w:r>
      <w:r>
        <w:rPr>
          <w:sz w:val="20"/>
          <w:szCs w:val="20"/>
        </w:rPr>
        <w:t xml:space="preserve">LEWIS, Op. 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7B1B46"/>
    <w:multiLevelType w:val="hybridMultilevel"/>
    <w:tmpl w:val="012C5828"/>
    <w:lvl w:ilvl="0" w:tplc="38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975AD3"/>
    <w:multiLevelType w:val="hybridMultilevel"/>
    <w:tmpl w:val="3FB0D658"/>
    <w:lvl w:ilvl="0" w:tplc="7E783C24">
      <w:start w:val="1"/>
      <w:numFmt w:val="bullet"/>
      <w:lvlText w:val="●"/>
      <w:lvlJc w:val="left"/>
      <w:pPr>
        <w:ind w:left="720" w:hanging="360"/>
      </w:pPr>
    </w:lvl>
    <w:lvl w:ilvl="1" w:tplc="93CC622A">
      <w:start w:val="1"/>
      <w:numFmt w:val="bullet"/>
      <w:lvlText w:val="○"/>
      <w:lvlJc w:val="left"/>
      <w:pPr>
        <w:ind w:left="1440" w:hanging="360"/>
      </w:pPr>
    </w:lvl>
    <w:lvl w:ilvl="2" w:tplc="3C8670F2">
      <w:start w:val="1"/>
      <w:numFmt w:val="bullet"/>
      <w:lvlText w:val="■"/>
      <w:lvlJc w:val="left"/>
      <w:pPr>
        <w:ind w:left="2160" w:hanging="360"/>
      </w:pPr>
    </w:lvl>
    <w:lvl w:ilvl="3" w:tplc="58C4CE72">
      <w:start w:val="1"/>
      <w:numFmt w:val="bullet"/>
      <w:lvlText w:val="●"/>
      <w:lvlJc w:val="left"/>
      <w:pPr>
        <w:ind w:left="2880" w:hanging="360"/>
      </w:pPr>
    </w:lvl>
    <w:lvl w:ilvl="4" w:tplc="8E2EDC7E">
      <w:start w:val="1"/>
      <w:numFmt w:val="bullet"/>
      <w:lvlText w:val="○"/>
      <w:lvlJc w:val="left"/>
      <w:pPr>
        <w:ind w:left="3600" w:hanging="360"/>
      </w:pPr>
    </w:lvl>
    <w:lvl w:ilvl="5" w:tplc="5B0C66C4">
      <w:start w:val="1"/>
      <w:numFmt w:val="bullet"/>
      <w:lvlText w:val="■"/>
      <w:lvlJc w:val="left"/>
      <w:pPr>
        <w:ind w:left="4320" w:hanging="360"/>
      </w:pPr>
    </w:lvl>
    <w:lvl w:ilvl="6" w:tplc="FC865A30">
      <w:start w:val="1"/>
      <w:numFmt w:val="bullet"/>
      <w:lvlText w:val="●"/>
      <w:lvlJc w:val="left"/>
      <w:pPr>
        <w:ind w:left="5040" w:hanging="360"/>
      </w:pPr>
    </w:lvl>
    <w:lvl w:ilvl="7" w:tplc="4C921108">
      <w:start w:val="1"/>
      <w:numFmt w:val="bullet"/>
      <w:lvlText w:val="●"/>
      <w:lvlJc w:val="left"/>
      <w:pPr>
        <w:ind w:left="5760" w:hanging="360"/>
      </w:pPr>
    </w:lvl>
    <w:lvl w:ilvl="8" w:tplc="D3528E36">
      <w:start w:val="1"/>
      <w:numFmt w:val="bullet"/>
      <w:lvlText w:val="●"/>
      <w:lvlJc w:val="left"/>
      <w:pPr>
        <w:ind w:left="6480" w:hanging="360"/>
      </w:pPr>
    </w:lvl>
  </w:abstractNum>
  <w:num w:numId="1" w16cid:durableId="233591707">
    <w:abstractNumId w:val="1"/>
    <w:lvlOverride w:ilvl="0">
      <w:startOverride w:val="1"/>
    </w:lvlOverride>
  </w:num>
  <w:num w:numId="2" w16cid:durableId="20235827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URA LORENA CRUZ RIVAS">
    <w15:presenceInfo w15:providerId="AD" w15:userId="S::2246176210101@unis.edu.gt::962a87b9-2175-470d-8b3d-c7f0ef120a1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51"/>
    <w:rsid w:val="001A072E"/>
    <w:rsid w:val="001B18B0"/>
    <w:rsid w:val="00201009"/>
    <w:rsid w:val="00290437"/>
    <w:rsid w:val="002C630C"/>
    <w:rsid w:val="003424B8"/>
    <w:rsid w:val="00365E9D"/>
    <w:rsid w:val="003E15AA"/>
    <w:rsid w:val="00447D3C"/>
    <w:rsid w:val="005D127F"/>
    <w:rsid w:val="006B2F12"/>
    <w:rsid w:val="00713DCC"/>
    <w:rsid w:val="007F46A8"/>
    <w:rsid w:val="009122ED"/>
    <w:rsid w:val="009E2D51"/>
    <w:rsid w:val="00A641D3"/>
    <w:rsid w:val="00B5669C"/>
    <w:rsid w:val="00B93E29"/>
    <w:rsid w:val="00C15836"/>
    <w:rsid w:val="00CA0E2B"/>
    <w:rsid w:val="00D46247"/>
    <w:rsid w:val="00D66B30"/>
    <w:rsid w:val="00F80BF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774541B"/>
  <w15:docId w15:val="{06252E6A-5D14-BC41-90C6-5C561E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E15AA"/>
    <w:rPr>
      <w:sz w:val="16"/>
      <w:szCs w:val="16"/>
    </w:rPr>
  </w:style>
  <w:style w:type="paragraph" w:styleId="CommentText">
    <w:name w:val="annotation text"/>
    <w:basedOn w:val="Normal"/>
    <w:link w:val="CommentTextChar"/>
    <w:uiPriority w:val="99"/>
    <w:semiHidden/>
    <w:unhideWhenUsed/>
    <w:rsid w:val="003E15AA"/>
    <w:pPr>
      <w:spacing w:line="240" w:lineRule="auto"/>
    </w:pPr>
    <w:rPr>
      <w:sz w:val="20"/>
      <w:szCs w:val="20"/>
    </w:rPr>
  </w:style>
  <w:style w:type="character" w:customStyle="1" w:styleId="CommentTextChar">
    <w:name w:val="Comment Text Char"/>
    <w:basedOn w:val="DefaultParagraphFont"/>
    <w:link w:val="CommentText"/>
    <w:uiPriority w:val="99"/>
    <w:semiHidden/>
    <w:rsid w:val="003E15AA"/>
    <w:rPr>
      <w:sz w:val="20"/>
      <w:szCs w:val="20"/>
    </w:rPr>
  </w:style>
  <w:style w:type="paragraph" w:styleId="CommentSubject">
    <w:name w:val="annotation subject"/>
    <w:basedOn w:val="CommentText"/>
    <w:next w:val="CommentText"/>
    <w:link w:val="CommentSubjectChar"/>
    <w:uiPriority w:val="99"/>
    <w:semiHidden/>
    <w:unhideWhenUsed/>
    <w:rsid w:val="003E15AA"/>
    <w:rPr>
      <w:b/>
      <w:bCs/>
    </w:rPr>
  </w:style>
  <w:style w:type="character" w:customStyle="1" w:styleId="CommentSubjectChar">
    <w:name w:val="Comment Subject Char"/>
    <w:basedOn w:val="CommentTextChar"/>
    <w:link w:val="CommentSubject"/>
    <w:uiPriority w:val="99"/>
    <w:semiHidden/>
    <w:rsid w:val="003E15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45</Pages>
  <Words>11889</Words>
  <Characters>67770</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AURA LORENA CRUZ RIVAS</cp:lastModifiedBy>
  <cp:revision>4</cp:revision>
  <cp:lastPrinted>2026-07-28T00:08:00Z</cp:lastPrinted>
  <dcterms:created xsi:type="dcterms:W3CDTF">2026-07-28T01:03:00Z</dcterms:created>
  <dcterms:modified xsi:type="dcterms:W3CDTF">2026-07-30T00:54:00Z</dcterms:modified>
</cp:coreProperties>
</file>