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120" w:before="0" w:line="36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sz w:val="24"/>
          <w:szCs w:val="24"/>
        </w:rPr>
        <w:t xml:space="preserve">UNIVERSIDAD DEL ISTMO</w:t>
      </w:r>
    </w:p>
    <w:p>
      <w:pPr>
        <w:spacing w:after="120" w:before="0" w:line="360"/>
        <w:jc w:val="center"/>
      </w:pPr>
      <w:r>
        <w:rPr>
          <w:rFonts w:ascii="Times New Roman" w:cs="Times New Roman" w:eastAsia="Times New Roman" w:hAnsi="Times New Roman"/>
          <w:b w:val="false"/>
          <w:bCs w:val="false"/>
          <w:sz w:val="24"/>
          <w:szCs w:val="24"/>
        </w:rPr>
        <w:t xml:space="preserve">FACULTAD DE INGENIERÍA</w:t>
      </w:r>
    </w:p>
    <w:p>
      <w:pPr>
        <w:spacing w:after="120" w:before="0" w:line="360"/>
        <w:jc w:val="center"/>
      </w:pPr>
      <w:r>
        <w:rPr>
          <w:rFonts w:ascii="Times New Roman" w:cs="Times New Roman" w:eastAsia="Times New Roman" w:hAnsi="Times New Roman"/>
          <w:b w:val="false"/>
          <w:bCs w:val="false"/>
          <w:sz w:val="24"/>
          <w:szCs w:val="24"/>
        </w:rPr>
        <w:t xml:space="preserve">Ingeniería en Sistemas y Ciencias de la Computación</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ANTEPROYECTO</w:t>
      </w:r>
    </w:p>
    <w:p>
      <w:pPr>
        <w:spacing w:after="0" w:before="0" w:line="36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val="false"/>
          <w:bCs w:val="false"/>
          <w:sz w:val="24"/>
          <w:szCs w:val="24"/>
        </w:rPr>
        <w:t xml:space="preserve">AUDITORÍA AUTOMATIZADA DE VULNERABILIDADES OWASP EN DJANGO REST CON RAG</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DIDVIN NOHEL ESTRADA PINEDA</w:t>
      </w:r>
    </w:p>
    <w:p>
      <w:pPr>
        <w:spacing w:after="120" w:before="0" w:line="360"/>
        <w:jc w:val="center"/>
      </w:pPr>
      <w:r>
        <w:rPr>
          <w:rFonts w:ascii="Times New Roman" w:cs="Times New Roman" w:eastAsia="Times New Roman" w:hAnsi="Times New Roman"/>
          <w:sz w:val="24"/>
          <w:szCs w:val="24"/>
        </w:rPr>
        <w:t xml:space="preserve">Carné: 14092</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Asesor: Estuardo Antonio Sandoval Acevedo</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Guatemala, julio de 2026</w:t>
      </w:r>
    </w:p>
    <w:p>
      <w:pPr>
        <w:sectPr>
          <w:type w:val="nextPage"/>
          <w:pgSz w:w="12240" w:h="15840" w:orient="portrait"/>
          <w:pgMar w:top="1418" w:right="1418" w:bottom="1418" w:left="1985" w:header="708" w:footer="708" w:gutter="0"/>
          <w:pgNumType/>
          <w:docGrid w:linePitch="360"/>
        </w:sectPr>
      </w:pPr>
    </w:p>
    <w:p>
      <w:pPr>
        <w:spacing w:after="280" w:before="280" w:line="360"/>
        <w:jc w:val="center"/>
      </w:pPr>
      <w:r>
        <w:rPr>
          <w:rFonts w:ascii="Times New Roman" w:cs="Times New Roman" w:eastAsia="Times New Roman" w:hAnsi="Times New Roman"/>
          <w:b/>
          <w:bCs/>
          <w:sz w:val="24"/>
          <w:szCs w:val="24"/>
        </w:rPr>
        <w:t xml:space="preserve">INTRODUCCIÓN</w:t>
      </w:r>
    </w:p>
    <w:p>
      <w:pPr>
        <w:spacing w:after="120" w:before="0" w:line="360" w:lineRule="auto"/>
        <w:ind w:firstLine="709"/>
        <w:jc w:val="both"/>
      </w:pPr>
      <w:r>
        <w:rPr>
          <w:rFonts w:ascii="Times New Roman" w:cs="Times New Roman" w:eastAsia="Times New Roman" w:hAnsi="Times New Roman"/>
          <w:sz w:val="24"/>
          <w:szCs w:val="24"/>
        </w:rPr>
        <w:t xml:space="preserve">El crecimiento exponencial de las interfaces de programación de aplicaciones de tipo transferencia de estado representacional (</w:t>
      </w:r>
      <w:r>
        <w:rPr>
          <w:rFonts w:ascii="Times New Roman" w:cs="Times New Roman" w:eastAsia="Times New Roman" w:hAnsi="Times New Roman"/>
          <w:i/>
          <w:iCs/>
          <w:sz w:val="24"/>
          <w:szCs w:val="24"/>
        </w:rPr>
        <w:t xml:space="preserve">REST</w:t>
      </w:r>
      <w:r>
        <w:rPr>
          <w:rFonts w:ascii="Times New Roman" w:cs="Times New Roman" w:eastAsia="Times New Roman" w:hAnsi="Times New Roman"/>
          <w:sz w:val="24"/>
          <w:szCs w:val="24"/>
        </w:rP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APIs REST de producción mediante pruebas automatizadas, y Zhou et al. (2019) identificaron que los patrones de vulnerabilidad en aplicaciones Python son estructuralmente recurrentes y detectables. En este contexto,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biblioteca de desarrollo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de Python más utilizada para la construcción de interfaces de programación de aplicaciones— acumula más de un millón de descargas mensuales en el repositorio PyPI, lo que refleja su prevalencia en entornos de producción a nivel mundial.</w:t>
      </w:r>
    </w:p>
    <w:p>
      <w:pPr>
        <w:spacing w:after="120" w:before="0" w:line="360" w:lineRule="auto"/>
        <w:ind w:firstLine="709"/>
        <w:jc w:val="both"/>
      </w:pPr>
      <w:r>
        <w:rPr>
          <w:rFonts w:ascii="Times New Roman" w:cs="Times New Roman" w:eastAsia="Times New Roman" w:hAnsi="Times New Roman"/>
          <w:sz w:val="24"/>
          <w:szCs w:val="24"/>
        </w:rPr>
        <w:t xml:space="preserve">A pesar de esta adopción masiva, las herramientas de análisis de seguridad de uso general disponibles en la actualidad —entre ellas Bandit, Semgrep y OWASP ZAP— no comprenden los patrones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pPr>
        <w:spacing w:after="120" w:before="0" w:line="360" w:lineRule="auto"/>
        <w:ind w:firstLine="709"/>
        <w:jc w:val="both"/>
      </w:pPr>
      <w:r>
        <w:rPr>
          <w:rFonts w:ascii="Times New Roman" w:cs="Times New Roman" w:eastAsia="Times New Roman" w:hAnsi="Times New Roman"/>
          <w:sz w:val="24"/>
          <w:szCs w:val="24"/>
        </w:rPr>
        <w:t xml:space="preserve">El objetivo general del presente trabajo consiste en desarrollar una herramienta de interfaz de línea de comandos (</w:t>
      </w:r>
      <w:r>
        <w:rPr>
          <w:rFonts w:ascii="Times New Roman" w:cs="Times New Roman" w:eastAsia="Times New Roman" w:hAnsi="Times New Roman"/>
          <w:i/>
          <w:iCs/>
          <w:sz w:val="24"/>
          <w:szCs w:val="24"/>
        </w:rPr>
        <w:t xml:space="preserve">CLI</w:t>
      </w:r>
      <w:r>
        <w:rPr>
          <w:rFonts w:ascii="Times New Roman" w:cs="Times New Roman" w:eastAsia="Times New Roman" w:hAnsi="Times New Roman"/>
          <w:sz w:val="24"/>
          <w:szCs w:val="24"/>
        </w:rPr>
        <w:t xml:space="preserve">) que automatice la auditoría de seguridad de interfaces de programación de aplicaciones desarrolladas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conectividad a la red, lo que lo hace viable en entornos restringidos y con código fuente propietario.</w:t>
      </w:r>
    </w:p>
    <w:p>
      <w:pPr>
        <w:spacing w:after="120" w:before="0" w:line="360" w:lineRule="auto"/>
        <w:ind w:firstLine="709"/>
        <w:jc w:val="both"/>
      </w:pPr>
      <w:r>
        <w:rPr>
          <w:rFonts w:ascii="Times New Roman" w:cs="Times New Roman" w:eastAsia="Times New Roman" w:hAnsi="Times New Roman"/>
          <w:sz w:val="24"/>
          <w:szCs w:val="24"/>
        </w:rPr>
        <w:t xml:space="preserve">El método adoptado combina análisis estático de código fuente —mediante inspección de Árboles de Sintaxis Abstracta con el módulo estándar </w:t>
      </w:r>
      <w:r>
        <w:rPr>
          <w:rFonts w:ascii="Times New Roman" w:cs="Times New Roman" w:eastAsia="Times New Roman" w:hAnsi="Times New Roman"/>
          <w:i/>
          <w:iCs/>
          <w:sz w:val="24"/>
          <w:szCs w:val="24"/>
        </w:rPr>
        <w:t xml:space="preserve">ast</w:t>
      </w:r>
      <w:r>
        <w:rPr>
          <w:rFonts w:ascii="Times New Roman" w:cs="Times New Roman" w:eastAsia="Times New Roman" w:hAnsi="Times New Roman"/>
          <w:sz w:val="24"/>
          <w:szCs w:val="24"/>
        </w:rPr>
        <w:t xml:space="preserve"> de Python— con análisis dinámico mediante sondas HTTP que interactúan con una instancia en ejecución del proyecto auditado. Las recomendaciones de remediación se generan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que consulta una base de conocimiento local indexada en ChromaDB y utiliza el modelo Mistral 7B ejecutado mediante Ollama. La herramienta es evaluada con métricas de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en un entorno controlado y en tres proyectos externos de código abierto.</w:t>
      </w:r>
    </w:p>
    <w:p>
      <w:pPr>
        <w:spacing w:after="120" w:before="0" w:line="360" w:lineRule="auto"/>
        <w:ind w:firstLine="709"/>
        <w:jc w:val="both"/>
      </w:pPr>
      <w:r>
        <w:rPr>
          <w:rFonts w:ascii="Times New Roman" w:cs="Times New Roman" w:eastAsia="Times New Roman" w:hAnsi="Times New Roman"/>
          <w:sz w:val="24"/>
          <w:szCs w:val="24"/>
        </w:rPr>
        <w:t xml:space="preserve">El presente documento se organiza de la siguiente manera: el capítulo uno comprende el Marco de Referencia, que incluye los antecedentes, la situación actual y el marco teórico; el capítulo dos desarrolla el Planteamiento del Problema, con los objetivos, justificación, hipótesis, variables y alcance; el capítulo tres describe el Método de investigación; el capítulo cuatro expone los Resultados Esperados; y el capítulo cinco presenta el Cronograma Preliminar de actividades.</w:t>
      </w:r>
    </w:p>
    <w:p>
      <w:pPr>
        <w:spacing w:after="120" w:before="0" w:line="360" w:lineRule="auto"/>
        <w:ind w:firstLine="709"/>
        <w:jc w:val="both"/>
      </w:pPr>
      <w:r>
        <w:rPr>
          <w:rFonts w:ascii="Times New Roman" w:cs="Times New Roman" w:eastAsia="Times New Roman" w:hAnsi="Times New Roman"/>
          <w:sz w:val="24"/>
          <w:szCs w:val="24"/>
        </w:rPr>
        <w:t xml:space="preserve">La motivación personal del autor surge de la observación directa, durante el ejercicio profesional en el ecosistema de desarrollo Python en Guatemala, de vulnerabilidades recurrentes en interfaces de programación de aplicaciones construidas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serializadores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que exponen campos de contraseña en las respuestas JSON, vistas sin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que permiten acceso sin autenticación, y configuraciones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1. MARCO DE REFERENCIA</w:t>
      </w:r>
    </w:p>
    <w:p>
      <w:pPr>
        <w:spacing w:after="200" w:before="240" w:line="360"/>
        <w:jc w:val="left"/>
      </w:pPr>
      <w:r>
        <w:rPr>
          <w:rFonts w:ascii="Times New Roman" w:cs="Times New Roman" w:eastAsia="Times New Roman" w:hAnsi="Times New Roman"/>
          <w:b/>
          <w:bCs/>
          <w:sz w:val="24"/>
          <w:szCs w:val="24"/>
        </w:rPr>
        <w:t xml:space="preserve">1.1 ANTECEDENTES</w:t>
      </w:r>
    </w:p>
    <w:p>
      <w:pPr>
        <w:spacing w:after="120" w:before="0" w:line="360" w:lineRule="auto"/>
        <w:ind w:firstLine="709"/>
        <w:jc w:val="both"/>
      </w:pPr>
      <w:r>
        <w:rPr>
          <w:rFonts w:ascii="Times New Roman" w:cs="Times New Roman" w:eastAsia="Times New Roman" w:hAnsi="Times New Roman"/>
          <w:sz w:val="24"/>
          <w:szCs w:val="24"/>
        </w:rPr>
        <w:t xml:space="preserve">Las interfaces de programación de aplicaciones han experimentado un proceso de estandarización que comenzó con la adopción generalizada del estilo arquitectónico REST, definido formalmente por Roy Fielding en su disertación doctoral del año 2000. </w:t>
      </w:r>
      <w:r>
        <w:rPr>
          <w:rFonts w:ascii="Times New Roman" w:cs="Times New Roman" w:eastAsia="Times New Roman" w:hAnsi="Times New Roman"/>
          <w:i/>
          <w:iCs/>
          <w:sz w:val="24"/>
          <w:szCs w:val="24"/>
        </w:rPr>
        <w:t xml:space="preserve">Representational State Transfer</w:t>
      </w:r>
      <w:r>
        <w:rPr>
          <w:rFonts w:ascii="Times New Roman" w:cs="Times New Roman" w:eastAsia="Times New Roman" w:hAnsi="Times New Roman"/>
          <w:sz w:val="24"/>
          <w:szCs w:val="24"/>
        </w:rP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FootnoteReference"/>
        </w:rPr>
        <w:footnoteReference w:id="1"/>
      </w:r>
    </w:p>
    <w:p>
      <w:pPr>
        <w:spacing w:after="120" w:before="0" w:line="360" w:lineRule="auto"/>
        <w:ind w:firstLine="709"/>
        <w:jc w:val="both"/>
      </w:pPr>
      <w:r>
        <w:rPr>
          <w:rFonts w:ascii="Times New Roman" w:cs="Times New Roman" w:eastAsia="Times New Roman" w:hAnsi="Times New Roman"/>
          <w:sz w:val="24"/>
          <w:szCs w:val="24"/>
        </w:rPr>
        <w:t xml:space="preserve">La preocupación por la seguridad de las interfaces de programación de aplicaciones se formalizó con la fundación de OWASP (Open Worldwide Application Security Project) en 2001, organización sin fines de lucro dedicada a mejorar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FootnoteReference"/>
        </w:rPr>
        <w:footnoteReference w:id="2"/>
      </w:r>
    </w:p>
    <w:p>
      <w:pPr>
        <w:spacing w:after="120" w:before="0" w:line="360" w:lineRule="auto"/>
        <w:ind w:firstLine="709"/>
        <w:jc w:val="both"/>
      </w:pPr>
      <w:r>
        <w:rPr>
          <w:rFonts w:ascii="Times New Roman" w:cs="Times New Roman" w:eastAsia="Times New Roman" w:hAnsi="Times New Roman"/>
          <w:sz w:val="24"/>
          <w:szCs w:val="24"/>
        </w:rPr>
        <w:t xml:space="preserve">En el campo del análisis estático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ni de las categorías del OWASP API Security Top 10. En forma paralela, Semgrep surgió como motor de análisis estático de patrones multi-lenguaje; su conjunto de reglas </w:t>
      </w:r>
      <w:r>
        <w:rPr>
          <w:rFonts w:ascii="Times New Roman" w:cs="Times New Roman" w:eastAsia="Times New Roman" w:hAnsi="Times New Roman"/>
          <w:i/>
          <w:iCs/>
          <w:sz w:val="24"/>
          <w:szCs w:val="24"/>
        </w:rPr>
        <w:t xml:space="preserve">p/django</w:t>
      </w:r>
      <w:r>
        <w:rPr>
          <w:rFonts w:ascii="Times New Roman" w:cs="Times New Roman" w:eastAsia="Times New Roman" w:hAnsi="Times New Roman"/>
          <w:sz w:val="24"/>
          <w:szCs w:val="24"/>
        </w:rPr>
        <w:t xml:space="preserve"> cubre inyección SQL y protección CSRF, sin abordar los patrones de autenticación y autorización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Chess y McGraw (2004) establecieron que el análisis estático permite detectar clases de problemas estructurales que escapan a la revisión manual de código.</w:t>
      </w:r>
      <w:r>
        <w:rPr>
          <w:rStyle w:val="FootnoteReference"/>
        </w:rPr>
        <w:footnoteReference w:id="3"/>
      </w:r>
    </w:p>
    <w:p>
      <w:pPr>
        <w:spacing w:after="120" w:before="0" w:line="360" w:lineRule="auto"/>
        <w:ind w:firstLine="709"/>
        <w:jc w:val="both"/>
      </w:pPr>
      <w:r>
        <w:rPr>
          <w:rFonts w:ascii="Times New Roman" w:cs="Times New Roman" w:eastAsia="Times New Roman" w:hAnsi="Times New Roman"/>
          <w:sz w:val="24"/>
          <w:szCs w:val="24"/>
        </w:rPr>
        <w:t xml:space="preserve">Los primeros trabajos que vinculan modelos de lenguaje de gran escala con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en la arquitectura del presente trabajo.</w:t>
      </w:r>
      <w:r>
        <w:rPr>
          <w:rStyle w:val="FootnoteReference"/>
        </w:rPr>
        <w:footnoteReference w:id="4"/>
      </w:r>
    </w:p>
    <w:p>
      <w:pPr>
        <w:spacing w:after="120" w:before="0" w:line="360" w:lineRule="auto"/>
        <w:ind w:firstLine="709"/>
        <w:jc w:val="both"/>
      </w:pPr>
      <w:r>
        <w:rPr>
          <w:rFonts w:ascii="Times New Roman" w:cs="Times New Roman" w:eastAsia="Times New Roman" w:hAnsi="Times New Roman"/>
          <w:sz w:val="24"/>
          <w:szCs w:val="24"/>
        </w:rPr>
        <w:t xml:space="preserve">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FootnoteReference"/>
        </w:rPr>
        <w:footnoteReference w:id="5"/>
      </w:r>
    </w:p>
    <w:p>
      <w:pPr>
        <w:spacing w:after="120" w:before="0" w:line="360" w:lineRule="auto"/>
        <w:ind w:firstLine="709"/>
        <w:jc w:val="both"/>
      </w:pPr>
      <w:r>
        <w:rPr>
          <w:rFonts w:ascii="Times New Roman" w:cs="Times New Roman" w:eastAsia="Times New Roman" w:hAnsi="Times New Roman"/>
          <w:sz w:val="24"/>
          <w:szCs w:val="24"/>
        </w:rPr>
        <w:t xml:space="preserve">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—derivado de la arquitectura Sentence-BERT— puede procesar cientos de fragmentos de texto por segundo en CPU, eliminando la necesidad de hardware especializado para la fase de indexación y recuperación del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Esta característica es indispensable para el objetivo de operación completamente local de la herramienta.</w:t>
      </w:r>
      <w:r>
        <w:rPr>
          <w:rStyle w:val="FootnoteReference"/>
        </w:rPr>
        <w:footnoteReference w:id="6"/>
      </w:r>
    </w:p>
    <w:p>
      <w:pPr>
        <w:spacing w:after="120" w:before="0" w:line="360" w:lineRule="auto"/>
        <w:ind w:firstLine="709"/>
        <w:jc w:val="both"/>
      </w:pPr>
      <w:r>
        <w:rPr>
          <w:rFonts w:ascii="Times New Roman" w:cs="Times New Roman" w:eastAsia="Times New Roman" w:hAnsi="Times New Roman"/>
          <w:sz w:val="24"/>
          <w:szCs w:val="24"/>
        </w:rPr>
        <w:t xml:space="preserve">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 En su variante cuantizada Q4_K_M, Mistral 7B requiere aproximadamente cuatro gigabytes de memoria RAM para su ejecución, lo que lo hace compatible con el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disponible en estaciones de trabajo de desarrollo típicas. La herramienta Ollama facilita la gestión de modelos cuantizados mediante una interfaz REST local, eliminando la complejidad de la configuración directa del </w:t>
      </w:r>
      <w:r>
        <w:rPr>
          <w:rFonts w:ascii="Times New Roman" w:cs="Times New Roman" w:eastAsia="Times New Roman" w:hAnsi="Times New Roman"/>
          <w:i/>
          <w:iCs/>
          <w:sz w:val="24"/>
          <w:szCs w:val="24"/>
        </w:rPr>
        <w:t xml:space="preserve">runtime</w:t>
      </w:r>
      <w:r>
        <w:rPr>
          <w:rFonts w:ascii="Times New Roman" w:cs="Times New Roman" w:eastAsia="Times New Roman" w:hAnsi="Times New Roman"/>
          <w:sz w:val="24"/>
          <w:szCs w:val="24"/>
        </w:rPr>
        <w:t xml:space="preserve"> de inferencia y permitiendo que la herramienta de auditoría interactúe con el modelo mediante llamadas HTTP estándar.</w:t>
      </w:r>
      <w:r>
        <w:rPr>
          <w:rStyle w:val="FootnoteReference"/>
        </w:rPr>
        <w:footnoteReference w:id="7"/>
      </w:r>
      <w:r>
        <w:rPr>
          <w:rStyle w:val="FootnoteReference"/>
        </w:rPr>
        <w:footnoteReference w:id="8"/>
      </w:r>
    </w:p>
    <w:p>
      <w:pPr>
        <w:spacing w:after="120" w:before="0" w:line="360" w:lineRule="auto"/>
        <w:ind w:firstLine="709"/>
        <w:jc w:val="both"/>
      </w:pPr>
      <w:r>
        <w:rPr>
          <w:rFonts w:ascii="Times New Roman" w:cs="Times New Roman" w:eastAsia="Times New Roman" w:hAnsi="Times New Roman"/>
          <w:sz w:val="24"/>
          <w:szCs w:val="24"/>
        </w:rPr>
        <w:t xml:space="preserve">En el contexto centroamericano, la literatura sobre herramientas de seguridad para el desarrollo de software adaptadas a entornos con recursos limitados es escasa. La mayoría de los estudios sobre análisis de vulnerabilidades en frameworks web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pPr>
        <w:spacing w:after="200" w:before="240" w:line="360"/>
        <w:jc w:val="left"/>
      </w:pPr>
      <w:r>
        <w:rPr>
          <w:rFonts w:ascii="Times New Roman" w:cs="Times New Roman" w:eastAsia="Times New Roman" w:hAnsi="Times New Roman"/>
          <w:b/>
          <w:bCs/>
          <w:sz w:val="24"/>
          <w:szCs w:val="24"/>
        </w:rPr>
        <w:t xml:space="preserve">1.2 SITUACIÓN ACTUAL</w:t>
      </w:r>
    </w:p>
    <w:p>
      <w:pPr>
        <w:spacing w:after="120" w:before="0" w:line="360" w:lineRule="auto"/>
        <w:ind w:firstLine="709"/>
        <w:jc w:val="both"/>
      </w:pPr>
      <w:r>
        <w:rPr>
          <w:rFonts w:ascii="Times New Roman" w:cs="Times New Roman" w:eastAsia="Times New Roman" w:hAnsi="Times New Roman"/>
          <w:sz w:val="24"/>
          <w:szCs w:val="24"/>
        </w:rPr>
        <w:t xml:space="preserve">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digitales y servicios financieros. Su popularidad implica que los patrones de configuración inseguros que esta biblioteca permite —y que no son detectados por las herramientas existentes— tienen un impacto potencial de alcance masivo.</w:t>
      </w:r>
    </w:p>
    <w:p>
      <w:pPr>
        <w:spacing w:after="120" w:before="0" w:line="360" w:lineRule="auto"/>
        <w:ind w:firstLine="709"/>
        <w:jc w:val="both"/>
      </w:pPr>
      <w:r>
        <w:rPr>
          <w:rFonts w:ascii="Times New Roman" w:cs="Times New Roman" w:eastAsia="Times New Roman" w:hAnsi="Times New Roman"/>
          <w:sz w:val="24"/>
          <w:szCs w:val="24"/>
        </w:rPr>
        <w:t xml:space="preserve">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rFonts w:ascii="Times New Roman" w:cs="Times New Roman" w:eastAsia="Times New Roman" w:hAnsi="Times New Roman"/>
          <w:i/>
          <w:iCs/>
          <w:sz w:val="24"/>
          <w:szCs w:val="24"/>
        </w:rPr>
        <w:t xml:space="preserve">p/django</w:t>
      </w:r>
      <w:r>
        <w:rPr>
          <w:rFonts w:ascii="Times New Roman" w:cs="Times New Roman" w:eastAsia="Times New Roman" w:hAnsi="Times New Roman"/>
          <w:sz w:val="24"/>
          <w:szCs w:val="24"/>
        </w:rPr>
        <w:t xml:space="preserve"> de Semgrep no produjo ningún hallazgo relevante. OWASP ZAP, por operar exclusivamente a nivel HTTP sin acceso al código fuente, tampoco detectó los patrones de configuración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Viglianisi et al. (2020) y Atlidakis et al. (2019) confirmaron limitaciones equivalentes en herramientas de pruebas de caja negra para APIs REST, que tampoco inspeccionan el código fuente.</w:t>
      </w:r>
      <w:r>
        <w:rPr>
          <w:rStyle w:val="FootnoteReference"/>
        </w:rPr>
        <w:footnoteReference w:id="9"/>
      </w:r>
      <w:r>
        <w:rPr>
          <w:rStyle w:val="FootnoteReference"/>
        </w:rPr>
        <w:footnoteReference w:id="10"/>
      </w:r>
    </w:p>
    <w:p>
      <w:pPr>
        <w:spacing w:after="120" w:before="0" w:line="360" w:lineRule="auto"/>
        <w:ind w:firstLine="709"/>
        <w:jc w:val="both"/>
      </w:pPr>
      <w:r>
        <w:rPr>
          <w:rFonts w:ascii="Times New Roman" w:cs="Times New Roman" w:eastAsia="Times New Roman" w:hAnsi="Times New Roman"/>
          <w:sz w:val="24"/>
          <w:szCs w:val="24"/>
        </w:rPr>
        <w:t xml:space="preserve">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transmisión de código fuente propietario hacia servidores externos, e incompatibilidad con entornos sin acceso a internet o con regulaciones estrictas de privacidad de datos.</w:t>
      </w:r>
      <w:r>
        <w:rPr>
          <w:rStyle w:val="FootnoteReference"/>
        </w:rPr>
        <w:footnoteReference w:id="11"/>
      </w:r>
    </w:p>
    <w:p>
      <w:pPr>
        <w:spacing w:after="120" w:before="0" w:line="360" w:lineRule="auto"/>
        <w:ind w:firstLine="709"/>
        <w:jc w:val="both"/>
      </w:pPr>
      <w:r>
        <w:rPr>
          <w:rFonts w:ascii="Times New Roman" w:cs="Times New Roman" w:eastAsia="Times New Roman" w:hAnsi="Times New Roman"/>
          <w:sz w:val="24"/>
          <w:szCs w:val="24"/>
        </w:rPr>
        <w:t xml:space="preserve">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pPr>
        <w:spacing w:after="120" w:before="0" w:line="360" w:lineRule="auto"/>
        <w:ind w:firstLine="709"/>
        <w:jc w:val="both"/>
      </w:pPr>
      <w:r>
        <w:rPr>
          <w:rFonts w:ascii="Times New Roman" w:cs="Times New Roman" w:eastAsia="Times New Roman" w:hAnsi="Times New Roman"/>
          <w:sz w:val="24"/>
          <w:szCs w:val="24"/>
        </w:rPr>
        <w:t xml:space="preserve">La convergencia de estas limitaciones —ausencia de herramientas de análisis especializadas para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para construir sistemas críticos.</w:t>
      </w:r>
    </w:p>
    <w:p>
      <w:pPr>
        <w:spacing w:after="120" w:before="0" w:line="360" w:lineRule="auto"/>
        <w:ind w:firstLine="709"/>
        <w:jc w:val="both"/>
      </w:pPr>
      <w:r>
        <w:rPr>
          <w:rFonts w:ascii="Times New Roman" w:cs="Times New Roman" w:eastAsia="Times New Roman" w:hAnsi="Times New Roman"/>
          <w:sz w:val="24"/>
          <w:szCs w:val="24"/>
        </w:rPr>
        <w:t xml:space="preserve">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optimizadas para CPU (Mistral 7B) y bases de datos vectoriales embebibles (ChromaDB) ha reducido los requisitos de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a niveles accesibles para estaciones de trabajo de desarrollo estándar, habilitando la categoría de herramientas de análisis de seguridad aumentadas por inteligencia artificial que el presente trabajo explora.</w:t>
      </w:r>
      <w:r>
        <w:rPr>
          <w:rStyle w:val="FootnoteReference"/>
        </w:rPr>
        <w:footnoteReference w:id="12"/>
      </w:r>
      <w:r>
        <w:rPr>
          <w:rStyle w:val="FootnoteReference"/>
        </w:rPr>
        <w:footnoteReference w:id="13"/>
      </w:r>
    </w:p>
    <w:p>
      <w:pPr>
        <w:spacing w:after="200" w:before="240" w:line="360"/>
        <w:jc w:val="left"/>
      </w:pPr>
      <w:r>
        <w:rPr>
          <w:rFonts w:ascii="Times New Roman" w:cs="Times New Roman" w:eastAsia="Times New Roman" w:hAnsi="Times New Roman"/>
          <w:b/>
          <w:bCs/>
          <w:sz w:val="24"/>
          <w:szCs w:val="24"/>
        </w:rPr>
        <w:t xml:space="preserve">1.3 MARCO TEÓRICO</w:t>
      </w:r>
    </w:p>
    <w:p>
      <w:pPr>
        <w:spacing w:after="0" w:before="200" w:line="360"/>
        <w:jc w:val="center"/>
      </w:pPr>
      <w:r>
        <w:rPr>
          <w:rFonts w:ascii="Times New Roman" w:cs="Times New Roman" w:eastAsia="Times New Roman" w:hAnsi="Times New Roman"/>
          <w:b/>
          <w:bCs/>
          <w:sz w:val="24"/>
          <w:szCs w:val="24"/>
        </w:rPr>
        <w:t xml:space="preserve">Figura No. 1</w:t>
      </w:r>
    </w:p>
    <w:p>
      <w:pPr>
        <w:spacing w:after="100" w:before="0" w:line="360"/>
        <w:jc w:val="center"/>
      </w:pPr>
      <w:r>
        <w:rPr>
          <w:rFonts w:ascii="Times New Roman" w:cs="Times New Roman" w:eastAsia="Times New Roman" w:hAnsi="Times New Roman"/>
          <w:b/>
          <w:bCs/>
          <w:sz w:val="24"/>
          <w:szCs w:val="24"/>
        </w:rPr>
        <w:t xml:space="preserve">ARQUITECTURA DEL SISTEMA DE AUDITORÍA DE SEGURIDAD</w:t>
      </w:r>
    </w:p>
    <w:p>
      <w:pPr>
        <w:spacing w:after="0" w:before="0" w:line="36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spacing w:after="200" w:before="80" w:line="240"/>
        <w:ind w:left="668"/>
        <w:jc w:val="left"/>
      </w:pPr>
      <w:r>
        <w:rPr>
          <w:rFonts w:ascii="Times New Roman" w:cs="Times New Roman" w:eastAsia="Times New Roman" w:hAnsi="Times New Roman"/>
          <w:sz w:val="20"/>
          <w:szCs w:val="20"/>
        </w:rPr>
        <w:t xml:space="preserve">Fuente: Propia.</w:t>
      </w:r>
    </w:p>
    <w:p>
      <w:pPr>
        <w:spacing w:after="0" w:before="200" w:line="360" w:lineRule="auto"/>
        <w:ind w:firstLine="0"/>
        <w:jc w:val="left"/>
      </w:pPr>
      <w:r>
        <w:rPr>
          <w:rFonts w:ascii="Times New Roman" w:cs="Times New Roman" w:eastAsia="Times New Roman" w:hAnsi="Times New Roman"/>
          <w:sz w:val="24"/>
          <w:szCs w:val="24"/>
        </w:rPr>
        <w:t xml:space="preserve">1.3.1 </w:t>
      </w:r>
      <w:r>
        <w:rPr>
          <w:rFonts w:ascii="Times New Roman" w:cs="Times New Roman" w:eastAsia="Times New Roman" w:hAnsi="Times New Roman"/>
          <w:sz w:val="24"/>
          <w:szCs w:val="24"/>
          <w:u w:val="single"/>
        </w:rPr>
        <w:t xml:space="preserve">Seguridad de Aplicaciones Web y APIs REST</w:t>
      </w:r>
    </w:p>
    <w:p>
      <w:pPr>
        <w:spacing w:after="120" w:before="0" w:line="360" w:lineRule="auto"/>
        <w:ind w:firstLine="709"/>
        <w:jc w:val="both"/>
      </w:pPr>
      <w:r>
        <w:rPr>
          <w:rFonts w:ascii="Times New Roman" w:cs="Times New Roman" w:eastAsia="Times New Roman" w:hAnsi="Times New Roman"/>
          <w:sz w:val="24"/>
          <w:szCs w:val="24"/>
        </w:rPr>
        <w:t xml:space="preserve">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FootnoteReference"/>
        </w:rPr>
        <w:footnoteReference w:id="14"/>
      </w:r>
    </w:p>
    <w:p>
      <w:pPr>
        <w:spacing w:after="120" w:before="0" w:line="360" w:lineRule="auto"/>
        <w:ind w:firstLine="709"/>
        <w:jc w:val="both"/>
      </w:pPr>
      <w:r>
        <w:rPr>
          <w:rFonts w:ascii="Times New Roman" w:cs="Times New Roman" w:eastAsia="Times New Roman" w:hAnsi="Times New Roman"/>
          <w:sz w:val="24"/>
          <w:szCs w:val="24"/>
        </w:rPr>
        <w:t xml:space="preserve">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rFonts w:ascii="Times New Roman" w:cs="Times New Roman" w:eastAsia="Times New Roman" w:hAnsi="Times New Roman"/>
          <w:i/>
          <w:iCs/>
          <w:sz w:val="24"/>
          <w:szCs w:val="24"/>
        </w:rPr>
        <w:t xml:space="preserve">frontends</w:t>
      </w:r>
      <w:r>
        <w:rPr>
          <w:rFonts w:ascii="Times New Roman" w:cs="Times New Roman" w:eastAsia="Times New Roman" w:hAnsi="Times New Roman"/>
          <w:sz w:val="24"/>
          <w:szCs w:val="24"/>
        </w:rP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pPr>
        <w:spacing w:after="120" w:before="0" w:line="360" w:lineRule="auto"/>
        <w:ind w:firstLine="709"/>
        <w:jc w:val="both"/>
      </w:pPr>
      <w:r>
        <w:rPr>
          <w:rFonts w:ascii="Times New Roman" w:cs="Times New Roman" w:eastAsia="Times New Roman" w:hAnsi="Times New Roman"/>
          <w:sz w:val="24"/>
          <w:szCs w:val="24"/>
        </w:rPr>
        <w:t xml:space="preserve">Viglianisi et al. (2020) identificaron que los ataques contra interfaces de programación de aplicaciones REST se concentran en los puntos donde el sistema acepta entrada del usuario, procesa datos o toma decisiones de autorización. En dichas interfaces, estas tres zonas coinciden en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expuesto: el identificador de recurso en la URL constituye entrada del usuario, el cuerpo JSON de la petición contiene datos a procesar, y los encabezados de autorización determinan las decisiones de acceso. La multiplicación de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y la variedad de clientes que los consumen amplifican la superficie de ataque respecto de las aplicaciones web monolíticas.</w:t>
      </w:r>
      <w:r>
        <w:rPr>
          <w:rStyle w:val="FootnoteReference"/>
        </w:rPr>
        <w:footnoteReference w:id="15"/>
      </w:r>
    </w:p>
    <w:p>
      <w:pPr>
        <w:spacing w:after="0" w:before="200" w:line="360" w:lineRule="auto"/>
        <w:ind w:firstLine="0"/>
        <w:jc w:val="left"/>
      </w:pPr>
      <w:r>
        <w:rPr>
          <w:rFonts w:ascii="Times New Roman" w:cs="Times New Roman" w:eastAsia="Times New Roman" w:hAnsi="Times New Roman"/>
          <w:sz w:val="24"/>
          <w:szCs w:val="24"/>
        </w:rPr>
        <w:t xml:space="preserve">1.3.1.1 </w:t>
      </w:r>
      <w:r>
        <w:rPr>
          <w:rFonts w:ascii="Times New Roman" w:cs="Times New Roman" w:eastAsia="Times New Roman" w:hAnsi="Times New Roman"/>
          <w:sz w:val="24"/>
          <w:szCs w:val="24"/>
          <w:u w:val="single"/>
        </w:rPr>
        <w:t xml:space="preserve">El paradigma REST</w:t>
      </w:r>
    </w:p>
    <w:p>
      <w:pPr>
        <w:spacing w:after="120" w:before="0" w:line="360" w:lineRule="auto"/>
        <w:ind w:firstLine="709"/>
        <w:jc w:val="both"/>
      </w:pPr>
      <w:r>
        <w:rPr>
          <w:rFonts w:ascii="Times New Roman" w:cs="Times New Roman" w:eastAsia="Times New Roman" w:hAnsi="Times New Roman"/>
          <w:sz w:val="24"/>
          <w:szCs w:val="24"/>
        </w:rPr>
        <w:t xml:space="preserve">Fielding definió en su disertación doctoral (2000) seis restricciones arquitectónicas que caracterizan el estilo REST: (1) separación cliente-servidor, (2) comunicación sin estado, (3) respuestas </w:t>
      </w:r>
      <w:r>
        <w:rPr>
          <w:rFonts w:ascii="Times New Roman" w:cs="Times New Roman" w:eastAsia="Times New Roman" w:hAnsi="Times New Roman"/>
          <w:i/>
          <w:iCs/>
          <w:sz w:val="24"/>
          <w:szCs w:val="24"/>
        </w:rPr>
        <w:t xml:space="preserve">cacheables</w:t>
      </w:r>
      <w:r>
        <w:rPr>
          <w:rFonts w:ascii="Times New Roman" w:cs="Times New Roman" w:eastAsia="Times New Roman" w:hAnsi="Times New Roman"/>
          <w:sz w:val="24"/>
          <w:szCs w:val="24"/>
        </w:rPr>
        <w:t xml:space="preserve">,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FootnoteReference"/>
        </w:rPr>
        <w:footnoteReference w:id="16"/>
      </w:r>
    </w:p>
    <w:p>
      <w:pPr>
        <w:spacing w:after="120" w:before="0" w:line="360" w:lineRule="auto"/>
        <w:ind w:firstLine="709"/>
        <w:jc w:val="both"/>
      </w:pPr>
      <w:r>
        <w:rPr>
          <w:rFonts w:ascii="Times New Roman" w:cs="Times New Roman" w:eastAsia="Times New Roman" w:hAnsi="Times New Roman"/>
          <w:sz w:val="24"/>
          <w:szCs w:val="24"/>
        </w:rPr>
        <w:t xml:space="preserve">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URIs de una interfaz de programación de aplicaciones REST puede intentar enumerar recursos incrementando identificadores numéricos, descubrir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no documentados mediante fuerza bruta de rutas, o inferir la estructura del modelo de datos a partir de los campos devueltos en las respuestas.</w:t>
      </w:r>
    </w:p>
    <w:p>
      <w:pPr>
        <w:spacing w:after="0" w:before="200" w:line="360" w:lineRule="auto"/>
        <w:ind w:firstLine="0"/>
        <w:jc w:val="left"/>
      </w:pPr>
      <w:r>
        <w:rPr>
          <w:rFonts w:ascii="Times New Roman" w:cs="Times New Roman" w:eastAsia="Times New Roman" w:hAnsi="Times New Roman"/>
          <w:sz w:val="24"/>
          <w:szCs w:val="24"/>
        </w:rPr>
        <w:t xml:space="preserve">1.3.1.2 </w:t>
      </w:r>
      <w:r>
        <w:rPr>
          <w:rFonts w:ascii="Times New Roman" w:cs="Times New Roman" w:eastAsia="Times New Roman" w:hAnsi="Times New Roman"/>
          <w:sz w:val="24"/>
          <w:szCs w:val="24"/>
          <w:u w:val="single"/>
        </w:rPr>
        <w:t xml:space="preserve">APIs REST como superficie de ataque</w:t>
      </w:r>
    </w:p>
    <w:p>
      <w:pPr>
        <w:spacing w:after="120" w:before="0" w:line="360" w:lineRule="auto"/>
        <w:ind w:firstLine="709"/>
        <w:jc w:val="both"/>
      </w:pPr>
      <w:r>
        <w:rPr>
          <w:rFonts w:ascii="Times New Roman" w:cs="Times New Roman" w:eastAsia="Times New Roman" w:hAnsi="Times New Roman"/>
          <w:sz w:val="24"/>
          <w:szCs w:val="24"/>
        </w:rPr>
        <w:t xml:space="preserve">A diferencia de las aplicaciones web que renderizan HTML en el servidor, las interfaces de programación de aplicaciones REST exponen directamente recursos de datos en formato JSON o XML, con autenticación basada en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FootnoteReference"/>
        </w:rPr>
        <w:footnoteReference w:id="17"/>
      </w:r>
    </w:p>
    <w:p>
      <w:pPr>
        <w:spacing w:after="120" w:before="0" w:line="360" w:lineRule="auto"/>
        <w:ind w:firstLine="709"/>
        <w:jc w:val="both"/>
      </w:pPr>
      <w:r>
        <w:rPr>
          <w:rFonts w:ascii="Times New Roman" w:cs="Times New Roman" w:eastAsia="Times New Roman" w:hAnsi="Times New Roman"/>
          <w:sz w:val="24"/>
          <w:szCs w:val="24"/>
        </w:rPr>
        <w:t xml:space="preserve">La naturaleza stateless de REST implica que cada petición debe contener toda la información necesaria para ser procesada, incluyendo las credenciales de autenticación. Esto se implementa típicamente mediante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JWT (JSON Web Tokens) o claves de API incluidas en encabezados HTTP. Si estos mecanismos se implementan incorrectamente —por ejemplo, omitiendo la validación del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en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es la única barrera entre el cliente y los datos.</w:t>
      </w:r>
    </w:p>
    <w:p>
      <w:pPr>
        <w:spacing w:after="0" w:before="200" w:line="360" w:lineRule="auto"/>
        <w:ind w:firstLine="0"/>
        <w:jc w:val="left"/>
      </w:pPr>
      <w:r>
        <w:rPr>
          <w:rFonts w:ascii="Times New Roman" w:cs="Times New Roman" w:eastAsia="Times New Roman" w:hAnsi="Times New Roman"/>
          <w:sz w:val="24"/>
          <w:szCs w:val="24"/>
        </w:rPr>
        <w:t xml:space="preserve">1.3.1.3 </w:t>
      </w:r>
      <w:r>
        <w:rPr>
          <w:rFonts w:ascii="Times New Roman" w:cs="Times New Roman" w:eastAsia="Times New Roman" w:hAnsi="Times New Roman"/>
          <w:sz w:val="24"/>
          <w:szCs w:val="24"/>
          <w:u w:val="single"/>
        </w:rPr>
        <w:t xml:space="preserve">Estadísticas y tendencias de vulnerabilidades en APIs</w:t>
      </w:r>
    </w:p>
    <w:p>
      <w:pPr>
        <w:spacing w:after="120" w:before="0" w:line="360" w:lineRule="auto"/>
        <w:ind w:firstLine="709"/>
        <w:jc w:val="both"/>
      </w:pPr>
      <w:r>
        <w:rPr>
          <w:rFonts w:ascii="Times New Roman" w:cs="Times New Roman" w:eastAsia="Times New Roman" w:hAnsi="Times New Roman"/>
          <w:sz w:val="24"/>
          <w:szCs w:val="24"/>
        </w:rPr>
        <w:t xml:space="preserve">La investigación académica sobre vulnerabilidades en interfaces de programación de aplicaciones REST evidencia una creciente preocupación por su seguridad. Atlidakis et al. (2019) demostraron mediante pruebas de caja negra sobre servicios REST reales que una proporción significativa de interfaces presenta vulnerabilidades explotables automáticamente.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rStyle w:val="FootnoteReference"/>
        </w:rPr>
        <w:footnoteReference w:id="18"/>
      </w:r>
      <w:r>
        <w:rPr>
          <w:rStyle w:val="FootnoteReference"/>
        </w:rPr>
        <w:footnoteReference w:id="19"/>
      </w:r>
    </w:p>
    <w:p>
      <w:pPr>
        <w:spacing w:after="120" w:before="0" w:line="360" w:lineRule="auto"/>
        <w:ind w:firstLine="709"/>
        <w:jc w:val="both"/>
      </w:pPr>
      <w:r>
        <w:rPr>
          <w:rFonts w:ascii="Times New Roman" w:cs="Times New Roman" w:eastAsia="Times New Roman" w:hAnsi="Times New Roman"/>
          <w:sz w:val="24"/>
          <w:szCs w:val="24"/>
        </w:rPr>
        <w:t xml:space="preserve">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FootnoteReference"/>
        </w:rPr>
        <w:footnoteReference w:id="20"/>
      </w:r>
    </w:p>
    <w:p>
      <w:pPr>
        <w:spacing w:after="0" w:before="200" w:line="360" w:lineRule="auto"/>
        <w:ind w:firstLine="0"/>
        <w:jc w:val="left"/>
      </w:pPr>
      <w:r>
        <w:rPr>
          <w:rFonts w:ascii="Times New Roman" w:cs="Times New Roman" w:eastAsia="Times New Roman" w:hAnsi="Times New Roman"/>
          <w:sz w:val="24"/>
          <w:szCs w:val="24"/>
        </w:rPr>
        <w:t xml:space="preserve">1.3.2 </w:t>
      </w:r>
      <w:r>
        <w:rPr>
          <w:rFonts w:ascii="Times New Roman" w:cs="Times New Roman" w:eastAsia="Times New Roman" w:hAnsi="Times New Roman"/>
          <w:sz w:val="24"/>
          <w:szCs w:val="24"/>
          <w:u w:val="single"/>
        </w:rPr>
        <w:t xml:space="preserve">OWASP API Security Top 10 (2023)</w:t>
      </w:r>
    </w:p>
    <w:p>
      <w:pPr>
        <w:spacing w:after="120" w:before="0" w:line="360" w:lineRule="auto"/>
        <w:ind w:firstLine="709"/>
        <w:jc w:val="both"/>
      </w:pPr>
      <w:r>
        <w:rPr>
          <w:rFonts w:ascii="Times New Roman" w:cs="Times New Roman" w:eastAsia="Times New Roman" w:hAnsi="Times New Roman"/>
          <w:sz w:val="24"/>
          <w:szCs w:val="24"/>
        </w:rPr>
        <w:t xml:space="preserve">OWASP (Open Worldwide Application Security Project) es una organización sin fines de lucro fundada en 2001 cuya misión consiste en mejorar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FootnoteReference"/>
        </w:rPr>
        <w:footnoteReference w:id="21"/>
      </w:r>
    </w:p>
    <w:p>
      <w:pPr>
        <w:spacing w:after="120" w:before="0" w:line="360" w:lineRule="auto"/>
        <w:ind w:firstLine="709"/>
        <w:jc w:val="both"/>
      </w:pPr>
      <w:r>
        <w:rPr>
          <w:rFonts w:ascii="Times New Roman" w:cs="Times New Roman" w:eastAsia="Times New Roman" w:hAnsi="Times New Roman"/>
          <w:sz w:val="24"/>
          <w:szCs w:val="24"/>
        </w:rPr>
        <w:t xml:space="preserve">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FootnoteReference"/>
        </w:rPr>
        <w:footnoteReference w:id="22"/>
      </w:r>
    </w:p>
    <w:p>
      <w:pPr>
        <w:spacing w:after="120" w:before="0" w:line="360" w:lineRule="auto"/>
        <w:ind w:firstLine="709"/>
        <w:jc w:val="both"/>
      </w:pPr>
      <w:r>
        <w:rPr>
          <w:rFonts w:ascii="Times New Roman" w:cs="Times New Roman" w:eastAsia="Times New Roman" w:hAnsi="Times New Roman"/>
          <w:sz w:val="24"/>
          <w:szCs w:val="24"/>
        </w:rPr>
        <w:t xml:space="preserve">Para el presente trabajo, la selección de las seis categorías a cubrir se realizó con base en dos criterios: (1) la existencia de un indicador de riesgo detectable en el código fuente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mediante análisis estático de Árboles de Sintaxis Abstracta o mediante sonda HTTP, y (2) la frecuencia documentada de cada categoría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APIs) quedaron fuera del alcance porque requieren análisis de lógica de negocio específica o inspección de flujo de datos interprocedural, capacidades que exceden el alcance de una herramienta de análisis estático general.</w:t>
      </w:r>
    </w:p>
    <w:p>
      <w:pPr>
        <w:spacing w:after="0" w:before="200" w:line="360" w:lineRule="auto"/>
        <w:ind w:firstLine="0"/>
        <w:jc w:val="left"/>
      </w:pPr>
      <w:r>
        <w:rPr>
          <w:rFonts w:ascii="Times New Roman" w:cs="Times New Roman" w:eastAsia="Times New Roman" w:hAnsi="Times New Roman"/>
          <w:sz w:val="24"/>
          <w:szCs w:val="24"/>
        </w:rPr>
        <w:t xml:space="preserve">1.3.2.1 </w:t>
      </w:r>
      <w:r>
        <w:rPr>
          <w:rFonts w:ascii="Times New Roman" w:cs="Times New Roman" w:eastAsia="Times New Roman" w:hAnsi="Times New Roman"/>
          <w:sz w:val="24"/>
          <w:szCs w:val="24"/>
          <w:u w:val="single"/>
        </w:rPr>
        <w:t xml:space="preserve">API1:2023 — Broken Object Level Authorization (BOLA)</w:t>
      </w:r>
    </w:p>
    <w:p>
      <w:pPr>
        <w:spacing w:after="120" w:before="0" w:line="360" w:lineRule="auto"/>
        <w:ind w:firstLine="709"/>
        <w:jc w:val="both"/>
      </w:pPr>
      <w:r>
        <w:rPr>
          <w:rFonts w:ascii="Times New Roman" w:cs="Times New Roman" w:eastAsia="Times New Roman" w:hAnsi="Times New Roman"/>
          <w:sz w:val="24"/>
          <w:szCs w:val="24"/>
        </w:rPr>
        <w:t xml:space="preserve">Esta categoría —conocida también como IDOR (</w:t>
      </w:r>
      <w:r>
        <w:rPr>
          <w:rFonts w:ascii="Times New Roman" w:cs="Times New Roman" w:eastAsia="Times New Roman" w:hAnsi="Times New Roman"/>
          <w:i/>
          <w:iCs/>
          <w:sz w:val="24"/>
          <w:szCs w:val="24"/>
        </w:rPr>
        <w:t xml:space="preserve">Insecure Direct Object Reference</w:t>
      </w:r>
      <w:r>
        <w:rPr>
          <w:rFonts w:ascii="Times New Roman" w:cs="Times New Roman" w:eastAsia="Times New Roman" w:hAnsi="Times New Roman"/>
          <w:sz w:val="24"/>
          <w:szCs w:val="24"/>
        </w:rPr>
        <w:t xml:space="preserve">)— ocurre cuando el servidor no verifica que el usuario autenticado tiene derecho a acceder al objeto específico identificado en la ruta URL. El escenario típico consiste en que el usuario A accede a </w:t>
      </w:r>
      <w:r>
        <w:rPr>
          <w:rFonts w:ascii="Times New Roman" w:cs="Times New Roman" w:eastAsia="Times New Roman" w:hAnsi="Times New Roman"/>
          <w:i/>
          <w:iCs/>
          <w:sz w:val="24"/>
          <w:szCs w:val="24"/>
        </w:rPr>
        <w:t xml:space="preserve">/api/orders/1/</w:t>
      </w:r>
      <w:r>
        <w:rPr>
          <w:rFonts w:ascii="Times New Roman" w:cs="Times New Roman" w:eastAsia="Times New Roman" w:hAnsi="Times New Roman"/>
          <w:sz w:val="24"/>
          <w:szCs w:val="24"/>
        </w:rPr>
        <w:t xml:space="preserve"> siendo que ese pedido pertenece al usuario B.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el indicador de riesgo detectado por la herramienta consiste en parámetros numéricos en la ruta URL sin filtrado explícito por </w:t>
      </w:r>
      <w:r>
        <w:rPr>
          <w:rFonts w:ascii="Times New Roman" w:cs="Times New Roman" w:eastAsia="Times New Roman" w:hAnsi="Times New Roman"/>
          <w:i/>
          <w:iCs/>
          <w:sz w:val="24"/>
          <w:szCs w:val="24"/>
        </w:rPr>
        <w:t xml:space="preserve">request.user</w:t>
      </w:r>
      <w:r>
        <w:rPr>
          <w:rFonts w:ascii="Times New Roman" w:cs="Times New Roman" w:eastAsia="Times New Roman" w:hAnsi="Times New Roman"/>
          <w:sz w:val="24"/>
          <w:szCs w:val="24"/>
        </w:rPr>
        <w:t xml:space="preserve"> en el método </w:t>
      </w:r>
      <w:r>
        <w:rPr>
          <w:rFonts w:ascii="Times New Roman" w:cs="Times New Roman" w:eastAsia="Times New Roman" w:hAnsi="Times New Roman"/>
          <w:i/>
          <w:iCs/>
          <w:sz w:val="24"/>
          <w:szCs w:val="24"/>
        </w:rPr>
        <w:t xml:space="preserve">get_queryset()</w:t>
      </w:r>
      <w:r>
        <w:rPr>
          <w:rFonts w:ascii="Times New Roman" w:cs="Times New Roman" w:eastAsia="Times New Roman" w:hAnsi="Times New Roman"/>
          <w:sz w:val="24"/>
          <w:szCs w:val="24"/>
        </w:rPr>
        <w:t xml:space="preserve">. El impacto es la exposición masiva de datos de múltiples usuarios mediante enumeración secuencial de identificadores.</w:t>
      </w:r>
      <w:r>
        <w:rPr>
          <w:rStyle w:val="FootnoteReference"/>
        </w:rPr>
        <w:footnoteReference w:id="23"/>
      </w:r>
    </w:p>
    <w:p>
      <w:pPr>
        <w:spacing w:after="0" w:before="200" w:line="360" w:lineRule="auto"/>
        <w:ind w:firstLine="0"/>
        <w:jc w:val="left"/>
      </w:pPr>
      <w:r>
        <w:rPr>
          <w:rFonts w:ascii="Times New Roman" w:cs="Times New Roman" w:eastAsia="Times New Roman" w:hAnsi="Times New Roman"/>
          <w:sz w:val="24"/>
          <w:szCs w:val="24"/>
        </w:rPr>
        <w:t xml:space="preserve">1.3.2.2 </w:t>
      </w:r>
      <w:r>
        <w:rPr>
          <w:rFonts w:ascii="Times New Roman" w:cs="Times New Roman" w:eastAsia="Times New Roman" w:hAnsi="Times New Roman"/>
          <w:sz w:val="24"/>
          <w:szCs w:val="24"/>
          <w:u w:val="single"/>
        </w:rPr>
        <w:t xml:space="preserve">API2:2023 — Broken Authentication</w:t>
      </w:r>
    </w:p>
    <w:p>
      <w:pPr>
        <w:spacing w:after="120" w:before="0" w:line="360" w:lineRule="auto"/>
        <w:ind w:firstLine="709"/>
        <w:jc w:val="both"/>
      </w:pPr>
      <w:r>
        <w:rPr>
          <w:rFonts w:ascii="Times New Roman" w:cs="Times New Roman" w:eastAsia="Times New Roman" w:hAnsi="Times New Roman"/>
          <w:sz w:val="24"/>
          <w:szCs w:val="24"/>
        </w:rPr>
        <w:t xml:space="preserve">Esta categoría engloba mecanismos de autenticación implementados incorrectamente.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configuración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determina qué clase de cliente puede acceder a cada vista. La ausencia de este atributo en una vista, cuando no existe una configuración global explícita de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resulta en que la vista aplique el permiso por defecto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permitiendo el acceso sin autenticación. Esta situación es frecuente en proyectos que crecen sin una política de permisos centralizada.</w:t>
      </w:r>
      <w:r>
        <w:rPr>
          <w:rStyle w:val="FootnoteReference"/>
        </w:rPr>
        <w:footnoteReference w:id="24"/>
      </w:r>
    </w:p>
    <w:p>
      <w:pPr>
        <w:spacing w:after="0" w:before="200" w:line="360" w:lineRule="auto"/>
        <w:ind w:firstLine="0"/>
        <w:jc w:val="left"/>
      </w:pPr>
      <w:r>
        <w:rPr>
          <w:rFonts w:ascii="Times New Roman" w:cs="Times New Roman" w:eastAsia="Times New Roman" w:hAnsi="Times New Roman"/>
          <w:sz w:val="24"/>
          <w:szCs w:val="24"/>
        </w:rPr>
        <w:t xml:space="preserve">1.3.2.3 </w:t>
      </w:r>
      <w:r>
        <w:rPr>
          <w:rFonts w:ascii="Times New Roman" w:cs="Times New Roman" w:eastAsia="Times New Roman" w:hAnsi="Times New Roman"/>
          <w:sz w:val="24"/>
          <w:szCs w:val="24"/>
          <w:u w:val="single"/>
        </w:rPr>
        <w:t xml:space="preserve">API3:2023 — Broken Object Property Level Authorization</w:t>
      </w:r>
    </w:p>
    <w:p>
      <w:pPr>
        <w:spacing w:after="120" w:before="0" w:line="360" w:lineRule="auto"/>
        <w:ind w:firstLine="709"/>
        <w:jc w:val="both"/>
      </w:pPr>
      <w:r>
        <w:rPr>
          <w:rFonts w:ascii="Times New Roman" w:cs="Times New Roman" w:eastAsia="Times New Roman" w:hAnsi="Times New Roman"/>
          <w:sz w:val="24"/>
          <w:szCs w:val="24"/>
        </w:rPr>
        <w:t xml:space="preserve">Esta categoría cubre la exposición o modificación no autorizada de propiedades individuales de los objetos.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los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exponen todos los campos del modelo sin evaluación de su sensibilidad. Los campos </w:t>
      </w:r>
      <w:r>
        <w:rPr>
          <w:rFonts w:ascii="Times New Roman" w:cs="Times New Roman" w:eastAsia="Times New Roman" w:hAnsi="Times New Roman"/>
          <w:i/>
          <w:iCs/>
          <w:sz w:val="24"/>
          <w:szCs w:val="24"/>
        </w:rPr>
        <w:t xml:space="preserve">password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is_admin</w:t>
      </w:r>
      <w:r>
        <w:rPr>
          <w:rFonts w:ascii="Times New Roman" w:cs="Times New Roman" w:eastAsia="Times New Roman" w:hAnsi="Times New Roman"/>
          <w:sz w:val="24"/>
          <w:szCs w:val="24"/>
        </w:rPr>
        <w:t xml:space="preserve"> o identificadores internos sin marcar como </w:t>
      </w:r>
      <w:r>
        <w:rPr>
          <w:rFonts w:ascii="Times New Roman" w:cs="Times New Roman" w:eastAsia="Times New Roman" w:hAnsi="Times New Roman"/>
          <w:i/>
          <w:iCs/>
          <w:sz w:val="24"/>
          <w:szCs w:val="24"/>
        </w:rPr>
        <w:t xml:space="preserve">write_only</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read_only</w:t>
      </w:r>
      <w:r>
        <w:rPr>
          <w:rFonts w:ascii="Times New Roman" w:cs="Times New Roman" w:eastAsia="Times New Roman" w:hAnsi="Times New Roman"/>
          <w:sz w:val="24"/>
          <w:szCs w:val="24"/>
        </w:rPr>
        <w:t xml:space="preserve"> representan patrones de riesgo concretos que la herramienta detecta.</w:t>
      </w:r>
      <w:r>
        <w:rPr>
          <w:rStyle w:val="FootnoteReference"/>
        </w:rPr>
        <w:footnoteReference w:id="25"/>
      </w:r>
    </w:p>
    <w:p>
      <w:pPr>
        <w:spacing w:after="0" w:before="200" w:line="360" w:lineRule="auto"/>
        <w:ind w:firstLine="0"/>
        <w:jc w:val="left"/>
      </w:pPr>
      <w:r>
        <w:rPr>
          <w:rFonts w:ascii="Times New Roman" w:cs="Times New Roman" w:eastAsia="Times New Roman" w:hAnsi="Times New Roman"/>
          <w:sz w:val="24"/>
          <w:szCs w:val="24"/>
        </w:rPr>
        <w:t xml:space="preserve">1.3.2.4 </w:t>
      </w:r>
      <w:r>
        <w:rPr>
          <w:rFonts w:ascii="Times New Roman" w:cs="Times New Roman" w:eastAsia="Times New Roman" w:hAnsi="Times New Roman"/>
          <w:sz w:val="24"/>
          <w:szCs w:val="24"/>
          <w:u w:val="single"/>
        </w:rPr>
        <w:t xml:space="preserve">API4:2023 — Unrestricted Resource Consumption</w:t>
      </w:r>
    </w:p>
    <w:p>
      <w:pPr>
        <w:spacing w:after="120" w:before="0" w:line="360" w:lineRule="auto"/>
        <w:ind w:firstLine="709"/>
        <w:jc w:val="both"/>
      </w:pPr>
      <w:r>
        <w:rPr>
          <w:rFonts w:ascii="Times New Roman" w:cs="Times New Roman" w:eastAsia="Times New Roman" w:hAnsi="Times New Roman"/>
          <w:sz w:val="24"/>
          <w:szCs w:val="24"/>
        </w:rPr>
        <w:t xml:space="preserve">La ausencia de límites en el consumo de recursos de la interfaz de programación de aplicaciones permite ataques de fuerza bruta y denegación de servicio.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protección nativa se implementa mediante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DEFAULT_THROTTLE_RATES</w:t>
      </w:r>
      <w:r>
        <w:rPr>
          <w:rFonts w:ascii="Times New Roman" w:cs="Times New Roman" w:eastAsia="Times New Roman" w:hAnsi="Times New Roman"/>
          <w:sz w:val="24"/>
          <w:szCs w:val="24"/>
        </w:rPr>
        <w:t xml:space="preserve"> en la configuración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del archivo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La ausencia de esta configuración constituye el indicador de riesgo detectado por el analizador estático.</w:t>
      </w:r>
      <w:r>
        <w:rPr>
          <w:rStyle w:val="FootnoteReference"/>
        </w:rPr>
        <w:footnoteReference w:id="26"/>
      </w:r>
    </w:p>
    <w:p>
      <w:pPr>
        <w:spacing w:after="0" w:before="200" w:line="360" w:lineRule="auto"/>
        <w:ind w:firstLine="0"/>
        <w:jc w:val="left"/>
      </w:pPr>
      <w:r>
        <w:rPr>
          <w:rFonts w:ascii="Times New Roman" w:cs="Times New Roman" w:eastAsia="Times New Roman" w:hAnsi="Times New Roman"/>
          <w:sz w:val="24"/>
          <w:szCs w:val="24"/>
        </w:rPr>
        <w:t xml:space="preserve">1.3.2.5 </w:t>
      </w:r>
      <w:r>
        <w:rPr>
          <w:rFonts w:ascii="Times New Roman" w:cs="Times New Roman" w:eastAsia="Times New Roman" w:hAnsi="Times New Roman"/>
          <w:sz w:val="24"/>
          <w:szCs w:val="24"/>
          <w:u w:val="single"/>
        </w:rPr>
        <w:t xml:space="preserve">API5:2023 — Broken Function Level Authorization</w:t>
      </w:r>
    </w:p>
    <w:p>
      <w:pPr>
        <w:spacing w:after="120" w:before="0" w:line="360" w:lineRule="auto"/>
        <w:ind w:firstLine="709"/>
        <w:jc w:val="both"/>
      </w:pPr>
      <w:r>
        <w:rPr>
          <w:rFonts w:ascii="Times New Roman" w:cs="Times New Roman" w:eastAsia="Times New Roman" w:hAnsi="Times New Roman"/>
          <w:sz w:val="24"/>
          <w:szCs w:val="24"/>
        </w:rPr>
        <w:t xml:space="preserve">Esta categoría ocurre cuando los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FootnoteReference"/>
        </w:rPr>
        <w:footnoteReference w:id="27"/>
      </w:r>
    </w:p>
    <w:p>
      <w:pPr>
        <w:spacing w:after="0" w:before="200" w:line="360" w:lineRule="auto"/>
        <w:ind w:firstLine="0"/>
        <w:jc w:val="left"/>
      </w:pPr>
      <w:r>
        <w:rPr>
          <w:rFonts w:ascii="Times New Roman" w:cs="Times New Roman" w:eastAsia="Times New Roman" w:hAnsi="Times New Roman"/>
          <w:sz w:val="24"/>
          <w:szCs w:val="24"/>
        </w:rPr>
        <w:t xml:space="preserve">1.3.2.6 </w:t>
      </w:r>
      <w:r>
        <w:rPr>
          <w:rFonts w:ascii="Times New Roman" w:cs="Times New Roman" w:eastAsia="Times New Roman" w:hAnsi="Times New Roman"/>
          <w:sz w:val="24"/>
          <w:szCs w:val="24"/>
          <w:u w:val="single"/>
        </w:rPr>
        <w:t xml:space="preserve">API8:2023 — Security Misconfiguration</w:t>
      </w:r>
    </w:p>
    <w:p>
      <w:pPr>
        <w:spacing w:after="120" w:before="0" w:line="360" w:lineRule="auto"/>
        <w:ind w:firstLine="709"/>
        <w:jc w:val="both"/>
      </w:pPr>
      <w:r>
        <w:rPr>
          <w:rFonts w:ascii="Times New Roman" w:cs="Times New Roman" w:eastAsia="Times New Roman" w:hAnsi="Times New Roman"/>
          <w:sz w:val="24"/>
          <w:szCs w:val="24"/>
        </w:rPr>
        <w:t xml:space="preserve">Las configuraciones inseguras por defecto constituyen la categoría más frecuente en proyectos Django. La más crítica es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en entornos de producción: cuando Django opera en modo depuración, cada excepción no manejada expone en la respuesta HTTP el </w:t>
      </w:r>
      <w:r>
        <w:rPr>
          <w:rFonts w:ascii="Times New Roman" w:cs="Times New Roman" w:eastAsia="Times New Roman" w:hAnsi="Times New Roman"/>
          <w:i/>
          <w:iCs/>
          <w:sz w:val="24"/>
          <w:szCs w:val="24"/>
        </w:rPr>
        <w:t xml:space="preserve">stack trace</w:t>
      </w:r>
      <w:r>
        <w:rPr>
          <w:rFonts w:ascii="Times New Roman" w:cs="Times New Roman" w:eastAsia="Times New Roman" w:hAnsi="Times New Roman"/>
          <w:sz w:val="24"/>
          <w:szCs w:val="24"/>
        </w:rP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FootnoteReference"/>
        </w:rPr>
        <w:footnoteReference w:id="28"/>
      </w:r>
    </w:p>
    <w:p>
      <w:pPr>
        <w:spacing w:after="120" w:before="0" w:line="360" w:lineRule="auto"/>
        <w:ind w:firstLine="709"/>
        <w:jc w:val="both"/>
      </w:pPr>
      <w:r>
        <w:rPr>
          <w:rFonts w:ascii="Times New Roman" w:cs="Times New Roman" w:eastAsia="Times New Roman" w:hAnsi="Times New Roman"/>
          <w:sz w:val="24"/>
          <w:szCs w:val="24"/>
        </w:rPr>
        <w:t xml:space="preserve">Es importante destacar que las categorías anteriores del OWASP API Security Top 10 no son vulnerabilidades mutuamente excluyentes: en proyectos reales, la presencia de una categoría suele correlacionarse con la presencia de otras. Por ejemplo, un proyecto con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ausentes (API2) frecuentemente también exhibe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(API3) y carece de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FootnoteReference"/>
        </w:rPr>
        <w:footnoteReference w:id="29"/>
      </w:r>
    </w:p>
    <w:p>
      <w:pPr>
        <w:spacing w:after="120" w:before="0" w:line="360" w:lineRule="auto"/>
        <w:ind w:firstLine="709"/>
        <w:jc w:val="both"/>
      </w:pPr>
      <w:r>
        <w:rPr>
          <w:rFonts w:ascii="Times New Roman" w:cs="Times New Roman" w:eastAsia="Times New Roman" w:hAnsi="Times New Roman"/>
          <w:sz w:val="24"/>
          <w:szCs w:val="24"/>
        </w:rPr>
        <w:t xml:space="preserve">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FootnoteReference"/>
        </w:rPr>
        <w:footnoteReference w:id="30"/>
      </w:r>
    </w:p>
    <w:p>
      <w:pPr>
        <w:spacing w:after="0" w:before="200" w:line="360" w:lineRule="auto"/>
        <w:ind w:firstLine="0"/>
        <w:jc w:val="left"/>
      </w:pPr>
      <w:r>
        <w:rPr>
          <w:rFonts w:ascii="Times New Roman" w:cs="Times New Roman" w:eastAsia="Times New Roman" w:hAnsi="Times New Roman"/>
          <w:sz w:val="24"/>
          <w:szCs w:val="24"/>
        </w:rPr>
        <w:t xml:space="preserve">1.3.3 </w:t>
      </w:r>
      <w:r>
        <w:rPr>
          <w:rFonts w:ascii="Times New Roman" w:cs="Times New Roman" w:eastAsia="Times New Roman" w:hAnsi="Times New Roman"/>
          <w:sz w:val="24"/>
          <w:szCs w:val="24"/>
          <w:u w:val="single"/>
        </w:rPr>
        <w:t xml:space="preserve">Django REST Framework</w:t>
      </w:r>
    </w:p>
    <w:p>
      <w:pPr>
        <w:spacing w:after="120" w:before="0" w:line="360" w:lineRule="auto"/>
        <w:ind w:firstLine="709"/>
        <w:jc w:val="both"/>
      </w:pPr>
      <w:r>
        <w:rPr>
          <w:rFonts w:ascii="Times New Roman" w:cs="Times New Roman" w:eastAsia="Times New Roman" w:hAnsi="Times New Roman"/>
          <w:sz w:val="24"/>
          <w:szCs w:val="24"/>
        </w:rPr>
        <w:t xml:space="preserve">Django es un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desarrollo web de alto nivel para Python, fundamentado en el principio DRY (</w:t>
      </w:r>
      <w:r>
        <w:rPr>
          <w:rFonts w:ascii="Times New Roman" w:cs="Times New Roman" w:eastAsia="Times New Roman" w:hAnsi="Times New Roman"/>
          <w:i/>
          <w:iCs/>
          <w:sz w:val="24"/>
          <w:szCs w:val="24"/>
        </w:rPr>
        <w:t xml:space="preserve">Don't Repeat Yourself</w:t>
      </w:r>
      <w:r>
        <w:rPr>
          <w:rFonts w:ascii="Times New Roman" w:cs="Times New Roman" w:eastAsia="Times New Roman" w:hAnsi="Times New Roman"/>
          <w:sz w:val="24"/>
          <w:szCs w:val="24"/>
        </w:rPr>
        <w:t xml:space="preserve">). Adoptado por organizaciones como Instagram, Pinterest y Disqus para servir miles de millones de peticiones diarias, proporciona un ORM (</w:t>
      </w:r>
      <w:r>
        <w:rPr>
          <w:rFonts w:ascii="Times New Roman" w:cs="Times New Roman" w:eastAsia="Times New Roman" w:hAnsi="Times New Roman"/>
          <w:i/>
          <w:iCs/>
          <w:sz w:val="24"/>
          <w:szCs w:val="24"/>
        </w:rPr>
        <w:t xml:space="preserve">Object-Relational Mapper</w:t>
      </w:r>
      <w:r>
        <w:rPr>
          <w:rFonts w:ascii="Times New Roman" w:cs="Times New Roman" w:eastAsia="Times New Roman" w:hAnsi="Times New Roman"/>
          <w:sz w:val="24"/>
          <w:szCs w:val="24"/>
        </w:rPr>
        <w:t xml:space="preserve">), un sistema de autenticación, un panel de administración y protecciones de seguridad activadas por defecto.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FootnoteReference"/>
        </w:rPr>
        <w:footnoteReference w:id="31"/>
      </w:r>
    </w:p>
    <w:p>
      <w:pPr>
        <w:spacing w:after="0" w:before="200" w:line="360" w:lineRule="auto"/>
        <w:ind w:firstLine="0"/>
        <w:jc w:val="left"/>
      </w:pPr>
      <w:r>
        <w:rPr>
          <w:rFonts w:ascii="Times New Roman" w:cs="Times New Roman" w:eastAsia="Times New Roman" w:hAnsi="Times New Roman"/>
          <w:sz w:val="24"/>
          <w:szCs w:val="24"/>
        </w:rPr>
        <w:t xml:space="preserve">1.3.3.1 </w:t>
      </w:r>
      <w:r>
        <w:rPr>
          <w:rFonts w:ascii="Times New Roman" w:cs="Times New Roman" w:eastAsia="Times New Roman" w:hAnsi="Times New Roman"/>
          <w:sz w:val="24"/>
          <w:szCs w:val="24"/>
          <w:u w:val="single"/>
        </w:rPr>
        <w:t xml:space="preserve">Serializers y exposición de campos</w:t>
      </w:r>
    </w:p>
    <w:p>
      <w:pPr>
        <w:spacing w:after="120" w:before="0" w:line="360" w:lineRule="auto"/>
        <w:ind w:firstLine="709"/>
        <w:jc w:val="both"/>
      </w:pPr>
      <w:r>
        <w:rPr>
          <w:rFonts w:ascii="Times New Roman" w:cs="Times New Roman" w:eastAsia="Times New Roman" w:hAnsi="Times New Roman"/>
          <w:sz w:val="24"/>
          <w:szCs w:val="24"/>
        </w:rPr>
        <w:t xml:space="preserve">Los </w:t>
      </w:r>
      <w:r>
        <w:rPr>
          <w:rFonts w:ascii="Times New Roman" w:cs="Times New Roman" w:eastAsia="Times New Roman" w:hAnsi="Times New Roman"/>
          <w:i/>
          <w:iCs/>
          <w:sz w:val="24"/>
          <w:szCs w:val="24"/>
        </w:rPr>
        <w:t xml:space="preserve">serializers</w:t>
      </w:r>
      <w:r>
        <w:rPr>
          <w:rFonts w:ascii="Times New Roman" w:cs="Times New Roman" w:eastAsia="Times New Roman" w:hAnsi="Times New Roman"/>
          <w:sz w:val="24"/>
          <w:szCs w:val="24"/>
        </w:rPr>
        <w:t xml:space="preserve"> son el componente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responsable de convertir las instancias de modelos Django en tipos de datos nativos de Python —posteriormente en JSON— y de validar los datos entrantes. El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genera automáticamente los campos del </w:t>
      </w:r>
      <w:r>
        <w:rPr>
          <w:rFonts w:ascii="Times New Roman" w:cs="Times New Roman" w:eastAsia="Times New Roman" w:hAnsi="Times New Roman"/>
          <w:i/>
          <w:iCs/>
          <w:sz w:val="24"/>
          <w:szCs w:val="24"/>
        </w:rPr>
        <w:t xml:space="preserve">serializer</w:t>
      </w:r>
      <w:r>
        <w:rPr>
          <w:rFonts w:ascii="Times New Roman" w:cs="Times New Roman" w:eastAsia="Times New Roman" w:hAnsi="Times New Roman"/>
          <w:sz w:val="24"/>
          <w:szCs w:val="24"/>
        </w:rPr>
        <w:t xml:space="preserve"> a partir del modelo. La declaración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incluye todos los campos del modelo, lo que puede exponer datos sensibles como contraseñas hasheadas, indicadores de rol o claves primarias internas. Los atributos </w:t>
      </w:r>
      <w:r>
        <w:rPr>
          <w:rFonts w:ascii="Times New Roman" w:cs="Times New Roman" w:eastAsia="Times New Roman" w:hAnsi="Times New Roman"/>
          <w:i/>
          <w:iCs/>
          <w:sz w:val="24"/>
          <w:szCs w:val="24"/>
        </w:rPr>
        <w:t xml:space="preserve">read_only=True</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write_only=True</w:t>
      </w:r>
      <w:r>
        <w:rPr>
          <w:rFonts w:ascii="Times New Roman" w:cs="Times New Roman" w:eastAsia="Times New Roman" w:hAnsi="Times New Roman"/>
          <w:sz w:val="24"/>
          <w:szCs w:val="24"/>
        </w:rPr>
        <w:t xml:space="preserve"> permiten controlar la dirección en que cada campo puede fluir. Li et al. (2018) demostraron que la exposición involuntaria de campos en serializadores es equivalente a los patrones de filtrado de datos que su sistema VulDeePecker clasifica como vulnerabilidades.</w:t>
      </w:r>
      <w:r>
        <w:rPr>
          <w:rStyle w:val="FootnoteReference"/>
        </w:rPr>
        <w:footnoteReference w:id="32"/>
      </w:r>
    </w:p>
    <w:p>
      <w:pPr>
        <w:spacing w:after="120" w:before="0" w:line="360" w:lineRule="auto"/>
        <w:ind w:firstLine="709"/>
        <w:jc w:val="both"/>
      </w:pPr>
      <w:r>
        <w:rPr>
          <w:rFonts w:ascii="Times New Roman" w:cs="Times New Roman" w:eastAsia="Times New Roman" w:hAnsi="Times New Roman"/>
          <w:sz w:val="24"/>
          <w:szCs w:val="24"/>
        </w:rPr>
        <w:t xml:space="preserve">La arquitectura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sigue el patrón de vista-serializador-modelo. El flujo de una petición HTTP entrante es el siguiente: el enrutador de Django distribuye la petición a la vista correspondiente; la vista ejecuta los </w:t>
      </w:r>
      <w:r>
        <w:rPr>
          <w:rFonts w:ascii="Times New Roman" w:cs="Times New Roman" w:eastAsia="Times New Roman" w:hAnsi="Times New Roman"/>
          <w:i/>
          <w:iCs/>
          <w:sz w:val="24"/>
          <w:szCs w:val="24"/>
        </w:rPr>
        <w:t xml:space="preserve">middlewares</w:t>
      </w:r>
      <w:r>
        <w:rPr>
          <w:rFonts w:ascii="Times New Roman" w:cs="Times New Roman" w:eastAsia="Times New Roman" w:hAnsi="Times New Roman"/>
          <w:sz w:val="24"/>
          <w:szCs w:val="24"/>
        </w:rP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rFonts w:ascii="Times New Roman" w:cs="Times New Roman" w:eastAsia="Times New Roman" w:hAnsi="Times New Roman"/>
          <w:i/>
          <w:iCs/>
          <w:sz w:val="24"/>
          <w:szCs w:val="24"/>
        </w:rPr>
        <w:t xml:space="preserve">Response</w:t>
      </w:r>
      <w:r>
        <w:rPr>
          <w:rFonts w:ascii="Times New Roman" w:cs="Times New Roman" w:eastAsia="Times New Roman" w:hAnsi="Times New Roman"/>
          <w:sz w:val="24"/>
          <w:szCs w:val="24"/>
        </w:rPr>
        <w:t xml:space="preserve"> con el código HTTP y los datos serializados. Cada uno de estos pasos es un punto potencial de vulnerabilidad si no se configura adecuadamente.</w:t>
      </w:r>
      <w:r>
        <w:rPr>
          <w:rStyle w:val="FootnoteReference"/>
        </w:rPr>
        <w:footnoteReference w:id="33"/>
      </w:r>
    </w:p>
    <w:p>
      <w:pPr>
        <w:spacing w:after="120" w:before="0" w:line="360" w:lineRule="auto"/>
        <w:ind w:firstLine="709"/>
        <w:jc w:val="both"/>
      </w:pPr>
      <w:r>
        <w:rPr>
          <w:rFonts w:ascii="Times New Roman" w:cs="Times New Roman" w:eastAsia="Times New Roman" w:hAnsi="Times New Roman"/>
          <w:sz w:val="24"/>
          <w:szCs w:val="24"/>
        </w:rPr>
        <w:t xml:space="preserve">La adopción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son equipos pequeños o medianos que carecen de recursos dedicados a la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Para estas organizaciones, una herramienta automatizada de auditoría es la principal —y en muchos casos la única— línea de defensa proactiva.</w:t>
      </w:r>
      <w:r>
        <w:rPr>
          <w:rStyle w:val="FootnoteReference"/>
        </w:rPr>
        <w:footnoteReference w:id="34"/>
      </w:r>
    </w:p>
    <w:p>
      <w:pPr>
        <w:spacing w:after="0" w:before="200" w:line="360" w:lineRule="auto"/>
        <w:ind w:firstLine="0"/>
        <w:jc w:val="left"/>
      </w:pPr>
      <w:r>
        <w:rPr>
          <w:rFonts w:ascii="Times New Roman" w:cs="Times New Roman" w:eastAsia="Times New Roman" w:hAnsi="Times New Roman"/>
          <w:sz w:val="24"/>
          <w:szCs w:val="24"/>
        </w:rPr>
        <w:t xml:space="preserve">1.3.3.2 </w:t>
      </w:r>
      <w:r>
        <w:rPr>
          <w:rFonts w:ascii="Times New Roman" w:cs="Times New Roman" w:eastAsia="Times New Roman" w:hAnsi="Times New Roman"/>
          <w:sz w:val="24"/>
          <w:szCs w:val="24"/>
          <w:u w:val="single"/>
        </w:rPr>
        <w:t xml:space="preserve">Sistema de permisos y autenticación</w:t>
      </w:r>
    </w:p>
    <w:p>
      <w:pPr>
        <w:spacing w:after="120" w:before="0" w:line="360" w:lineRule="auto"/>
        <w:ind w:firstLine="709"/>
        <w:jc w:val="both"/>
      </w:pPr>
      <w:r>
        <w:rPr>
          <w:rFonts w:ascii="Times New Roman" w:cs="Times New Roman" w:eastAsia="Times New Roman" w:hAnsi="Times New Roman"/>
          <w:sz w:val="24"/>
          <w:szCs w:val="24"/>
        </w:rPr>
        <w:t xml:space="preserve">El atributo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de cada vista determina qué clases de usuarios pueden acceder a ella. Las clases predefinidas incluyen </w:t>
      </w:r>
      <w:r>
        <w:rPr>
          <w:rFonts w:ascii="Times New Roman" w:cs="Times New Roman" w:eastAsia="Times New Roman" w:hAnsi="Times New Roman"/>
          <w:i/>
          <w:iCs/>
          <w:sz w:val="24"/>
          <w:szCs w:val="24"/>
        </w:rPr>
        <w:t xml:space="preserve">IsAuthenticated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IsAdminUser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El valor por defecto de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una instalación nueva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lo que significa que cualquier vista sin declaración explícita de permisos será accesible sin autenticación. La autenticación se configura mediante </w:t>
      </w:r>
      <w:r>
        <w:rPr>
          <w:rFonts w:ascii="Times New Roman" w:cs="Times New Roman" w:eastAsia="Times New Roman" w:hAnsi="Times New Roman"/>
          <w:i/>
          <w:iCs/>
          <w:sz w:val="24"/>
          <w:szCs w:val="24"/>
        </w:rPr>
        <w:t xml:space="preserve">DEFAULT_AUTHENTICATION_CLASSES</w:t>
      </w:r>
      <w:r>
        <w:rPr>
          <w:rFonts w:ascii="Times New Roman" w:cs="Times New Roman" w:eastAsia="Times New Roman" w:hAnsi="Times New Roman"/>
          <w:sz w:val="24"/>
          <w:szCs w:val="24"/>
        </w:rPr>
        <w:t xml:space="preserve"> e incluye </w:t>
      </w:r>
      <w:r>
        <w:rPr>
          <w:rFonts w:ascii="Times New Roman" w:cs="Times New Roman" w:eastAsia="Times New Roman" w:hAnsi="Times New Roman"/>
          <w:i/>
          <w:iCs/>
          <w:sz w:val="24"/>
          <w:szCs w:val="24"/>
        </w:rPr>
        <w:t xml:space="preserve">TokenAuthentication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SessionAuthentication</w:t>
      </w:r>
      <w:r>
        <w:rPr>
          <w:rFonts w:ascii="Times New Roman" w:cs="Times New Roman" w:eastAsia="Times New Roman" w:hAnsi="Times New Roman"/>
          <w:sz w:val="24"/>
          <w:szCs w:val="24"/>
        </w:rPr>
        <w:t xml:space="preserve"> y JWT mediante la biblioteca </w:t>
      </w:r>
      <w:r>
        <w:rPr>
          <w:rFonts w:ascii="Times New Roman" w:cs="Times New Roman" w:eastAsia="Times New Roman" w:hAnsi="Times New Roman"/>
          <w:i/>
          <w:iCs/>
          <w:sz w:val="24"/>
          <w:szCs w:val="24"/>
        </w:rPr>
        <w:t xml:space="preserve">djangorestframework-simplejwt</w:t>
      </w:r>
      <w:r>
        <w:rPr>
          <w:rFonts w:ascii="Times New Roman" w:cs="Times New Roman" w:eastAsia="Times New Roman" w:hAnsi="Times New Roman"/>
          <w:sz w:val="24"/>
          <w:szCs w:val="24"/>
        </w:rPr>
        <w:t xml:space="preserve">. La seguridad de estos mecanismos de autenticación ha sido analizada por Pearce et al. (2023), quienes identificaron que su correcta configuración es determinante para prevenir accesos no autorizados.</w:t>
      </w:r>
      <w:r>
        <w:rPr>
          <w:rStyle w:val="FootnoteReference"/>
        </w:rPr>
        <w:footnoteReference w:id="35"/>
      </w:r>
    </w:p>
    <w:p>
      <w:pPr>
        <w:spacing w:after="120" w:before="0" w:line="360" w:lineRule="auto"/>
        <w:ind w:firstLine="709"/>
        <w:jc w:val="both"/>
      </w:pPr>
      <w:r>
        <w:rPr>
          <w:rFonts w:ascii="Times New Roman" w:cs="Times New Roman" w:eastAsia="Times New Roman" w:hAnsi="Times New Roman"/>
          <w:sz w:val="24"/>
          <w:szCs w:val="24"/>
        </w:rPr>
        <w:t xml:space="preserve">La comprensión del sistema de permisos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fundamental para interpretar correctamente los hallazgos del analizador estático. Existen tres niveles de configuración de permisos: (1) configuración global mediante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REST_FRAMEWORK</w:t>
      </w:r>
      <w:r>
        <w:rPr>
          <w:rFonts w:ascii="Times New Roman" w:cs="Times New Roman" w:eastAsia="Times New Roman" w:hAnsi="Times New Roman"/>
          <w:sz w:val="24"/>
          <w:szCs w:val="24"/>
        </w:rPr>
        <w:t xml:space="preserve"> dentro de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que aplica a todas las vistas que no declaran permisos explícitos; (2) configuración por vista mediante el atributo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la clase de vista o mediante el decorador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vistas basadas en función; y (3) configuración por acción mediante el decorador </w:t>
      </w:r>
      <w:r>
        <w:rPr>
          <w:rFonts w:ascii="Times New Roman" w:cs="Times New Roman" w:eastAsia="Times New Roman" w:hAnsi="Times New Roman"/>
          <w:i/>
          <w:iCs/>
          <w:sz w:val="24"/>
          <w:szCs w:val="24"/>
        </w:rPr>
        <w:t xml:space="preserve">@action</w:t>
      </w:r>
      <w:r>
        <w:rPr>
          <w:rFonts w:ascii="Times New Roman" w:cs="Times New Roman" w:eastAsia="Times New Roman" w:hAnsi="Times New Roman"/>
          <w:sz w:val="24"/>
          <w:szCs w:val="24"/>
        </w:rP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FootnoteReference"/>
        </w:rPr>
        <w:footnoteReference w:id="36"/>
      </w:r>
    </w:p>
    <w:p>
      <w:pPr>
        <w:spacing w:after="0" w:before="200" w:line="360" w:lineRule="auto"/>
        <w:ind w:firstLine="0"/>
        <w:jc w:val="left"/>
      </w:pPr>
      <w:r>
        <w:rPr>
          <w:rFonts w:ascii="Times New Roman" w:cs="Times New Roman" w:eastAsia="Times New Roman" w:hAnsi="Times New Roman"/>
          <w:sz w:val="24"/>
          <w:szCs w:val="24"/>
        </w:rPr>
        <w:t xml:space="preserve">1.3.4 </w:t>
      </w:r>
      <w:r>
        <w:rPr>
          <w:rFonts w:ascii="Times New Roman" w:cs="Times New Roman" w:eastAsia="Times New Roman" w:hAnsi="Times New Roman"/>
          <w:sz w:val="24"/>
          <w:szCs w:val="24"/>
          <w:u w:val="single"/>
        </w:rPr>
        <w:t xml:space="preserve">Análisis Estático de Código Fuente</w:t>
      </w:r>
    </w:p>
    <w:p>
      <w:pPr>
        <w:spacing w:after="120" w:before="0" w:line="360" w:lineRule="auto"/>
        <w:ind w:firstLine="709"/>
        <w:jc w:val="both"/>
      </w:pPr>
      <w:r>
        <w:rPr>
          <w:rFonts w:ascii="Times New Roman" w:cs="Times New Roman" w:eastAsia="Times New Roman" w:hAnsi="Times New Roman"/>
          <w:sz w:val="24"/>
          <w:szCs w:val="24"/>
        </w:rPr>
        <w:t xml:space="preserve">El análisis estático de código fuente —también denominado SAST (</w:t>
      </w:r>
      <w:r>
        <w:rPr>
          <w:rFonts w:ascii="Times New Roman" w:cs="Times New Roman" w:eastAsia="Times New Roman" w:hAnsi="Times New Roman"/>
          <w:i/>
          <w:iCs/>
          <w:sz w:val="24"/>
          <w:szCs w:val="24"/>
        </w:rPr>
        <w:t xml:space="preserve">Static Application Security Testing</w:t>
      </w:r>
      <w:r>
        <w:rPr>
          <w:rFonts w:ascii="Times New Roman" w:cs="Times New Roman" w:eastAsia="Times New Roman" w:hAnsi="Times New Roman"/>
          <w:sz w:val="24"/>
          <w:szCs w:val="24"/>
        </w:rPr>
        <w:t xml:space="preserve">)—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FootnoteReference"/>
        </w:rPr>
        <w:footnoteReference w:id="37"/>
      </w:r>
    </w:p>
    <w:p>
      <w:pPr>
        <w:spacing w:after="0" w:before="200" w:line="360" w:lineRule="auto"/>
        <w:ind w:firstLine="0"/>
        <w:jc w:val="left"/>
      </w:pPr>
      <w:r>
        <w:rPr>
          <w:rFonts w:ascii="Times New Roman" w:cs="Times New Roman" w:eastAsia="Times New Roman" w:hAnsi="Times New Roman"/>
          <w:sz w:val="24"/>
          <w:szCs w:val="24"/>
        </w:rPr>
        <w:t xml:space="preserve">1.3.4.1 </w:t>
      </w:r>
      <w:r>
        <w:rPr>
          <w:rFonts w:ascii="Times New Roman" w:cs="Times New Roman" w:eastAsia="Times New Roman" w:hAnsi="Times New Roman"/>
          <w:sz w:val="24"/>
          <w:szCs w:val="24"/>
          <w:u w:val="single"/>
        </w:rPr>
        <w:t xml:space="preserve">Árboles de Sintaxis Abstracta (AST)</w:t>
      </w:r>
    </w:p>
    <w:p>
      <w:pPr>
        <w:spacing w:after="120" w:before="0" w:line="360" w:lineRule="auto"/>
        <w:ind w:firstLine="709"/>
        <w:jc w:val="both"/>
      </w:pPr>
      <w:r>
        <w:rPr>
          <w:rFonts w:ascii="Times New Roman" w:cs="Times New Roman" w:eastAsia="Times New Roman" w:hAnsi="Times New Roman"/>
          <w:sz w:val="24"/>
          <w:szCs w:val="24"/>
        </w:rPr>
        <w:t xml:space="preserve">Un Árbol de Sintaxis Abstracta (AST por su sigla en inglés) es la representación en forma de árbol de la estructura sintáctica del código fuente, en la que cada nodo del árbol corresponde a una construcción del lenguaje. El módulo estándar </w:t>
      </w:r>
      <w:r>
        <w:rPr>
          <w:rFonts w:ascii="Times New Roman" w:cs="Times New Roman" w:eastAsia="Times New Roman" w:hAnsi="Times New Roman"/>
          <w:i/>
          <w:iCs/>
          <w:sz w:val="24"/>
          <w:szCs w:val="24"/>
        </w:rPr>
        <w:t xml:space="preserve">ast</w:t>
      </w:r>
      <w:r>
        <w:rPr>
          <w:rFonts w:ascii="Times New Roman" w:cs="Times New Roman" w:eastAsia="Times New Roman" w:hAnsi="Times New Roman"/>
          <w:sz w:val="24"/>
          <w:szCs w:val="24"/>
        </w:rPr>
        <w:t xml:space="preserve"> de Python proporciona las funciones </w:t>
      </w:r>
      <w:r>
        <w:rPr>
          <w:rFonts w:ascii="Times New Roman" w:cs="Times New Roman" w:eastAsia="Times New Roman" w:hAnsi="Times New Roman"/>
          <w:i/>
          <w:iCs/>
          <w:sz w:val="24"/>
          <w:szCs w:val="24"/>
        </w:rPr>
        <w:t xml:space="preserve">ast.parse()</w:t>
      </w:r>
      <w:r>
        <w:rPr>
          <w:rFonts w:ascii="Times New Roman" w:cs="Times New Roman" w:eastAsia="Times New Roman" w:hAnsi="Times New Roman"/>
          <w:sz w:val="24"/>
          <w:szCs w:val="24"/>
        </w:rPr>
        <w:t xml:space="preserve"> para convertir código fuente en un árbol y </w:t>
      </w:r>
      <w:r>
        <w:rPr>
          <w:rFonts w:ascii="Times New Roman" w:cs="Times New Roman" w:eastAsia="Times New Roman" w:hAnsi="Times New Roman"/>
          <w:i/>
          <w:iCs/>
          <w:sz w:val="24"/>
          <w:szCs w:val="24"/>
        </w:rPr>
        <w:t xml:space="preserve">ast.walk()</w:t>
      </w:r>
      <w:r>
        <w:rPr>
          <w:rFonts w:ascii="Times New Roman" w:cs="Times New Roman" w:eastAsia="Times New Roman" w:hAnsi="Times New Roman"/>
          <w:sz w:val="24"/>
          <w:szCs w:val="24"/>
        </w:rPr>
        <w:t xml:space="preserve"> para recorrerlo. Los nodos relevantes para el análisis de seguridad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incluyen </w:t>
      </w:r>
      <w:r>
        <w:rPr>
          <w:rFonts w:ascii="Times New Roman" w:cs="Times New Roman" w:eastAsia="Times New Roman" w:hAnsi="Times New Roman"/>
          <w:i/>
          <w:iCs/>
          <w:sz w:val="24"/>
          <w:szCs w:val="24"/>
        </w:rPr>
        <w:t xml:space="preserve">ClassDef</w:t>
      </w:r>
      <w:r>
        <w:rPr>
          <w:rFonts w:ascii="Times New Roman" w:cs="Times New Roman" w:eastAsia="Times New Roman" w:hAnsi="Times New Roman"/>
          <w:sz w:val="24"/>
          <w:szCs w:val="24"/>
        </w:rPr>
        <w:t xml:space="preserve"> (definiciones de clase), </w:t>
      </w:r>
      <w:r>
        <w:rPr>
          <w:rFonts w:ascii="Times New Roman" w:cs="Times New Roman" w:eastAsia="Times New Roman" w:hAnsi="Times New Roman"/>
          <w:i/>
          <w:iCs/>
          <w:sz w:val="24"/>
          <w:szCs w:val="24"/>
        </w:rPr>
        <w:t xml:space="preserve">Assign</w:t>
      </w:r>
      <w:r>
        <w:rPr>
          <w:rFonts w:ascii="Times New Roman" w:cs="Times New Roman" w:eastAsia="Times New Roman" w:hAnsi="Times New Roman"/>
          <w:sz w:val="24"/>
          <w:szCs w:val="24"/>
        </w:rPr>
        <w:t xml:space="preserve"> (asignaciones) y </w:t>
      </w:r>
      <w:r>
        <w:rPr>
          <w:rFonts w:ascii="Times New Roman" w:cs="Times New Roman" w:eastAsia="Times New Roman" w:hAnsi="Times New Roman"/>
          <w:i/>
          <w:iCs/>
          <w:sz w:val="24"/>
          <w:szCs w:val="24"/>
        </w:rPr>
        <w:t xml:space="preserve">FunctionDef</w:t>
      </w:r>
      <w:r>
        <w:rPr>
          <w:rFonts w:ascii="Times New Roman" w:cs="Times New Roman" w:eastAsia="Times New Roman" w:hAnsi="Times New Roman"/>
          <w:sz w:val="24"/>
          <w:szCs w:val="24"/>
        </w:rP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FootnoteReference"/>
        </w:rPr>
        <w:footnoteReference w:id="38"/>
      </w:r>
    </w:p>
    <w:p>
      <w:pPr>
        <w:spacing w:after="120" w:before="0" w:line="360" w:lineRule="auto"/>
        <w:ind w:firstLine="709"/>
        <w:jc w:val="both"/>
      </w:pPr>
      <w:r>
        <w:rPr>
          <w:rFonts w:ascii="Times New Roman" w:cs="Times New Roman" w:eastAsia="Times New Roman" w:hAnsi="Times New Roman"/>
          <w:sz w:val="24"/>
          <w:szCs w:val="24"/>
        </w:rPr>
        <w:t xml:space="preserve">Una expresión regular que busca la cadena «permission_classes» en el código fuente identificaría cualquier mención de esa cadena, independientemente de si aparece como atributo de clase, como argumento de función, como comentario o como valor de cadena en un diccionario. El Árbol de Sintaxis Abstracta, en contraste, permite especificar exactamente: «busca definiciones de clase que hereden de </w:t>
      </w:r>
      <w:r>
        <w:rPr>
          <w:rFonts w:ascii="Times New Roman" w:cs="Times New Roman" w:eastAsia="Times New Roman" w:hAnsi="Times New Roman"/>
          <w:i/>
          <w:iCs/>
          <w:sz w:val="24"/>
          <w:szCs w:val="24"/>
        </w:rPr>
        <w:t xml:space="preserve">APIView</w:t>
      </w:r>
      <w:r>
        <w:rPr>
          <w:rFonts w:ascii="Times New Roman" w:cs="Times New Roman" w:eastAsia="Times New Roman" w:hAnsi="Times New Roman"/>
          <w:sz w:val="24"/>
          <w:szCs w:val="24"/>
        </w:rPr>
        <w:t xml:space="preserve"> o de cualquier vista genérica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que no tengan un atributo de clase denominado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asignado en el cuerpo de la clase». Esta especificidad reduce los falsos positivos y permite detectar el patrón de riesgo con precisión quirúrgica, incluso en proyectos con decenas de miles de líneas de código y múltiples archivos de vistas.</w:t>
      </w:r>
    </w:p>
    <w:p>
      <w:pPr>
        <w:spacing w:after="0" w:before="200" w:line="360" w:lineRule="auto"/>
        <w:ind w:firstLine="0"/>
        <w:jc w:val="left"/>
      </w:pPr>
      <w:r>
        <w:rPr>
          <w:rFonts w:ascii="Times New Roman" w:cs="Times New Roman" w:eastAsia="Times New Roman" w:hAnsi="Times New Roman"/>
          <w:sz w:val="24"/>
          <w:szCs w:val="24"/>
        </w:rPr>
        <w:t xml:space="preserve">1.3.4.2 </w:t>
      </w:r>
      <w:r>
        <w:rPr>
          <w:rFonts w:ascii="Times New Roman" w:cs="Times New Roman" w:eastAsia="Times New Roman" w:hAnsi="Times New Roman"/>
          <w:sz w:val="24"/>
          <w:szCs w:val="24"/>
          <w:u w:val="single"/>
        </w:rPr>
        <w:t xml:space="preserve">Indicadores de riesgo vs. vulnerabilidades confirmadas</w:t>
      </w:r>
    </w:p>
    <w:p>
      <w:pPr>
        <w:spacing w:after="120" w:before="0" w:line="360" w:lineRule="auto"/>
        <w:ind w:firstLine="709"/>
        <w:jc w:val="both"/>
      </w:pPr>
      <w:r>
        <w:rPr>
          <w:rFonts w:ascii="Times New Roman" w:cs="Times New Roman" w:eastAsia="Times New Roman" w:hAnsi="Times New Roman"/>
          <w:sz w:val="24"/>
          <w:szCs w:val="24"/>
        </w:rPr>
        <w:t xml:space="preserve">El análisis estático identifica </w:t>
      </w:r>
      <w:r>
        <w:rPr>
          <w:rFonts w:ascii="Times New Roman" w:cs="Times New Roman" w:eastAsia="Times New Roman" w:hAnsi="Times New Roman"/>
          <w:i/>
          <w:iCs/>
          <w:sz w:val="24"/>
          <w:szCs w:val="24"/>
        </w:rPr>
        <w:t xml:space="preserve">security smells</w:t>
      </w:r>
      <w:r>
        <w:rPr>
          <w:rFonts w:ascii="Times New Roman" w:cs="Times New Roman" w:eastAsia="Times New Roman" w:hAnsi="Times New Roman"/>
          <w:sz w:val="24"/>
          <w:szCs w:val="24"/>
        </w:rPr>
        <w:t xml:space="preserve"> o patrones frecuentemente asociados a vulnerabilidades, pero no puede confirmar la explotabilidad sin contexto de ejecución. La distinción entre un indicador de riesgo y una vulnerabilidad confirmada es fundamental: una vista sin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 Sistemas basados en aprendizaje profundo como SySeVR (Li et al., 2022) y LineVul (Fu y Tantithamthavorn, 2022) han demostrado que la combinación de representaciones estructurales del código con modelos de transformadores mejora la tasa de detección respecto de enfoques puramente basados en reglas.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FootnoteReference"/>
        </w:rPr>
        <w:footnoteReference w:id="39"/>
      </w:r>
      <w:r>
        <w:rPr>
          <w:rStyle w:val="FootnoteReference"/>
        </w:rPr>
        <w:footnoteReference w:id="40"/>
      </w:r>
      <w:r>
        <w:rPr>
          <w:rStyle w:val="FootnoteReference"/>
        </w:rPr>
        <w:footnoteReference w:id="41"/>
      </w:r>
    </w:p>
    <w:p>
      <w:pPr>
        <w:spacing w:after="0" w:before="200" w:line="360" w:lineRule="auto"/>
        <w:ind w:firstLine="0"/>
        <w:jc w:val="left"/>
      </w:pPr>
      <w:r>
        <w:rPr>
          <w:rFonts w:ascii="Times New Roman" w:cs="Times New Roman" w:eastAsia="Times New Roman" w:hAnsi="Times New Roman"/>
          <w:sz w:val="24"/>
          <w:szCs w:val="24"/>
        </w:rPr>
        <w:t xml:space="preserve">1.3.5 </w:t>
      </w:r>
      <w:r>
        <w:rPr>
          <w:rFonts w:ascii="Times New Roman" w:cs="Times New Roman" w:eastAsia="Times New Roman" w:hAnsi="Times New Roman"/>
          <w:sz w:val="24"/>
          <w:szCs w:val="24"/>
          <w:u w:val="single"/>
        </w:rPr>
        <w:t xml:space="preserve">Análisis Dinámico de Seguridad</w:t>
      </w:r>
    </w:p>
    <w:p>
      <w:pPr>
        <w:spacing w:after="120" w:before="0" w:line="360" w:lineRule="auto"/>
        <w:ind w:firstLine="709"/>
        <w:jc w:val="both"/>
      </w:pPr>
      <w:r>
        <w:rPr>
          <w:rFonts w:ascii="Times New Roman" w:cs="Times New Roman" w:eastAsia="Times New Roman" w:hAnsi="Times New Roman"/>
          <w:sz w:val="24"/>
          <w:szCs w:val="24"/>
        </w:rPr>
        <w:t xml:space="preserve">El análisis dinámico de seguridad —también denominado DAST (</w:t>
      </w:r>
      <w:r>
        <w:rPr>
          <w:rFonts w:ascii="Times New Roman" w:cs="Times New Roman" w:eastAsia="Times New Roman" w:hAnsi="Times New Roman"/>
          <w:i/>
          <w:iCs/>
          <w:sz w:val="24"/>
          <w:szCs w:val="24"/>
        </w:rPr>
        <w:t xml:space="preserve">Dynamic Application Security Testing</w:t>
      </w:r>
      <w:r>
        <w:rPr>
          <w:rFonts w:ascii="Times New Roman" w:cs="Times New Roman" w:eastAsia="Times New Roman" w:hAnsi="Times New Roman"/>
          <w:sz w:val="24"/>
          <w:szCs w:val="24"/>
        </w:rPr>
        <w:t xml:space="preserve">)—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 Atlidakis et al. (2019) y Viglianisi et al. (2020) propusieron generadores automáticos de casos de prueba para APIs REST basados en este principio, sentando las bases del análisis dinámico especializado en interfaces de este tipo.</w:t>
      </w:r>
      <w:r>
        <w:rPr>
          <w:rStyle w:val="FootnoteReference"/>
        </w:rPr>
        <w:footnoteReference w:id="42"/>
      </w:r>
      <w:r>
        <w:rPr>
          <w:rStyle w:val="FootnoteReference"/>
        </w:rPr>
        <w:footnoteReference w:id="43"/>
      </w:r>
    </w:p>
    <w:p>
      <w:pPr>
        <w:spacing w:after="0" w:before="200" w:line="360" w:lineRule="auto"/>
        <w:ind w:firstLine="0"/>
        <w:jc w:val="left"/>
      </w:pPr>
      <w:r>
        <w:rPr>
          <w:rFonts w:ascii="Times New Roman" w:cs="Times New Roman" w:eastAsia="Times New Roman" w:hAnsi="Times New Roman"/>
          <w:sz w:val="24"/>
          <w:szCs w:val="24"/>
        </w:rPr>
        <w:t xml:space="preserve">1.3.5.1 </w:t>
      </w:r>
      <w:r>
        <w:rPr>
          <w:rFonts w:ascii="Times New Roman" w:cs="Times New Roman" w:eastAsia="Times New Roman" w:hAnsi="Times New Roman"/>
          <w:sz w:val="24"/>
          <w:szCs w:val="24"/>
          <w:u w:val="single"/>
        </w:rPr>
        <w:t xml:space="preserve">HTTP probing y análisis de respuestas</w:t>
      </w:r>
    </w:p>
    <w:p>
      <w:pPr>
        <w:spacing w:after="120" w:before="0" w:line="360" w:lineRule="auto"/>
        <w:ind w:firstLine="709"/>
        <w:jc w:val="both"/>
      </w:pPr>
      <w:r>
        <w:rPr>
          <w:rFonts w:ascii="Times New Roman" w:cs="Times New Roman" w:eastAsia="Times New Roman" w:hAnsi="Times New Roman"/>
          <w:sz w:val="24"/>
          <w:szCs w:val="24"/>
        </w:rPr>
        <w:t xml:space="preserve">Las sondas HTTP implementadas en el presente trabajo verifican: (1) acceso sin autenticación a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administrativos. Cada sonda documenta la condición que puede generar un falso positivo, dado que el comportamiento esperado puede depender de configuraciones específicas del proyecto.</w:t>
      </w:r>
    </w:p>
    <w:p>
      <w:pPr>
        <w:spacing w:after="0" w:before="200" w:line="360" w:lineRule="auto"/>
        <w:ind w:firstLine="0"/>
        <w:jc w:val="left"/>
      </w:pPr>
      <w:r>
        <w:rPr>
          <w:rFonts w:ascii="Times New Roman" w:cs="Times New Roman" w:eastAsia="Times New Roman" w:hAnsi="Times New Roman"/>
          <w:sz w:val="24"/>
          <w:szCs w:val="24"/>
        </w:rPr>
        <w:t xml:space="preserve">1.3.5.2 </w:t>
      </w:r>
      <w:r>
        <w:rPr>
          <w:rFonts w:ascii="Times New Roman" w:cs="Times New Roman" w:eastAsia="Times New Roman" w:hAnsi="Times New Roman"/>
          <w:sz w:val="24"/>
          <w:szCs w:val="24"/>
          <w:u w:val="single"/>
        </w:rPr>
        <w:t xml:space="preserve">Herramientas existentes: ZAP, Spectral y 42Crunch</w:t>
      </w:r>
    </w:p>
    <w:p>
      <w:pPr>
        <w:spacing w:after="120" w:before="0" w:line="360" w:lineRule="auto"/>
        <w:ind w:firstLine="709"/>
        <w:jc w:val="both"/>
      </w:pPr>
      <w:r>
        <w:rPr>
          <w:rFonts w:ascii="Times New Roman" w:cs="Times New Roman" w:eastAsia="Times New Roman" w:hAnsi="Times New Roman"/>
          <w:sz w:val="24"/>
          <w:szCs w:val="24"/>
        </w:rPr>
        <w:t xml:space="preserve">OWASP ZAP es un proxy de intercepción HTTP que realiza escaneo activo y pasivo de aplicaciones web. Opera a nivel de protocolo HTTP sin acceso al código fuente, lo que le impide detectar patrones de configuración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como la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o de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Pr>
          <w:rStyle w:val="FootnoteReference"/>
        </w:rPr>
        <w:footnoteReference w:id="44"/>
      </w:r>
      <w:r>
        <w:rPr>
          <w:rStyle w:val="FootnoteReference"/>
        </w:rPr>
        <w:footnoteReference w:id="45"/>
      </w:r>
    </w:p>
    <w:p>
      <w:pPr>
        <w:spacing w:after="120" w:before="0" w:line="360" w:lineRule="auto"/>
        <w:ind w:firstLine="709"/>
        <w:jc w:val="both"/>
      </w:pPr>
      <w:r>
        <w:rPr>
          <w:rFonts w:ascii="Times New Roman" w:cs="Times New Roman" w:eastAsia="Times New Roman" w:hAnsi="Times New Roman"/>
          <w:sz w:val="24"/>
          <w:szCs w:val="24"/>
        </w:rPr>
        <w:t xml:space="preserve">La complementariedad entre el análisis estático y el dinámico es una de las contribuciones arquitectónicas centrales de la herramienta. El análisis estático puede detectar la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el código fuente —un indicador de riesgo— pero no puede confirmar si esa ausencia resulta en una vulnerabilidad real, porque el comportamiento depende también de la configuración global de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FootnoteReference"/>
        </w:rPr>
        <w:footnoteReference w:id="46"/>
      </w:r>
    </w:p>
    <w:p>
      <w:pPr>
        <w:spacing w:after="120" w:before="0" w:line="360" w:lineRule="auto"/>
        <w:ind w:firstLine="709"/>
        <w:jc w:val="both"/>
      </w:pPr>
      <w:r>
        <w:rPr>
          <w:rFonts w:ascii="Times New Roman" w:cs="Times New Roman" w:eastAsia="Times New Roman" w:hAnsi="Times New Roman"/>
          <w:sz w:val="24"/>
          <w:szCs w:val="24"/>
        </w:rPr>
        <w:t xml:space="preserve">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FootnoteReference"/>
        </w:rPr>
        <w:footnoteReference w:id="47"/>
      </w:r>
    </w:p>
    <w:p>
      <w:pPr>
        <w:spacing w:after="0" w:before="200" w:line="360" w:lineRule="auto"/>
        <w:ind w:firstLine="0"/>
        <w:jc w:val="left"/>
      </w:pPr>
      <w:r>
        <w:rPr>
          <w:rFonts w:ascii="Times New Roman" w:cs="Times New Roman" w:eastAsia="Times New Roman" w:hAnsi="Times New Roman"/>
          <w:sz w:val="24"/>
          <w:szCs w:val="24"/>
        </w:rPr>
        <w:t xml:space="preserve">1.3.6 </w:t>
      </w:r>
      <w:r>
        <w:rPr>
          <w:rFonts w:ascii="Times New Roman" w:cs="Times New Roman" w:eastAsia="Times New Roman" w:hAnsi="Times New Roman"/>
          <w:sz w:val="24"/>
          <w:szCs w:val="24"/>
          <w:u w:val="single"/>
        </w:rPr>
        <w:t xml:space="preserve">Modelos de Lenguaje de Gran Escala aplicados a Seguridad</w:t>
      </w:r>
    </w:p>
    <w:p>
      <w:pPr>
        <w:spacing w:after="120" w:before="0" w:line="360" w:lineRule="auto"/>
        <w:ind w:firstLine="709"/>
        <w:jc w:val="both"/>
      </w:pPr>
      <w:r>
        <w:rPr>
          <w:rFonts w:ascii="Times New Roman" w:cs="Times New Roman" w:eastAsia="Times New Roman" w:hAnsi="Times New Roman"/>
          <w:sz w:val="24"/>
          <w:szCs w:val="24"/>
        </w:rPr>
        <w:t xml:space="preserve">Los Modelos de Lenguaje de Gran Escala (</w:t>
      </w:r>
      <w:r>
        <w:rPr>
          <w:rFonts w:ascii="Times New Roman" w:cs="Times New Roman" w:eastAsia="Times New Roman" w:hAnsi="Times New Roman"/>
          <w:i/>
          <w:iCs/>
          <w:sz w:val="24"/>
          <w:szCs w:val="24"/>
        </w:rPr>
        <w:t xml:space="preserve">Large Language Models</w:t>
      </w:r>
      <w:r>
        <w:rPr>
          <w:rFonts w:ascii="Times New Roman" w:cs="Times New Roman" w:eastAsia="Times New Roman" w:hAnsi="Times New Roman"/>
          <w:sz w:val="24"/>
          <w:szCs w:val="24"/>
        </w:rPr>
        <w:t xml:space="preserve">, LLM) son redes neuronales con decenas de miles de millones de parámetros entrenadas sobre corpus masivos de texto, cuya arquitectura base es el Transformer propuesto por Vaswani et al. (2017). Su capacidad de generar texto coherente y contextualizado los hace candidatos naturales para tareas de síntesis de documentación de seguridad y generación de recomendaciones de remediación.</w:t>
      </w:r>
      <w:r>
        <w:rPr>
          <w:rStyle w:val="FootnoteReference"/>
        </w:rPr>
        <w:footnoteReference w:id="48"/>
      </w:r>
      <w:r>
        <w:rPr>
          <w:rStyle w:val="FootnoteReference"/>
        </w:rPr>
        <w:footnoteReference w:id="49"/>
      </w:r>
    </w:p>
    <w:p>
      <w:pPr>
        <w:spacing w:after="0" w:before="200" w:line="360" w:lineRule="auto"/>
        <w:ind w:firstLine="0"/>
        <w:jc w:val="left"/>
      </w:pPr>
      <w:r>
        <w:rPr>
          <w:rFonts w:ascii="Times New Roman" w:cs="Times New Roman" w:eastAsia="Times New Roman" w:hAnsi="Times New Roman"/>
          <w:sz w:val="24"/>
          <w:szCs w:val="24"/>
        </w:rPr>
        <w:t xml:space="preserve">1.3.6.1 </w:t>
      </w:r>
      <w:r>
        <w:rPr>
          <w:rFonts w:ascii="Times New Roman" w:cs="Times New Roman" w:eastAsia="Times New Roman" w:hAnsi="Times New Roman"/>
          <w:sz w:val="24"/>
          <w:szCs w:val="24"/>
          <w:u w:val="single"/>
        </w:rPr>
        <w:t xml:space="preserve">El problema de las alucinaciones</w:t>
      </w:r>
    </w:p>
    <w:p>
      <w:pPr>
        <w:spacing w:after="120" w:before="0" w:line="360" w:lineRule="auto"/>
        <w:ind w:firstLine="709"/>
        <w:jc w:val="both"/>
      </w:pPr>
      <w:r>
        <w:rPr>
          <w:rFonts w:ascii="Times New Roman" w:cs="Times New Roman" w:eastAsia="Times New Roman" w:hAnsi="Times New Roman"/>
          <w:sz w:val="24"/>
          <w:szCs w:val="24"/>
        </w:rPr>
        <w:t xml:space="preserve">Una alucinación en el contexto de los LLM es la generación de información plausible pero factualmente incorrecta. Ji et al. (2023) realizaron la revisión sistemática más extensa sobre este fenómeno, documentando sus causas y mecanismos en modelos de lenguaje naturales.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Pr>
          <w:rStyle w:val="FootnoteReference"/>
        </w:rPr>
        <w:footnoteReference w:id="50"/>
      </w:r>
      <w:r>
        <w:rPr>
          <w:rStyle w:val="FootnoteReference"/>
        </w:rPr>
        <w:footnoteReference w:id="51"/>
      </w:r>
    </w:p>
    <w:p>
      <w:pPr>
        <w:spacing w:after="120" w:before="0" w:line="360" w:lineRule="auto"/>
        <w:ind w:firstLine="709"/>
        <w:jc w:val="both"/>
      </w:pPr>
      <w:r>
        <w:rPr>
          <w:rFonts w:ascii="Times New Roman" w:cs="Times New Roman" w:eastAsia="Times New Roman" w:hAnsi="Times New Roman"/>
          <w:sz w:val="24"/>
          <w:szCs w:val="24"/>
        </w:rPr>
        <w:t xml:space="preserve">Los LLM evolucionaron a partir de la arquitectura Transformer (Vaswani et al., 2017) y los modelos de representación contextual como BERT (Devlin et al., 2019). Brown et al. (2020) demostraron con GPT-3 que los LLM de escala suficiente pueden realizar tareas complejas con un número reducido de ejemplos en 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few-shot learning</w:t>
      </w:r>
      <w:r>
        <w:rPr>
          <w:rFonts w:ascii="Times New Roman" w:cs="Times New Roman" w:eastAsia="Times New Roman" w:hAnsi="Times New Roman"/>
          <w:sz w:val="24"/>
          <w:szCs w:val="24"/>
        </w:rPr>
        <w:t xml:space="preserve">), característica que fundamenta el diseño del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 enriquecimiento RAG utilizado en el presente trabajo: los fragmentos de documentación recuperados actúan como ejemplos contextuales que guían la generación del modelo hacia respuestas específicas al dominio.</w:t>
      </w:r>
      <w:r>
        <w:rPr>
          <w:rStyle w:val="FootnoteReference"/>
        </w:rPr>
        <w:footnoteReference w:id="52"/>
      </w:r>
      <w:r>
        <w:rPr>
          <w:rStyle w:val="FootnoteReference"/>
        </w:rPr>
        <w:footnoteReference w:id="53"/>
      </w:r>
    </w:p>
    <w:p>
      <w:pPr>
        <w:spacing w:after="0" w:before="200" w:line="360" w:lineRule="auto"/>
        <w:ind w:firstLine="0"/>
        <w:jc w:val="left"/>
      </w:pPr>
      <w:r>
        <w:rPr>
          <w:rFonts w:ascii="Times New Roman" w:cs="Times New Roman" w:eastAsia="Times New Roman" w:hAnsi="Times New Roman"/>
          <w:sz w:val="24"/>
          <w:szCs w:val="24"/>
        </w:rPr>
        <w:t xml:space="preserve">1.3.6.2 </w:t>
      </w:r>
      <w:r>
        <w:rPr>
          <w:rFonts w:ascii="Times New Roman" w:cs="Times New Roman" w:eastAsia="Times New Roman" w:hAnsi="Times New Roman"/>
          <w:sz w:val="24"/>
          <w:szCs w:val="24"/>
          <w:u w:val="single"/>
        </w:rPr>
        <w:t xml:space="preserve">Mistral 7B</w:t>
      </w:r>
    </w:p>
    <w:p>
      <w:pPr>
        <w:spacing w:after="120" w:before="0" w:line="360" w:lineRule="auto"/>
        <w:ind w:firstLine="709"/>
        <w:jc w:val="both"/>
      </w:pPr>
      <w:r>
        <w:rPr>
          <w:rFonts w:ascii="Times New Roman" w:cs="Times New Roman" w:eastAsia="Times New Roman" w:hAnsi="Times New Roman"/>
          <w:sz w:val="24"/>
          <w:szCs w:val="24"/>
        </w:rPr>
        <w:t xml:space="preserve">Mistral 7B es un modelo de lenguaje de 7.3 mil millones de parámetros publicado por Mistral AI en 2023, cuya arquitectura incorpora </w:t>
      </w:r>
      <w:r>
        <w:rPr>
          <w:rFonts w:ascii="Times New Roman" w:cs="Times New Roman" w:eastAsia="Times New Roman" w:hAnsi="Times New Roman"/>
          <w:i/>
          <w:iCs/>
          <w:sz w:val="24"/>
          <w:szCs w:val="24"/>
        </w:rPr>
        <w:t xml:space="preserve">sliding window attention</w:t>
      </w:r>
      <w:r>
        <w:rPr>
          <w:rFonts w:ascii="Times New Roman" w:cs="Times New Roman" w:eastAsia="Times New Roman" w:hAnsi="Times New Roman"/>
          <w:sz w:val="24"/>
          <w:szCs w:val="24"/>
        </w:rPr>
        <w:t xml:space="preserve"> y atención de consulta agrupada (</w:t>
      </w:r>
      <w:r>
        <w:rPr>
          <w:rFonts w:ascii="Times New Roman" w:cs="Times New Roman" w:eastAsia="Times New Roman" w:hAnsi="Times New Roman"/>
          <w:i/>
          <w:iCs/>
          <w:sz w:val="24"/>
          <w:szCs w:val="24"/>
        </w:rPr>
        <w:t xml:space="preserve">grouped-query attention</w:t>
      </w:r>
      <w:r>
        <w:rPr>
          <w:rFonts w:ascii="Times New Roman" w:cs="Times New Roman" w:eastAsia="Times New Roman" w:hAnsi="Times New Roman"/>
          <w:sz w:val="24"/>
          <w:szCs w:val="24"/>
        </w:rPr>
        <w:t xml:space="preserve">) para reducir el costo de inferencia sin degradar la calidad de generación. Jiang et al. (2023) demostraron que Mistral 7B supera a Llama 2 13B en múltiples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de razonamiento y codificación. En el presente trabajo se utiliza la variante cuantizada Q4_K_M, que permite su ejecución en CPU con 16 GB de RAM, eliminando la dependencia de hardware especializado.</w:t>
      </w:r>
      <w:r>
        <w:rPr>
          <w:rStyle w:val="FootnoteReference"/>
        </w:rPr>
        <w:footnoteReference w:id="54"/>
      </w:r>
    </w:p>
    <w:p>
      <w:pPr>
        <w:spacing w:after="120" w:before="0" w:line="360" w:lineRule="auto"/>
        <w:ind w:firstLine="709"/>
        <w:jc w:val="both"/>
      </w:pPr>
      <w:r>
        <w:rPr>
          <w:rFonts w:ascii="Times New Roman" w:cs="Times New Roman" w:eastAsia="Times New Roman" w:hAnsi="Times New Roman"/>
          <w:sz w:val="24"/>
          <w:szCs w:val="24"/>
        </w:rPr>
        <w:t xml:space="preserve">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hardware.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rStyle w:val="FootnoteReference"/>
        </w:rPr>
        <w:footnoteReference w:id="55"/>
      </w:r>
      <w:r>
        <w:rPr>
          <w:rStyle w:val="FootnoteReference"/>
        </w:rPr>
        <w:footnoteReference w:id="56"/>
      </w:r>
    </w:p>
    <w:p>
      <w:pPr>
        <w:spacing w:after="0" w:before="200" w:line="360" w:lineRule="auto"/>
        <w:ind w:firstLine="0"/>
        <w:jc w:val="left"/>
      </w:pPr>
      <w:r>
        <w:rPr>
          <w:rFonts w:ascii="Times New Roman" w:cs="Times New Roman" w:eastAsia="Times New Roman" w:hAnsi="Times New Roman"/>
          <w:sz w:val="24"/>
          <w:szCs w:val="24"/>
        </w:rPr>
        <w:t xml:space="preserve">1.3.7 </w:t>
      </w:r>
      <w:r>
        <w:rPr>
          <w:rFonts w:ascii="Times New Roman" w:cs="Times New Roman" w:eastAsia="Times New Roman" w:hAnsi="Times New Roman"/>
          <w:sz w:val="24"/>
          <w:szCs w:val="24"/>
          <w:u w:val="single"/>
        </w:rPr>
        <w:t xml:space="preserve">Generación Aumentada por Recuperación (RAG)</w:t>
      </w:r>
    </w:p>
    <w:p>
      <w:pPr>
        <w:spacing w:after="120" w:before="0" w:line="360" w:lineRule="auto"/>
        <w:ind w:firstLine="709"/>
        <w:jc w:val="both"/>
      </w:pPr>
      <w:r>
        <w:rPr>
          <w:rFonts w:ascii="Times New Roman" w:cs="Times New Roman" w:eastAsia="Times New Roman" w:hAnsi="Times New Roman"/>
          <w:sz w:val="24"/>
          <w:szCs w:val="24"/>
        </w:rPr>
        <w:t xml:space="preserve">La Generación Aumentada por Recuperación (</w:t>
      </w:r>
      <w:r>
        <w:rPr>
          <w:rFonts w:ascii="Times New Roman" w:cs="Times New Roman" w:eastAsia="Times New Roman" w:hAnsi="Times New Roman"/>
          <w:i/>
          <w:iCs/>
          <w:sz w:val="24"/>
          <w:szCs w:val="24"/>
        </w:rPr>
        <w:t xml:space="preserve">Retrieval-Augmented Generation</w:t>
      </w:r>
      <w:r>
        <w:rPr>
          <w:rFonts w:ascii="Times New Roman" w:cs="Times New Roman" w:eastAsia="Times New Roman" w:hAnsi="Times New Roman"/>
          <w:sz w:val="24"/>
          <w:szCs w:val="24"/>
        </w:rPr>
        <w:t xml:space="preserve">, RAG) es un paradigma propuesto por Lewis et al. (2020) que combina un recuperador de información con un modelo generativo. En lugar de depender exclusivamente de los parámetros aprendidos durante el entrenamiento, el modelo recibe en 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fragmentos de documentación recuperados dinámicamente, lo que reduce la tasa de alucinaciones y mejora la precisión factual de las respuestas.</w:t>
      </w:r>
      <w:r>
        <w:rPr>
          <w:rStyle w:val="FootnoteReference"/>
        </w:rPr>
        <w:footnoteReference w:id="57"/>
      </w:r>
    </w:p>
    <w:p>
      <w:pPr>
        <w:spacing w:after="120" w:before="0" w:line="360" w:lineRule="auto"/>
        <w:ind w:firstLine="709"/>
        <w:jc w:val="both"/>
      </w:pPr>
      <w:r>
        <w:rPr>
          <w:rFonts w:ascii="Times New Roman" w:cs="Times New Roman" w:eastAsia="Times New Roman" w:hAnsi="Times New Roman"/>
          <w:sz w:val="24"/>
          <w:szCs w:val="24"/>
        </w:rPr>
        <w:t xml:space="preserve">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 Gao et al. (2023) realizaron una revisión sistemática de las arquitecturas RAG más recientes, identificando los componentes determinantes para la calidad de las respuestas: recuperador denso, segmentación del corpus y diseño del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 enriquecimiento. Borgeaud et al. (2022) demostraron que la escala del corpus de recuperación es un factor determinante en la precisión factual de los modelos, con mejoras observadas hasta corpus de billones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En el contexto de la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las características RAG —conocimiento actualizable, especializado y trazable— son precisamente las que se requieren para generar recomendaciones de remediación de alta calidad.</w:t>
      </w:r>
      <w:r>
        <w:rPr>
          <w:rStyle w:val="FootnoteReference"/>
        </w:rPr>
        <w:footnoteReference w:id="58"/>
      </w:r>
      <w:r>
        <w:rPr>
          <w:rStyle w:val="FootnoteReference"/>
        </w:rPr>
        <w:footnoteReference w:id="59"/>
      </w:r>
      <w:r>
        <w:rPr>
          <w:rStyle w:val="FootnoteReference"/>
        </w:rPr>
        <w:footnoteReference w:id="60"/>
      </w:r>
    </w:p>
    <w:p>
      <w:pPr>
        <w:spacing w:after="0" w:before="200" w:line="360" w:lineRule="auto"/>
        <w:ind w:firstLine="0"/>
        <w:jc w:val="left"/>
      </w:pPr>
      <w:r>
        <w:rPr>
          <w:rFonts w:ascii="Times New Roman" w:cs="Times New Roman" w:eastAsia="Times New Roman" w:hAnsi="Times New Roman"/>
          <w:sz w:val="24"/>
          <w:szCs w:val="24"/>
        </w:rPr>
        <w:t xml:space="preserve">1.3.7.1 </w:t>
      </w:r>
      <w:r>
        <w:rPr>
          <w:rFonts w:ascii="Times New Roman" w:cs="Times New Roman" w:eastAsia="Times New Roman" w:hAnsi="Times New Roman"/>
          <w:sz w:val="24"/>
          <w:szCs w:val="24"/>
          <w:u w:val="single"/>
        </w:rPr>
        <w:t xml:space="preserve">Representaciones vectoriales (embeddings)</w:t>
      </w:r>
    </w:p>
    <w:p>
      <w:pPr>
        <w:spacing w:after="120" w:before="0" w:line="360" w:lineRule="auto"/>
        <w:ind w:firstLine="709"/>
        <w:jc w:val="both"/>
      </w:pPr>
      <w:r>
        <w:rPr>
          <w:rFonts w:ascii="Times New Roman" w:cs="Times New Roman" w:eastAsia="Times New Roman" w:hAnsi="Times New Roman"/>
          <w:sz w:val="24"/>
          <w:szCs w:val="24"/>
        </w:rPr>
        <w:t xml:space="preserve">Un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r>
        <w:rPr>
          <w:rStyle w:val="FootnoteReference"/>
        </w:rPr>
        <w:footnoteReference w:id="61"/>
      </w:r>
    </w:p>
    <w:p>
      <w:pPr>
        <w:spacing w:after="0" w:before="200" w:line="360" w:lineRule="auto"/>
        <w:ind w:firstLine="0"/>
        <w:jc w:val="left"/>
      </w:pPr>
      <w:r>
        <w:rPr>
          <w:rFonts w:ascii="Times New Roman" w:cs="Times New Roman" w:eastAsia="Times New Roman" w:hAnsi="Times New Roman"/>
          <w:sz w:val="24"/>
          <w:szCs w:val="24"/>
        </w:rPr>
        <w:t xml:space="preserve">1.3.7.2 </w:t>
      </w:r>
      <w:r>
        <w:rPr>
          <w:rFonts w:ascii="Times New Roman" w:cs="Times New Roman" w:eastAsia="Times New Roman" w:hAnsi="Times New Roman"/>
          <w:sz w:val="24"/>
          <w:szCs w:val="24"/>
          <w:u w:val="single"/>
        </w:rPr>
        <w:t xml:space="preserve">Sentence-Transformers y all-MiniLM-L6-v2</w:t>
      </w:r>
    </w:p>
    <w:p>
      <w:pPr>
        <w:spacing w:after="120" w:before="0" w:line="360" w:lineRule="auto"/>
        <w:ind w:firstLine="709"/>
        <w:jc w:val="both"/>
      </w:pPr>
      <w:r>
        <w:rPr>
          <w:rFonts w:ascii="Times New Roman" w:cs="Times New Roman" w:eastAsia="Times New Roman" w:hAnsi="Times New Roman"/>
          <w:sz w:val="24"/>
          <w:szCs w:val="24"/>
        </w:rPr>
        <w:t xml:space="preserve">Reimers y Gurevych (2019) propusieron Sentence-BERT, una adaptación de la arquitectura BERT que, mediante entrenamiento siamés con pares de oraciones semánticamente similares, produce </w:t>
      </w:r>
      <w:r>
        <w:rPr>
          <w:rFonts w:ascii="Times New Roman" w:cs="Times New Roman" w:eastAsia="Times New Roman" w:hAnsi="Times New Roman"/>
          <w:i/>
          <w:iCs/>
          <w:sz w:val="24"/>
          <w:szCs w:val="24"/>
        </w:rPr>
        <w:t xml:space="preserve">embeddings</w:t>
      </w:r>
      <w:r>
        <w:rPr>
          <w:rFonts w:ascii="Times New Roman" w:cs="Times New Roman" w:eastAsia="Times New Roman" w:hAnsi="Times New Roman"/>
          <w:sz w:val="24"/>
          <w:szCs w:val="24"/>
        </w:rPr>
        <w:t xml:space="preserve"> de oraciones comparables mediante similitud coseno de forma eficiente. El modelo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FootnoteReference"/>
        </w:rPr>
        <w:footnoteReference w:id="62"/>
      </w:r>
    </w:p>
    <w:p>
      <w:pPr>
        <w:spacing w:after="0" w:before="200" w:line="360" w:lineRule="auto"/>
        <w:ind w:firstLine="0"/>
        <w:jc w:val="left"/>
      </w:pPr>
      <w:r>
        <w:rPr>
          <w:rFonts w:ascii="Times New Roman" w:cs="Times New Roman" w:eastAsia="Times New Roman" w:hAnsi="Times New Roman"/>
          <w:sz w:val="24"/>
          <w:szCs w:val="24"/>
        </w:rPr>
        <w:t xml:space="preserve">1.3.7.3 </w:t>
      </w:r>
      <w:r>
        <w:rPr>
          <w:rFonts w:ascii="Times New Roman" w:cs="Times New Roman" w:eastAsia="Times New Roman" w:hAnsi="Times New Roman"/>
          <w:sz w:val="24"/>
          <w:szCs w:val="24"/>
          <w:u w:val="single"/>
        </w:rPr>
        <w:t xml:space="preserve">ChromaDB y Ollama</w:t>
      </w:r>
    </w:p>
    <w:p>
      <w:pPr>
        <w:spacing w:after="120" w:before="0" w:line="360" w:lineRule="auto"/>
        <w:ind w:firstLine="709"/>
        <w:jc w:val="both"/>
      </w:pPr>
      <w:r>
        <w:rPr>
          <w:rFonts w:ascii="Times New Roman" w:cs="Times New Roman" w:eastAsia="Times New Roman" w:hAnsi="Times New Roman"/>
          <w:sz w:val="24"/>
          <w:szCs w:val="24"/>
        </w:rPr>
        <w:t xml:space="preserve">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completamente local: sin costo por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sin transmisión de código fuente propietario y operable en entornos sin conectividad a internet.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rStyle w:val="FootnoteReference"/>
        </w:rPr>
        <w:footnoteReference w:id="63"/>
      </w:r>
      <w:r>
        <w:rPr>
          <w:rStyle w:val="FootnoteReference"/>
        </w:rPr>
        <w:footnoteReference w:id="64"/>
      </w:r>
    </w:p>
    <w:p>
      <w:pPr>
        <w:spacing w:after="0" w:before="200" w:line="360" w:lineRule="auto"/>
        <w:ind w:firstLine="0"/>
        <w:jc w:val="left"/>
      </w:pPr>
      <w:r>
        <w:rPr>
          <w:rFonts w:ascii="Times New Roman" w:cs="Times New Roman" w:eastAsia="Times New Roman" w:hAnsi="Times New Roman"/>
          <w:sz w:val="24"/>
          <w:szCs w:val="24"/>
        </w:rPr>
        <w:t xml:space="preserve">1.3.7.4 </w:t>
      </w:r>
      <w:r>
        <w:rPr>
          <w:rFonts w:ascii="Times New Roman" w:cs="Times New Roman" w:eastAsia="Times New Roman" w:hAnsi="Times New Roman"/>
          <w:sz w:val="24"/>
          <w:szCs w:val="24"/>
          <w:u w:val="single"/>
        </w:rPr>
        <w:t xml:space="preserve">Aplicación del pipeline RAG a seguridad de software</w:t>
      </w:r>
    </w:p>
    <w:p>
      <w:pPr>
        <w:spacing w:after="120" w:before="0" w:line="360" w:lineRule="auto"/>
        <w:ind w:firstLine="709"/>
        <w:jc w:val="both"/>
      </w:pPr>
      <w:r>
        <w:rPr>
          <w:rFonts w:ascii="Times New Roman" w:cs="Times New Roman" w:eastAsia="Times New Roman" w:hAnsi="Times New Roman"/>
          <w:sz w:val="24"/>
          <w:szCs w:val="24"/>
        </w:rPr>
        <w:t xml:space="preserve">En el presente trabajo, la base de conocimiento se construye a partir de tres documentos especializados: el OWASP API Security Top 10 (2023), la guía de seguridad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FootnoteReference"/>
        </w:rPr>
        <w:footnoteReference w:id="65"/>
      </w:r>
    </w:p>
    <w:p>
      <w:pPr>
        <w:spacing w:after="120" w:before="0" w:line="360" w:lineRule="auto"/>
        <w:ind w:firstLine="709"/>
        <w:jc w:val="both"/>
      </w:pPr>
      <w:r>
        <w:rPr>
          <w:rFonts w:ascii="Times New Roman" w:cs="Times New Roman" w:eastAsia="Times New Roman" w:hAnsi="Times New Roman"/>
          <w:sz w:val="24"/>
          <w:szCs w:val="24"/>
        </w:rPr>
        <w:t xml:space="preserve">El diseño del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 enriquecimiento es determinante para la calidad de las recomendaciones generadas. Un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excesivamente largo —con más de diez fragmentos de contexto— puede superar la ventana de contexto del modelo o diluir la señal relevante con ruido. Un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demasiado corto —con menos de tres fragmentos— puede no proporcionar suficiente contexto para que el modelo genere una recomendación específica al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configuración de cuatro a cinco fragmentos, temperatura 0.2 y máximo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de respuesta fue determinada empíricamente durante el desarrollo: la temperatura baja reduce la creatividad del modelo y lo ancla a la documentación recuperada, minimizando la probabilidad de alucinaciones; el límite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garantiza que la recomendación sea concisa y accionable sin truncarse en la mayoría de los casos.</w:t>
      </w:r>
      <w:r>
        <w:rPr>
          <w:rStyle w:val="FootnoteReference"/>
        </w:rPr>
        <w:footnoteReference w:id="66"/>
      </w:r>
    </w:p>
    <w:p>
      <w:pPr>
        <w:spacing w:after="0" w:before="200" w:line="360"/>
        <w:jc w:val="center"/>
      </w:pPr>
      <w:r>
        <w:rPr>
          <w:rFonts w:ascii="Times New Roman" w:cs="Times New Roman" w:eastAsia="Times New Roman" w:hAnsi="Times New Roman"/>
          <w:b/>
          <w:bCs/>
          <w:sz w:val="24"/>
          <w:szCs w:val="24"/>
        </w:rPr>
        <w:t xml:space="preserve">Figura No. 2</w:t>
      </w:r>
    </w:p>
    <w:p>
      <w:pPr>
        <w:spacing w:after="100" w:before="0" w:line="360"/>
        <w:jc w:val="center"/>
      </w:pPr>
      <w:r>
        <w:rPr>
          <w:rFonts w:ascii="Times New Roman" w:cs="Times New Roman" w:eastAsia="Times New Roman" w:hAnsi="Times New Roman"/>
          <w:b/>
          <w:bCs/>
          <w:sz w:val="24"/>
          <w:szCs w:val="24"/>
        </w:rPr>
        <w:t xml:space="preserve">FLUJO DEL PIPELINE DE GENERACIÓN AUMENTADA POR RECUPERACIÓN (RAG)</w:t>
      </w:r>
    </w:p>
    <w:p>
      <w:pPr>
        <w:spacing w:after="0" w:before="0" w:line="360"/>
        <w:jc w:val="center"/>
      </w:pPr>
      <w:r>
        <w:drawing>
          <wp:inline distT="0" distB="0" distL="0" distR="0">
            <wp:extent cx="4762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24000"/>
                    </a:xfrm>
                    <a:prstGeom prst="rect">
                      <a:avLst/>
                    </a:prstGeom>
                  </pic:spPr>
                </pic:pic>
              </a:graphicData>
            </a:graphic>
          </wp:inline>
        </w:drawing>
      </w:r>
    </w:p>
    <w:p>
      <w:pPr>
        <w:spacing w:after="200" w:before="80" w:line="240"/>
        <w:ind w:left="668"/>
        <w:jc w:val="left"/>
      </w:pPr>
      <w:r>
        <w:rPr>
          <w:rFonts w:ascii="Times New Roman" w:cs="Times New Roman" w:eastAsia="Times New Roman" w:hAnsi="Times New Roman"/>
          <w:sz w:val="20"/>
          <w:szCs w:val="20"/>
        </w:rPr>
        <w:t xml:space="preserve">Fuente: Propia.</w:t>
      </w:r>
    </w:p>
    <w:p>
      <w:pPr>
        <w:spacing w:after="0" w:before="200" w:line="360" w:lineRule="auto"/>
        <w:ind w:firstLine="0"/>
        <w:jc w:val="left"/>
      </w:pPr>
      <w:r>
        <w:rPr>
          <w:rFonts w:ascii="Times New Roman" w:cs="Times New Roman" w:eastAsia="Times New Roman" w:hAnsi="Times New Roman"/>
          <w:sz w:val="24"/>
          <w:szCs w:val="24"/>
        </w:rPr>
        <w:t xml:space="preserve">1.3.8 </w:t>
      </w:r>
      <w:r>
        <w:rPr>
          <w:rFonts w:ascii="Times New Roman" w:cs="Times New Roman" w:eastAsia="Times New Roman" w:hAnsi="Times New Roman"/>
          <w:sz w:val="24"/>
          <w:szCs w:val="24"/>
          <w:u w:val="single"/>
        </w:rPr>
        <w:t xml:space="preserve">Automatización de Auditorías y Métricas de Evaluación</w:t>
      </w:r>
    </w:p>
    <w:p>
      <w:pPr>
        <w:spacing w:after="120" w:before="0" w:line="360" w:lineRule="auto"/>
        <w:ind w:firstLine="709"/>
        <w:jc w:val="both"/>
      </w:pPr>
      <w:r>
        <w:rPr>
          <w:rFonts w:ascii="Times New Roman" w:cs="Times New Roman" w:eastAsia="Times New Roman" w:hAnsi="Times New Roman"/>
          <w:sz w:val="24"/>
          <w:szCs w:val="24"/>
        </w:rPr>
        <w:t xml:space="preserve">La integración de herramientas de seguridad en ciclos DevSecOps —el paradigma conocido como </w:t>
      </w:r>
      <w:r>
        <w:rPr>
          <w:rFonts w:ascii="Times New Roman" w:cs="Times New Roman" w:eastAsia="Times New Roman" w:hAnsi="Times New Roman"/>
          <w:i/>
          <w:iCs/>
          <w:sz w:val="24"/>
          <w:szCs w:val="24"/>
        </w:rPr>
        <w:t xml:space="preserve">shift-left security</w:t>
      </w:r>
      <w:r>
        <w:rPr>
          <w:rFonts w:ascii="Times New Roman" w:cs="Times New Roman" w:eastAsia="Times New Roman" w:hAnsi="Times New Roman"/>
          <w:sz w:val="24"/>
          <w:szCs w:val="24"/>
        </w:rP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rFonts w:ascii="Times New Roman" w:cs="Times New Roman" w:eastAsia="Times New Roman" w:hAnsi="Times New Roman"/>
          <w:i/>
          <w:iCs/>
          <w:sz w:val="24"/>
          <w:szCs w:val="24"/>
        </w:rPr>
        <w:t xml:space="preserve">commit</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pull request</w:t>
      </w:r>
      <w:r>
        <w:rPr>
          <w:rFonts w:ascii="Times New Roman" w:cs="Times New Roman" w:eastAsia="Times New Roman" w:hAnsi="Times New Roman"/>
          <w:sz w:val="24"/>
          <w:szCs w:val="24"/>
        </w:rPr>
        <w:t xml:space="preserve"> dentro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integración continua. Un tiempo de ejecución inferior a doscientos milisegundos para el análisis estático hace posible esta integración sin impacto perceptible en el ciclo de desarrollo.</w:t>
      </w:r>
      <w:r>
        <w:rPr>
          <w:rStyle w:val="FootnoteReference"/>
        </w:rPr>
        <w:footnoteReference w:id="67"/>
      </w:r>
    </w:p>
    <w:p>
      <w:pPr>
        <w:spacing w:after="120" w:before="0" w:line="360" w:lineRule="auto"/>
        <w:ind w:firstLine="709"/>
        <w:jc w:val="both"/>
      </w:pPr>
      <w:r>
        <w:rPr>
          <w:rFonts w:ascii="Times New Roman" w:cs="Times New Roman" w:eastAsia="Times New Roman" w:hAnsi="Times New Roman"/>
          <w:sz w:val="24"/>
          <w:szCs w:val="24"/>
        </w:rPr>
        <w:t xml:space="preserve">La práctica de </w:t>
      </w:r>
      <w:r>
        <w:rPr>
          <w:rFonts w:ascii="Times New Roman" w:cs="Times New Roman" w:eastAsia="Times New Roman" w:hAnsi="Times New Roman"/>
          <w:i/>
          <w:iCs/>
          <w:sz w:val="24"/>
          <w:szCs w:val="24"/>
        </w:rPr>
        <w:t xml:space="preserve">shift-left security</w:t>
      </w:r>
      <w:r>
        <w:rPr>
          <w:rFonts w:ascii="Times New Roman" w:cs="Times New Roman" w:eastAsia="Times New Roman" w:hAnsi="Times New Roman"/>
          <w:sz w:val="24"/>
          <w:szCs w:val="24"/>
        </w:rP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llena parcialmente esta brecha, actuando como un compilador de seguridad que detecta configuraciones problemáticas antes de que el código llegue a producción.</w:t>
      </w:r>
      <w:r>
        <w:rPr>
          <w:rStyle w:val="FootnoteReference"/>
        </w:rPr>
        <w:footnoteReference w:id="68"/>
      </w:r>
    </w:p>
    <w:p>
      <w:pPr>
        <w:spacing w:after="0" w:before="200" w:line="360" w:lineRule="auto"/>
        <w:ind w:firstLine="0"/>
        <w:jc w:val="left"/>
      </w:pPr>
      <w:r>
        <w:rPr>
          <w:rFonts w:ascii="Times New Roman" w:cs="Times New Roman" w:eastAsia="Times New Roman" w:hAnsi="Times New Roman"/>
          <w:sz w:val="24"/>
          <w:szCs w:val="24"/>
        </w:rPr>
        <w:t xml:space="preserve">1.3.8.1 </w:t>
      </w:r>
      <w:r>
        <w:rPr>
          <w:rFonts w:ascii="Times New Roman" w:cs="Times New Roman" w:eastAsia="Times New Roman" w:hAnsi="Times New Roman"/>
          <w:sz w:val="24"/>
          <w:szCs w:val="24"/>
          <w:u w:val="single"/>
        </w:rPr>
        <w:t xml:space="preserve">Métricas estándar de evaluación en detección</w:t>
      </w:r>
    </w:p>
    <w:p>
      <w:pPr>
        <w:spacing w:after="120" w:before="0" w:line="360" w:lineRule="auto"/>
        <w:ind w:firstLine="709"/>
        <w:jc w:val="both"/>
      </w:pPr>
      <w:r>
        <w:rPr>
          <w:rFonts w:ascii="Times New Roman" w:cs="Times New Roman" w:eastAsia="Times New Roman" w:hAnsi="Times New Roman"/>
          <w:sz w:val="24"/>
          <w:szCs w:val="24"/>
        </w:rPr>
        <w:t xml:space="preserve">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(R = TP / (TP + FN)) mide qué proporción de las vulnerabilidades reales son detectadas; F1 = 2PR / (P + R) es su media armónica. En el presente trabajo, el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FootnoteReference"/>
        </w:rPr>
        <w:footnoteReference w:id="69"/>
      </w:r>
    </w:p>
    <w:p>
      <w:pPr>
        <w:spacing w:after="0" w:before="200" w:line="360" w:lineRule="auto"/>
        <w:ind w:firstLine="0"/>
        <w:jc w:val="left"/>
      </w:pPr>
      <w:r>
        <w:rPr>
          <w:rFonts w:ascii="Times New Roman" w:cs="Times New Roman" w:eastAsia="Times New Roman" w:hAnsi="Times New Roman"/>
          <w:sz w:val="24"/>
          <w:szCs w:val="24"/>
        </w:rPr>
        <w:t xml:space="preserve">1.3.8.2 </w:t>
      </w:r>
      <w:r>
        <w:rPr>
          <w:rFonts w:ascii="Times New Roman" w:cs="Times New Roman" w:eastAsia="Times New Roman" w:hAnsi="Times New Roman"/>
          <w:sz w:val="24"/>
          <w:szCs w:val="24"/>
          <w:u w:val="single"/>
        </w:rPr>
        <w:t xml:space="preserve">Estudio de ablación y rúbrica de evaluación cualitativa</w:t>
      </w:r>
    </w:p>
    <w:p>
      <w:pPr>
        <w:spacing w:after="120" w:before="0" w:line="360" w:lineRule="auto"/>
        <w:ind w:firstLine="709"/>
        <w:jc w:val="both"/>
      </w:pPr>
      <w:r>
        <w:rPr>
          <w:rFonts w:ascii="Times New Roman" w:cs="Times New Roman" w:eastAsia="Times New Roman" w:hAnsi="Times New Roman"/>
          <w:sz w:val="24"/>
          <w:szCs w:val="24"/>
        </w:rPr>
        <w:t xml:space="preserve">Un estudio de ablación es un experimento que desactiva un componente del sistema para cuantificar su contribución individual. En el presente trabajo, el estudio de ablación compara la generación de recomendaciones con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activo frente a la generación sin recuperación, manteniendo el mismo modelo, la misma temperatura y la misma consulta. La calidad de cada recomendación se evalúa con una rúbrica de cinco criterios: Corrección Técnica (CT), Especificidad al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(EF), Alineación con OWASP (AO), Accionabilidad (AC) y Trazabilidad de fuentes (TF). Cada criterio se puntúa en una escala de 1 a 3 con anclas conductuales verificables objetivamente, de modo que los cuatro primeros criterios producen la misma puntuación independientemente del evaluador.</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2. PLANTEAMIENTO DEL PROBLEMA</w:t>
      </w:r>
    </w:p>
    <w:p>
      <w:pPr>
        <w:spacing w:after="200" w:before="240" w:line="360"/>
        <w:jc w:val="left"/>
      </w:pPr>
      <w:r>
        <w:rPr>
          <w:rFonts w:ascii="Times New Roman" w:cs="Times New Roman" w:eastAsia="Times New Roman" w:hAnsi="Times New Roman"/>
          <w:b/>
          <w:bCs/>
          <w:sz w:val="24"/>
          <w:szCs w:val="24"/>
        </w:rPr>
        <w:t xml:space="preserve">2.1 DESCRIPCIÓN DEL PROBLEMA DE INVESTIGACIÓN</w:t>
      </w:r>
    </w:p>
    <w:p>
      <w:pPr>
        <w:spacing w:after="120" w:before="0" w:line="360" w:lineRule="auto"/>
        <w:ind w:firstLine="709"/>
        <w:jc w:val="both"/>
      </w:pPr>
      <w:r>
        <w:rPr>
          <w:rFonts w:ascii="Times New Roman" w:cs="Times New Roman" w:eastAsia="Times New Roman" w:hAnsi="Times New Roman"/>
          <w:sz w:val="24"/>
          <w:szCs w:val="24"/>
        </w:rPr>
        <w:t xml:space="preserve">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adoptado en proyectos de escala industrial que almacenan y procesan datos personales, financieros y médicos. Sin embargo, los patrones de configuración inseguros más frecuentes en estos proyectos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en producción— no son detectados por ninguna herramienta de análisis de seguridad de propósito general disponible en la actualidad.</w:t>
      </w:r>
    </w:p>
    <w:p>
      <w:pPr>
        <w:spacing w:after="120" w:before="0" w:line="360" w:lineRule="auto"/>
        <w:ind w:firstLine="709"/>
        <w:jc w:val="both"/>
      </w:pPr>
      <w:r>
        <w:rPr>
          <w:rFonts w:ascii="Times New Roman" w:cs="Times New Roman" w:eastAsia="Times New Roman" w:hAnsi="Times New Roman"/>
          <w:sz w:val="24"/>
          <w:szCs w:val="24"/>
        </w:rPr>
        <w:t xml:space="preserve">La brecha es concreta y medible: las herramientas Bandit y Semgrep detectan cero de las seis categorías del OWASP API Security Top 10 objetivo cuando se ejecutan contra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pPr>
        <w:spacing w:after="120" w:before="0" w:line="360" w:lineRule="auto"/>
        <w:ind w:firstLine="709"/>
        <w:jc w:val="both"/>
      </w:pPr>
      <w:r>
        <w:rPr>
          <w:rFonts w:ascii="Times New Roman" w:cs="Times New Roman" w:eastAsia="Times New Roman" w:hAnsi="Times New Roman"/>
          <w:sz w:val="24"/>
          <w:szCs w:val="24"/>
        </w:rPr>
        <w:t xml:space="preserve">La pregunta de investigación que articula el presente trabajo es la siguiente: ¿Es posible construir una herramienta de interfaz de línea de comandos que detecte automáticamente vulnerabilidades del OWASP API Security Top 10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mediante análisis híbrido estático-dinámico y genere recomendaciones de remediación fundamentadas en documentación oficial, operando completamente de forma local?</w:t>
      </w:r>
    </w:p>
    <w:p>
      <w:pPr>
        <w:spacing w:after="200" w:before="240" w:line="360"/>
        <w:jc w:val="left"/>
      </w:pPr>
      <w:r>
        <w:rPr>
          <w:rFonts w:ascii="Times New Roman" w:cs="Times New Roman" w:eastAsia="Times New Roman" w:hAnsi="Times New Roman"/>
          <w:b/>
          <w:bCs/>
          <w:sz w:val="24"/>
          <w:szCs w:val="24"/>
        </w:rPr>
        <w:t xml:space="preserve">2.2 OBJETIVOS</w:t>
      </w:r>
    </w:p>
    <w:p>
      <w:pPr>
        <w:spacing w:after="0" w:before="200" w:line="360" w:lineRule="auto"/>
        <w:ind w:firstLine="0"/>
        <w:jc w:val="left"/>
      </w:pPr>
      <w:r>
        <w:rPr>
          <w:rFonts w:ascii="Times New Roman" w:cs="Times New Roman" w:eastAsia="Times New Roman" w:hAnsi="Times New Roman"/>
          <w:sz w:val="24"/>
          <w:szCs w:val="24"/>
        </w:rPr>
        <w:t xml:space="preserve">2.2.1 </w:t>
      </w:r>
      <w:r>
        <w:rPr>
          <w:rFonts w:ascii="Times New Roman" w:cs="Times New Roman" w:eastAsia="Times New Roman" w:hAnsi="Times New Roman"/>
          <w:sz w:val="24"/>
          <w:szCs w:val="24"/>
          <w:u w:val="single"/>
        </w:rPr>
        <w:t xml:space="preserve">Objetivo general</w:t>
      </w:r>
    </w:p>
    <w:p>
      <w:pPr>
        <w:spacing w:after="120" w:before="0" w:line="360" w:lineRule="auto"/>
        <w:ind w:firstLine="709"/>
        <w:jc w:val="both"/>
      </w:pPr>
      <w:r>
        <w:rPr>
          <w:rFonts w:ascii="Times New Roman" w:cs="Times New Roman" w:eastAsia="Times New Roman" w:hAnsi="Times New Roman"/>
          <w:sz w:val="24"/>
          <w:szCs w:val="24"/>
        </w:rPr>
        <w:t xml:space="preserve">Desarrollar una herramienta de interfaz de línea de comandos que automatice la auditoría de seguridad de interfaces de programación de aplicaciones REST desarrolladas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con ejecución completamente local.</w:t>
      </w:r>
    </w:p>
    <w:p>
      <w:pPr>
        <w:spacing w:after="0" w:before="200" w:line="360" w:lineRule="auto"/>
        <w:ind w:firstLine="0"/>
        <w:jc w:val="left"/>
      </w:pPr>
      <w:r>
        <w:rPr>
          <w:rFonts w:ascii="Times New Roman" w:cs="Times New Roman" w:eastAsia="Times New Roman" w:hAnsi="Times New Roman"/>
          <w:sz w:val="24"/>
          <w:szCs w:val="24"/>
        </w:rPr>
        <w:t xml:space="preserve">2.2.2 </w:t>
      </w:r>
      <w:r>
        <w:rPr>
          <w:rFonts w:ascii="Times New Roman" w:cs="Times New Roman" w:eastAsia="Times New Roman" w:hAnsi="Times New Roman"/>
          <w:sz w:val="24"/>
          <w:szCs w:val="24"/>
          <w:u w:val="single"/>
        </w:rPr>
        <w:t xml:space="preserve">Objetivos específicos</w:t>
      </w:r>
    </w:p>
    <w:p>
      <w:pPr>
        <w:spacing w:after="120" w:before="0" w:line="360" w:lineRule="auto"/>
        <w:ind w:firstLine="709"/>
        <w:jc w:val="both"/>
      </w:pPr>
      <w:r>
        <w:rPr>
          <w:rFonts w:ascii="Times New Roman" w:cs="Times New Roman" w:eastAsia="Times New Roman" w:hAnsi="Times New Roman"/>
          <w:sz w:val="24"/>
          <w:szCs w:val="24"/>
        </w:rPr>
        <w:t xml:space="preserve">1. Diseñar e implementar un módulo de análisis estático con siete reglas basadas en Árboles de Sintaxis Abstracta que identifiquen indicadores de riesgo de las categorías API1, API2, API3, API4 y API8 del OWASP API Security Top 10 (2023).</w:t>
      </w:r>
    </w:p>
    <w:p>
      <w:pPr>
        <w:spacing w:after="120" w:before="0" w:line="360" w:lineRule="auto"/>
        <w:ind w:firstLine="709"/>
        <w:jc w:val="both"/>
      </w:pPr>
      <w:r>
        <w:rPr>
          <w:rFonts w:ascii="Times New Roman" w:cs="Times New Roman" w:eastAsia="Times New Roman" w:hAnsi="Times New Roman"/>
          <w:sz w:val="24"/>
          <w:szCs w:val="24"/>
        </w:rPr>
        <w:t xml:space="preserve">2. Implementar un módulo de análisis dinámico con cinco sondas HTTP que detecten indicadores de las categorías API1, API2, API3, API4 y API5 mediante peticiones a una instancia en ejecución del proyecto auditado.</w:t>
      </w:r>
    </w:p>
    <w:p>
      <w:pPr>
        <w:spacing w:after="120" w:before="0" w:line="360" w:lineRule="auto"/>
        <w:ind w:firstLine="709"/>
        <w:jc w:val="both"/>
      </w:pPr>
      <w:r>
        <w:rPr>
          <w:rFonts w:ascii="Times New Roman" w:cs="Times New Roman" w:eastAsia="Times New Roman" w:hAnsi="Times New Roman"/>
          <w:sz w:val="24"/>
          <w:szCs w:val="24"/>
        </w:rPr>
        <w:t xml:space="preserve">3. Construir una base de conocimiento local indexada en ChromaDB con documentación especializada y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que genere recomendaciones citando los fragmentos recuperados de documentación OWASP y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p>
    <w:p>
      <w:pPr>
        <w:spacing w:after="120" w:before="0" w:line="360" w:lineRule="auto"/>
        <w:ind w:firstLine="709"/>
        <w:jc w:val="both"/>
      </w:pPr>
      <w:r>
        <w:rPr>
          <w:rFonts w:ascii="Times New Roman" w:cs="Times New Roman" w:eastAsia="Times New Roman" w:hAnsi="Times New Roman"/>
          <w:sz w:val="24"/>
          <w:szCs w:val="24"/>
        </w:rPr>
        <w:t xml:space="preserve">4. Evaluar la herramienta con métricas de precisión,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y F1 en un entorno controlado con veintiséis instancias de vulnerabilidades plantadas y en tres proyectos externos de código abierto.</w:t>
      </w:r>
    </w:p>
    <w:p>
      <w:pPr>
        <w:spacing w:after="120" w:before="0" w:line="360" w:lineRule="auto"/>
        <w:ind w:firstLine="709"/>
        <w:jc w:val="both"/>
      </w:pPr>
      <w:r>
        <w:rPr>
          <w:rFonts w:ascii="Times New Roman" w:cs="Times New Roman" w:eastAsia="Times New Roman" w:hAnsi="Times New Roman"/>
          <w:sz w:val="24"/>
          <w:szCs w:val="24"/>
        </w:rPr>
        <w:t xml:space="preserve">5. Cuantificar la mejora en calidad de recomendaciones aportada por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mediante un estudio de ablación con rúbrica de cinco criterios.</w:t>
      </w:r>
    </w:p>
    <w:p>
      <w:pPr>
        <w:spacing w:after="200" w:before="240" w:line="360"/>
        <w:jc w:val="left"/>
      </w:pPr>
      <w:r>
        <w:rPr>
          <w:rFonts w:ascii="Times New Roman" w:cs="Times New Roman" w:eastAsia="Times New Roman" w:hAnsi="Times New Roman"/>
          <w:b/>
          <w:bCs/>
          <w:sz w:val="24"/>
          <w:szCs w:val="24"/>
        </w:rPr>
        <w:t xml:space="preserve">2.3 JUSTIFICACIÓN</w:t>
      </w:r>
    </w:p>
    <w:p>
      <w:pPr>
        <w:spacing w:after="120" w:before="0" w:line="360" w:lineRule="auto"/>
        <w:ind w:firstLine="709"/>
        <w:jc w:val="both"/>
      </w:pPr>
      <w:r>
        <w:rPr>
          <w:rFonts w:ascii="Times New Roman" w:cs="Times New Roman" w:eastAsia="Times New Roman" w:hAnsi="Times New Roman"/>
          <w:sz w:val="24"/>
          <w:szCs w:val="24"/>
        </w:rPr>
        <w:t xml:space="preserve">El presente trabajo es pertinente porque resuelve un problema concreto y medible: ninguna herramienta de seguridad de propósito general detecta los patrones de riesgo más frecuentes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rFonts w:ascii="Times New Roman" w:cs="Times New Roman" w:eastAsia="Times New Roman" w:hAnsi="Times New Roman"/>
          <w:i/>
          <w:iCs/>
          <w:sz w:val="24"/>
          <w:szCs w:val="24"/>
        </w:rPr>
        <w:t xml:space="preserve">pipelines</w:t>
      </w:r>
      <w:r>
        <w:rPr>
          <w:rFonts w:ascii="Times New Roman" w:cs="Times New Roman" w:eastAsia="Times New Roman" w:hAnsi="Times New Roman"/>
          <w:sz w:val="24"/>
          <w:szCs w:val="24"/>
        </w:rPr>
        <w:t xml:space="preserve"> de integración continua.</w:t>
      </w:r>
    </w:p>
    <w:p>
      <w:pPr>
        <w:spacing w:after="120" w:before="0" w:line="360" w:lineRule="auto"/>
        <w:ind w:firstLine="709"/>
        <w:jc w:val="both"/>
      </w:pPr>
      <w:r>
        <w:rPr>
          <w:rFonts w:ascii="Times New Roman" w:cs="Times New Roman" w:eastAsia="Times New Roman" w:hAnsi="Times New Roman"/>
          <w:sz w:val="24"/>
          <w:szCs w:val="24"/>
        </w:rPr>
        <w:t xml:space="preserve">Los beneficiarios directos son los desarrolladores Python que utilizan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local con análisis híbrido de código constituye un caso de estudio reproducible en el campo de la ingeniería de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Pearce et al. (2023) señalaron la importancia de trabajos reproducibles con evaluación cuantitativa en este campo.</w:t>
      </w:r>
      <w:r>
        <w:rPr>
          <w:rStyle w:val="FootnoteReference"/>
        </w:rPr>
        <w:footnoteReference w:id="70"/>
      </w:r>
    </w:p>
    <w:p>
      <w:pPr>
        <w:spacing w:after="120" w:before="0" w:line="360" w:lineRule="auto"/>
        <w:ind w:firstLine="709"/>
        <w:jc w:val="both"/>
      </w:pPr>
      <w:r>
        <w:rPr>
          <w:rFonts w:ascii="Times New Roman" w:cs="Times New Roman" w:eastAsia="Times New Roman" w:hAnsi="Times New Roman"/>
          <w:sz w:val="24"/>
          <w:szCs w:val="24"/>
        </w:rPr>
        <w:t xml:space="preserve">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pPr>
        <w:spacing w:after="120" w:before="0" w:line="360" w:lineRule="auto"/>
        <w:ind w:firstLine="709"/>
        <w:jc w:val="both"/>
      </w:pPr>
      <w:r>
        <w:rPr>
          <w:rFonts w:ascii="Times New Roman" w:cs="Times New Roman" w:eastAsia="Times New Roman" w:hAnsi="Times New Roman"/>
          <w:sz w:val="24"/>
          <w:szCs w:val="24"/>
        </w:rPr>
        <w:t xml:space="preserve">La justificación técnica de la elección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como objetivo de la herramienta, en lugar de otros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REST de Python como FastAPI o Flask-RESTful, se fundamenta en tres factores: (1) es el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REST de Python con mayor adopción en producción, según datos de descargas de PyPI y estadísticas de GitHub; (2) su arquitectura basada en componentes configurables —</w:t>
      </w:r>
      <w:r>
        <w:rPr>
          <w:rFonts w:ascii="Times New Roman" w:cs="Times New Roman" w:eastAsia="Times New Roman" w:hAnsi="Times New Roman"/>
          <w:i/>
          <w:iCs/>
          <w:sz w:val="24"/>
          <w:szCs w:val="24"/>
        </w:rPr>
        <w:t xml:space="preserve">serializers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permissions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throttling</w:t>
      </w:r>
      <w:r>
        <w:rPr>
          <w:rFonts w:ascii="Times New Roman" w:cs="Times New Roman" w:eastAsia="Times New Roman" w:hAnsi="Times New Roman"/>
          <w:sz w:val="24"/>
          <w:szCs w:val="24"/>
        </w:rPr>
        <w:t xml:space="preserve">— genera patrones de vulnerabilidad estructuralmente diferentes a los de otros frameworks y no cubiertos por las reglas de Bandit ni Semgrep; y (3) su documentación oficial y las guías de seguridad disponibles proporcionan la base de conocimiento necesaria para construir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con fuentes verificables y citables, lo que es indispensable para la trazabilidad de las recomendaciones generadas.</w:t>
      </w:r>
      <w:r>
        <w:rPr>
          <w:rStyle w:val="FootnoteReference"/>
        </w:rPr>
        <w:footnoteReference w:id="71"/>
      </w:r>
    </w:p>
    <w:p>
      <w:pPr>
        <w:spacing w:after="200" w:before="240" w:line="360"/>
        <w:jc w:val="left"/>
      </w:pPr>
      <w:r>
        <w:rPr>
          <w:rFonts w:ascii="Times New Roman" w:cs="Times New Roman" w:eastAsia="Times New Roman" w:hAnsi="Times New Roman"/>
          <w:b/>
          <w:bCs/>
          <w:sz w:val="24"/>
          <w:szCs w:val="24"/>
        </w:rPr>
        <w:t xml:space="preserve">2.4 HIPÓTESIS</w:t>
      </w:r>
    </w:p>
    <w:p>
      <w:pPr>
        <w:spacing w:after="0" w:before="200" w:line="360" w:lineRule="auto"/>
        <w:ind w:firstLine="0"/>
        <w:jc w:val="left"/>
      </w:pPr>
      <w:r>
        <w:rPr>
          <w:rFonts w:ascii="Times New Roman" w:cs="Times New Roman" w:eastAsia="Times New Roman" w:hAnsi="Times New Roman"/>
          <w:sz w:val="24"/>
          <w:szCs w:val="24"/>
        </w:rPr>
        <w:t xml:space="preserve">2.4.1 </w:t>
      </w:r>
      <w:r>
        <w:rPr>
          <w:rFonts w:ascii="Times New Roman" w:cs="Times New Roman" w:eastAsia="Times New Roman" w:hAnsi="Times New Roman"/>
          <w:sz w:val="24"/>
          <w:szCs w:val="24"/>
          <w:u w:val="single"/>
        </w:rPr>
        <w:t xml:space="preserve">Hipótesis de trabajo</w:t>
      </w:r>
    </w:p>
    <w:p>
      <w:pPr>
        <w:spacing w:after="120" w:before="0" w:line="360" w:lineRule="auto"/>
        <w:ind w:firstLine="709"/>
        <w:jc w:val="both"/>
      </w:pPr>
      <w:r>
        <w:rPr>
          <w:rFonts w:ascii="Times New Roman" w:cs="Times New Roman" w:eastAsia="Times New Roman" w:hAnsi="Times New Roman"/>
          <w:sz w:val="24"/>
          <w:szCs w:val="24"/>
        </w:rPr>
        <w:t xml:space="preserve">La combinación de análisis estático basado en Árboles de Sintaxis Abstracta y análisis dinámico mediante sondas HTTP, enriquecida con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local, permite detectar seis categorías del OWASP API Security Top 10 (2023)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 precisión igual a uno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igual a uno en entorno controlado, y genera recomendaciones de remediación con menor tasa de alucinaciones y mayor calidad promedio que la generación sin recuperación.</w:t>
      </w:r>
    </w:p>
    <w:p>
      <w:pPr>
        <w:spacing w:after="0" w:before="200" w:line="360" w:lineRule="auto"/>
        <w:ind w:firstLine="0"/>
        <w:jc w:val="left"/>
      </w:pPr>
      <w:r>
        <w:rPr>
          <w:rFonts w:ascii="Times New Roman" w:cs="Times New Roman" w:eastAsia="Times New Roman" w:hAnsi="Times New Roman"/>
          <w:sz w:val="24"/>
          <w:szCs w:val="24"/>
        </w:rPr>
        <w:t xml:space="preserve">2.4.2 </w:t>
      </w:r>
      <w:r>
        <w:rPr>
          <w:rFonts w:ascii="Times New Roman" w:cs="Times New Roman" w:eastAsia="Times New Roman" w:hAnsi="Times New Roman"/>
          <w:sz w:val="24"/>
          <w:szCs w:val="24"/>
          <w:u w:val="single"/>
        </w:rPr>
        <w:t xml:space="preserve">Hipótesis nula</w:t>
      </w:r>
    </w:p>
    <w:p>
      <w:pPr>
        <w:spacing w:after="120" w:before="0" w:line="360" w:lineRule="auto"/>
        <w:ind w:firstLine="709"/>
        <w:jc w:val="both"/>
      </w:pPr>
      <w:r>
        <w:rPr>
          <w:rFonts w:ascii="Times New Roman" w:cs="Times New Roman" w:eastAsia="Times New Roman" w:hAnsi="Times New Roman"/>
          <w:sz w:val="24"/>
          <w:szCs w:val="24"/>
        </w:rPr>
        <w:t xml:space="preserve">No existe diferencia estadísticamente significativa entre la calidad de las recomendaciones de remediación generadas con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y las generadas directamente por el modelo de lenguaje sin recuperación de contexto, ni la herramienta detecta más categorías del OWASP API Security Top 10 que las herramientas Bandit y Semgrep.</w:t>
      </w:r>
    </w:p>
    <w:p>
      <w:pPr>
        <w:spacing w:after="0" w:before="200" w:line="360" w:lineRule="auto"/>
        <w:ind w:firstLine="0"/>
        <w:jc w:val="left"/>
      </w:pPr>
      <w:r>
        <w:rPr>
          <w:rFonts w:ascii="Times New Roman" w:cs="Times New Roman" w:eastAsia="Times New Roman" w:hAnsi="Times New Roman"/>
          <w:sz w:val="24"/>
          <w:szCs w:val="24"/>
        </w:rPr>
        <w:t xml:space="preserve">2.4.3 </w:t>
      </w:r>
      <w:r>
        <w:rPr>
          <w:rFonts w:ascii="Times New Roman" w:cs="Times New Roman" w:eastAsia="Times New Roman" w:hAnsi="Times New Roman"/>
          <w:sz w:val="24"/>
          <w:szCs w:val="24"/>
          <w:u w:val="single"/>
        </w:rPr>
        <w:t xml:space="preserve">Hipótesis alterna</w:t>
      </w:r>
    </w:p>
    <w:p>
      <w:pPr>
        <w:spacing w:after="120" w:before="0" w:line="360" w:lineRule="auto"/>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produce recomendaciones con mayor corrección técnica, mayor especificidad 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mayor trazabilidad de fuentes que la generación sin recuperación, y el análisis híbrido detecta al menos seis categorías del OWASP API Security Top 10 que Bandit y Semgrep no detectan.</w:t>
      </w:r>
    </w:p>
    <w:p>
      <w:pPr>
        <w:spacing w:after="200" w:before="240" w:line="360"/>
        <w:jc w:val="left"/>
      </w:pPr>
      <w:r>
        <w:rPr>
          <w:rFonts w:ascii="Times New Roman" w:cs="Times New Roman" w:eastAsia="Times New Roman" w:hAnsi="Times New Roman"/>
          <w:b/>
          <w:bCs/>
          <w:sz w:val="24"/>
          <w:szCs w:val="24"/>
        </w:rPr>
        <w:t xml:space="preserve">2.5 DEFINICIÓN DE VARIABLES</w:t>
      </w:r>
    </w:p>
    <w:p>
      <w:pPr>
        <w:spacing w:after="0" w:before="200" w:line="360" w:lineRule="auto"/>
        <w:ind w:firstLine="0"/>
        <w:jc w:val="left"/>
      </w:pPr>
      <w:r>
        <w:rPr>
          <w:rFonts w:ascii="Times New Roman" w:cs="Times New Roman" w:eastAsia="Times New Roman" w:hAnsi="Times New Roman"/>
          <w:sz w:val="24"/>
          <w:szCs w:val="24"/>
        </w:rPr>
        <w:t xml:space="preserve">2.5.1 </w:t>
      </w:r>
      <w:r>
        <w:rPr>
          <w:rFonts w:ascii="Times New Roman" w:cs="Times New Roman" w:eastAsia="Times New Roman" w:hAnsi="Times New Roman"/>
          <w:sz w:val="24"/>
          <w:szCs w:val="24"/>
          <w:u w:val="single"/>
        </w:rPr>
        <w:t xml:space="preserve">Definición conceptual</w:t>
      </w:r>
    </w:p>
    <w:p>
      <w:pPr>
        <w:spacing w:after="120" w:before="0" w:line="360" w:lineRule="auto"/>
        <w:ind w:firstLine="709"/>
        <w:jc w:val="both"/>
      </w:pPr>
      <w:r>
        <w:rPr>
          <w:rFonts w:ascii="Times New Roman" w:cs="Times New Roman" w:eastAsia="Times New Roman" w:hAnsi="Times New Roman"/>
          <w:sz w:val="24"/>
          <w:szCs w:val="24"/>
        </w:rPr>
        <w:t xml:space="preserve">La variable independiente es la configuración del sistema de auditoría: análisis estático, análisis dinámico, análisis híbrido o variante con/sin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del detector, calculados sobre el ground truth definido.</w:t>
      </w:r>
    </w:p>
    <w:p>
      <w:pPr>
        <w:spacing w:after="0" w:before="200" w:line="360" w:lineRule="auto"/>
        <w:ind w:firstLine="0"/>
        <w:jc w:val="left"/>
      </w:pPr>
      <w:r>
        <w:rPr>
          <w:rFonts w:ascii="Times New Roman" w:cs="Times New Roman" w:eastAsia="Times New Roman" w:hAnsi="Times New Roman"/>
          <w:sz w:val="24"/>
          <w:szCs w:val="24"/>
        </w:rPr>
        <w:t xml:space="preserve">2.5.2 </w:t>
      </w:r>
      <w:r>
        <w:rPr>
          <w:rFonts w:ascii="Times New Roman" w:cs="Times New Roman" w:eastAsia="Times New Roman" w:hAnsi="Times New Roman"/>
          <w:sz w:val="24"/>
          <w:szCs w:val="24"/>
          <w:u w:val="single"/>
        </w:rPr>
        <w:t xml:space="preserve">Definición operacional</w:t>
      </w:r>
    </w:p>
    <w:p>
      <w:pPr>
        <w:spacing w:after="120" w:before="0" w:line="360" w:lineRule="auto"/>
        <w:ind w:firstLine="709"/>
        <w:jc w:val="both"/>
      </w:pPr>
      <w:r>
        <w:rPr>
          <w:rFonts w:ascii="Times New Roman" w:cs="Times New Roman" w:eastAsia="Times New Roman" w:hAnsi="Times New Roman"/>
          <w:sz w:val="24"/>
          <w:szCs w:val="24"/>
        </w:rPr>
        <w:t xml:space="preserve">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de veintiséis instancias plantadas y sobre los hallazgos en tres proyectos externos.</w:t>
      </w:r>
    </w:p>
    <w:p>
      <w:pPr>
        <w:spacing w:after="200" w:before="240" w:line="360"/>
        <w:jc w:val="left"/>
      </w:pPr>
      <w:r>
        <w:rPr>
          <w:rFonts w:ascii="Times New Roman" w:cs="Times New Roman" w:eastAsia="Times New Roman" w:hAnsi="Times New Roman"/>
          <w:b/>
          <w:bCs/>
          <w:sz w:val="24"/>
          <w:szCs w:val="24"/>
        </w:rPr>
        <w:t xml:space="preserve">2.6 ALCANCE Y LIMITACIONES DEL TRABAJO</w:t>
      </w:r>
    </w:p>
    <w:p>
      <w:pPr>
        <w:spacing w:after="0" w:before="200" w:line="360" w:lineRule="auto"/>
        <w:ind w:firstLine="0"/>
        <w:jc w:val="left"/>
      </w:pPr>
      <w:r>
        <w:rPr>
          <w:rFonts w:ascii="Times New Roman" w:cs="Times New Roman" w:eastAsia="Times New Roman" w:hAnsi="Times New Roman"/>
          <w:sz w:val="24"/>
          <w:szCs w:val="24"/>
        </w:rPr>
        <w:t xml:space="preserve">2.6.1 </w:t>
      </w:r>
      <w:r>
        <w:rPr>
          <w:rFonts w:ascii="Times New Roman" w:cs="Times New Roman" w:eastAsia="Times New Roman" w:hAnsi="Times New Roman"/>
          <w:sz w:val="24"/>
          <w:szCs w:val="24"/>
          <w:u w:val="single"/>
        </w:rPr>
        <w:t xml:space="preserve">Alcance</w:t>
      </w:r>
    </w:p>
    <w:p>
      <w:pPr>
        <w:spacing w:after="120" w:before="0" w:line="360" w:lineRule="auto"/>
        <w:ind w:firstLine="709"/>
        <w:jc w:val="both"/>
      </w:pPr>
      <w:r>
        <w:rPr>
          <w:rFonts w:ascii="Times New Roman" w:cs="Times New Roman" w:eastAsia="Times New Roman" w:hAnsi="Times New Roman"/>
          <w:sz w:val="24"/>
          <w:szCs w:val="24"/>
        </w:rPr>
        <w:t xml:space="preserve">El análisis se limita 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opera sin conexión a internet. La evaluación incluye un entorno controlado y tres proyectos externos de código abierto disponibles públicamente.</w:t>
      </w:r>
    </w:p>
    <w:p>
      <w:pPr>
        <w:spacing w:after="0" w:before="200" w:line="360" w:lineRule="auto"/>
        <w:ind w:firstLine="0"/>
        <w:jc w:val="left"/>
      </w:pPr>
      <w:r>
        <w:rPr>
          <w:rFonts w:ascii="Times New Roman" w:cs="Times New Roman" w:eastAsia="Times New Roman" w:hAnsi="Times New Roman"/>
          <w:sz w:val="24"/>
          <w:szCs w:val="24"/>
        </w:rPr>
        <w:t xml:space="preserve">2.6.2 </w:t>
      </w:r>
      <w:r>
        <w:rPr>
          <w:rFonts w:ascii="Times New Roman" w:cs="Times New Roman" w:eastAsia="Times New Roman" w:hAnsi="Times New Roman"/>
          <w:sz w:val="24"/>
          <w:szCs w:val="24"/>
          <w:u w:val="single"/>
        </w:rPr>
        <w:t xml:space="preserve">Limitaciones</w:t>
      </w:r>
    </w:p>
    <w:p>
      <w:pPr>
        <w:spacing w:after="120" w:before="0" w:line="360" w:lineRule="auto"/>
        <w:ind w:firstLine="709"/>
        <w:jc w:val="both"/>
      </w:pPr>
      <w:r>
        <w:rPr>
          <w:rFonts w:ascii="Times New Roman" w:cs="Times New Roman" w:eastAsia="Times New Roman" w:hAnsi="Times New Roman"/>
          <w:sz w:val="24"/>
          <w:szCs w:val="24"/>
        </w:rPr>
        <w:t xml:space="preserve">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pPr>
        <w:spacing w:after="120" w:before="0" w:line="360" w:lineRule="auto"/>
        <w:ind w:firstLine="709"/>
        <w:jc w:val="both"/>
      </w:pPr>
      <w:r>
        <w:rPr>
          <w:rFonts w:ascii="Times New Roman" w:cs="Times New Roman" w:eastAsia="Times New Roman" w:hAnsi="Times New Roman"/>
          <w:sz w:val="24"/>
          <w:szCs w:val="24"/>
        </w:rPr>
        <w:t xml:space="preserve">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uso industrial con arquitecturas complejas de 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FootnoteReference"/>
        </w:rPr>
        <w:footnoteReference w:id="72"/>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3. MÉTODO</w:t>
      </w:r>
    </w:p>
    <w:p>
      <w:pPr>
        <w:spacing w:after="200" w:before="240" w:line="360"/>
        <w:jc w:val="left"/>
      </w:pPr>
      <w:r>
        <w:rPr>
          <w:rFonts w:ascii="Times New Roman" w:cs="Times New Roman" w:eastAsia="Times New Roman" w:hAnsi="Times New Roman"/>
          <w:b/>
          <w:bCs/>
          <w:sz w:val="24"/>
          <w:szCs w:val="24"/>
        </w:rPr>
        <w:t xml:space="preserve">3.1 SUJETO DE ESTUDIO</w:t>
      </w:r>
    </w:p>
    <w:p>
      <w:pPr>
        <w:spacing w:after="120" w:before="0" w:line="360" w:lineRule="auto"/>
        <w:ind w:firstLine="709"/>
        <w:jc w:val="both"/>
      </w:pPr>
      <w:r>
        <w:rPr>
          <w:rFonts w:ascii="Times New Roman" w:cs="Times New Roman" w:eastAsia="Times New Roman" w:hAnsi="Times New Roman"/>
          <w:sz w:val="24"/>
          <w:szCs w:val="24"/>
        </w:rPr>
        <w:t xml:space="preserve">El sujeto de estudio es el código fuente de proyectos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desarrollados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código abierto disponibles públicamente en GitHub.</w:t>
      </w:r>
    </w:p>
    <w:p>
      <w:pPr>
        <w:spacing w:after="200" w:before="240" w:line="360"/>
        <w:jc w:val="left"/>
      </w:pPr>
      <w:r>
        <w:rPr>
          <w:rFonts w:ascii="Times New Roman" w:cs="Times New Roman" w:eastAsia="Times New Roman" w:hAnsi="Times New Roman"/>
          <w:b/>
          <w:bCs/>
          <w:sz w:val="24"/>
          <w:szCs w:val="24"/>
        </w:rPr>
        <w:t xml:space="preserve">3.2 POBLACIÓN Y MUESTRA</w:t>
      </w:r>
    </w:p>
    <w:p>
      <w:pPr>
        <w:spacing w:after="120" w:before="0" w:line="360" w:lineRule="auto"/>
        <w:ind w:firstLine="709"/>
        <w:jc w:val="both"/>
      </w:pPr>
      <w:r>
        <w:rPr>
          <w:rFonts w:ascii="Times New Roman" w:cs="Times New Roman" w:eastAsia="Times New Roman" w:hAnsi="Times New Roman"/>
          <w:sz w:val="24"/>
          <w:szCs w:val="24"/>
        </w:rPr>
        <w:t xml:space="preserve">La población la constituyen todos los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pPr>
        <w:spacing w:after="0" w:before="200" w:line="360"/>
        <w:jc w:val="center"/>
      </w:pPr>
      <w:r>
        <w:rPr>
          <w:rFonts w:ascii="Times New Roman" w:cs="Times New Roman" w:eastAsia="Times New Roman" w:hAnsi="Times New Roman"/>
          <w:b/>
          <w:bCs/>
          <w:sz w:val="24"/>
          <w:szCs w:val="24"/>
        </w:rPr>
        <w:t xml:space="preserve">Cuadro No. 1</w:t>
      </w:r>
    </w:p>
    <w:p>
      <w:pPr>
        <w:spacing w:after="100" w:before="0" w:line="360"/>
        <w:jc w:val="center"/>
      </w:pPr>
      <w:r>
        <w:rPr>
          <w:rFonts w:ascii="Times New Roman" w:cs="Times New Roman" w:eastAsia="Times New Roman" w:hAnsi="Times New Roman"/>
          <w:b/>
          <w:bCs/>
          <w:sz w:val="24"/>
          <w:szCs w:val="24"/>
        </w:rPr>
        <w:t xml:space="preserve">MUESTRA DE PROYECTOS EVALUADOS</w:t>
      </w:r>
    </w:p>
    <w:tbl>
      <w:tblPr>
        <w:tblW w:type="dxa" w:w="8839"/>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100"/>
        <w:gridCol w:w="3039"/>
      </w:tblGrid>
      <w:tr>
        <w:trPr>
          <w:tblHeader/>
        </w:trPr>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Proyecto</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Tipo</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Fuente</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Propósito</w:t>
            </w:r>
          </w:p>
        </w:tc>
      </w:tr>
      <w:tr>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vulnerable_api/</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Controlado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Propia</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Ground truth — 26 instancias plantadas</w:t>
            </w:r>
          </w:p>
        </w:tc>
      </w:tr>
      <w:tr>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encode/rest-framework-tutorial</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Externo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Público (GitHub)</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Tutorial oficial de DRF (Christie, 2024)</w:t>
            </w:r>
          </w:p>
        </w:tc>
      </w:tr>
      <w:tr>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wsvincent/drfx</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Externo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Público (GitHub)</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Plantilla de inicio de proyectos DRF (Vincent, 2024)</w:t>
            </w:r>
          </w:p>
        </w:tc>
      </w:tr>
      <w:tr>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axnsan12/drf-yasg</w:t>
            </w:r>
          </w:p>
        </w:tc>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Externo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Público (GitHub)</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App de prueba del generador OpenAPI (Cristea, 2024)</w:t>
            </w:r>
          </w:p>
        </w:tc>
      </w:tr>
    </w:tbl>
    <w:p>
      <w:pPr>
        <w:spacing w:after="120" w:before="80" w:line="360"/>
        <w:jc w:val="left"/>
      </w:pPr>
      <w:r>
        <w:rPr>
          <w:rFonts w:ascii="Times New Roman" w:cs="Times New Roman" w:eastAsia="Times New Roman" w:hAnsi="Times New Roman"/>
          <w:sz w:val="24"/>
          <w:szCs w:val="24"/>
        </w:rPr>
        <w:t xml:space="preserve">Fuente: Propia.</w:t>
      </w:r>
    </w:p>
    <w:p>
      <w:pPr>
        <w:spacing w:after="200" w:before="240" w:line="360"/>
        <w:jc w:val="left"/>
      </w:pPr>
      <w:r>
        <w:rPr>
          <w:rFonts w:ascii="Times New Roman" w:cs="Times New Roman" w:eastAsia="Times New Roman" w:hAnsi="Times New Roman"/>
          <w:b/>
          <w:bCs/>
          <w:sz w:val="24"/>
          <w:szCs w:val="24"/>
        </w:rPr>
        <w:t xml:space="preserve">3.3 INSTRUMENTOS</w:t>
      </w:r>
    </w:p>
    <w:p>
      <w:pPr>
        <w:spacing w:after="120" w:before="0" w:line="360" w:lineRule="auto"/>
        <w:ind w:firstLine="709"/>
        <w:jc w:val="both"/>
      </w:pPr>
      <w:r>
        <w:rPr>
          <w:rFonts w:ascii="Times New Roman" w:cs="Times New Roman" w:eastAsia="Times New Roman" w:hAnsi="Times New Roman"/>
          <w:sz w:val="24"/>
          <w:szCs w:val="24"/>
        </w:rPr>
        <w:t xml:space="preserve">Los instrumentos de la investigación son los que se detallan en el Cuadro No. 2. Cada instrumento fue seleccionado con base en los requerimientos de las fases del procedimiento y en el criterio de ejecución completamente local.</w:t>
      </w:r>
      <w:r>
        <w:rPr>
          <w:rStyle w:val="FootnoteReference"/>
        </w:rPr>
        <w:footnoteReference w:id="73"/>
      </w:r>
      <w:r>
        <w:rPr>
          <w:rStyle w:val="FootnoteReference"/>
        </w:rPr>
        <w:footnoteReference w:id="74"/>
      </w:r>
    </w:p>
    <w:p>
      <w:pPr>
        <w:spacing w:after="0" w:before="200" w:line="360"/>
        <w:jc w:val="center"/>
      </w:pPr>
      <w:r>
        <w:rPr>
          <w:rFonts w:ascii="Times New Roman" w:cs="Times New Roman" w:eastAsia="Times New Roman" w:hAnsi="Times New Roman"/>
          <w:b/>
          <w:bCs/>
          <w:sz w:val="24"/>
          <w:szCs w:val="24"/>
        </w:rPr>
        <w:t xml:space="preserve">Cuadro No. 2</w:t>
      </w:r>
    </w:p>
    <w:p>
      <w:pPr>
        <w:spacing w:after="100" w:before="0" w:line="360"/>
        <w:jc w:val="center"/>
      </w:pPr>
      <w:r>
        <w:rPr>
          <w:rFonts w:ascii="Times New Roman" w:cs="Times New Roman" w:eastAsia="Times New Roman" w:hAnsi="Times New Roman"/>
          <w:b/>
          <w:bCs/>
          <w:sz w:val="24"/>
          <w:szCs w:val="24"/>
        </w:rPr>
        <w:t xml:space="preserve">INSTRUMENTOS DE INVESTIGACIÓN</w:t>
      </w:r>
    </w:p>
    <w:tbl>
      <w:tblPr>
        <w:tblW w:type="dxa" w:w="8839"/>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700"/>
        <w:gridCol w:w="3539"/>
      </w:tblGrid>
      <w:tr>
        <w:trPr>
          <w:tblHeader/>
        </w:trP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N°</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Instrumento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Tecnología</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Función</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1</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Módulo de análisis estático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Python 3.12, módulo ast</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7 reglas AST; detecta indicadores de riesgo OWASP API1–API5, API8</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2</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Módulo de análisis dinámico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Python, requests</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5 sondas HTTP; detecta indicadores en tiempo de ejecución</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3</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Pipeline RAG</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ChromaDB 0.6.x, all-MiniLM-L6-v2, Mistral 7B Q4_K_M, Ollama 0.6.x</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Base de conocimiento local; genera recomendaciones citadas</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4</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Generador de reportes</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ReportLab, Jinja2</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Produce informes PDF y HTML con hallazgos y recomendaciones</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5</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Suite de pruebas</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pytest</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113 casos de prueba automatizados (30 estático + 22 dinámico + 31 RAG + 30 reporte)</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6</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Herramientas comparativas</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Bandit 1.9.x, Semgrep 1.x (p/django)</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Línea base de comparación de cobertura OWASP</w:t>
            </w:r>
          </w:p>
        </w:tc>
      </w:tr>
      <w:tr>
        <w:tc>
          <w:tcPr>
            <w:tcW w:type="auto" w:w="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0"/>
                <w:szCs w:val="20"/>
              </w:rPr>
              <w:t xml:space="preserve">7</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Hardware</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Apple M3, 16 GB RAM, sin GPU dedicada</w:t>
            </w:r>
          </w:p>
        </w:tc>
        <w:tc>
          <w:tcPr>
            <w:tcW w:type="auto" w:w="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Plataforma de ejecución; valida viabilidad sin aceleradores</w:t>
            </w:r>
          </w:p>
        </w:tc>
      </w:tr>
    </w:tbl>
    <w:p>
      <w:pPr>
        <w:spacing w:after="120" w:before="80" w:line="360"/>
        <w:jc w:val="left"/>
      </w:pPr>
      <w:r>
        <w:rPr>
          <w:rFonts w:ascii="Times New Roman" w:cs="Times New Roman" w:eastAsia="Times New Roman" w:hAnsi="Times New Roman"/>
          <w:sz w:val="24"/>
          <w:szCs w:val="24"/>
        </w:rPr>
        <w:t xml:space="preserve">Fuente: Propia.</w:t>
      </w:r>
    </w:p>
    <w:p>
      <w:pPr>
        <w:spacing w:after="200" w:before="240" w:line="360"/>
        <w:jc w:val="left"/>
      </w:pPr>
      <w:r>
        <w:rPr>
          <w:rFonts w:ascii="Times New Roman" w:cs="Times New Roman" w:eastAsia="Times New Roman" w:hAnsi="Times New Roman"/>
          <w:b/>
          <w:bCs/>
          <w:sz w:val="24"/>
          <w:szCs w:val="24"/>
        </w:rPr>
        <w:t xml:space="preserve">3.4 PROCEDIMIENTO</w:t>
      </w:r>
    </w:p>
    <w:p>
      <w:pPr>
        <w:spacing w:after="120" w:before="0" w:line="360" w:lineRule="auto"/>
        <w:ind w:firstLine="709"/>
        <w:jc w:val="both"/>
      </w:pPr>
      <w:r>
        <w:rPr>
          <w:rFonts w:ascii="Times New Roman" w:cs="Times New Roman" w:eastAsia="Times New Roman" w:hAnsi="Times New Roman"/>
          <w:sz w:val="24"/>
          <w:szCs w:val="24"/>
        </w:rPr>
        <w:t xml:space="preserve">El procedimiento de investigación se estructura en once etapas secuenciales: (1) diseño de la arquitectura de cinco módulos (analizador estático, analizador dinámico, recuperador RAG, generador LLM, constructor de reportes); (2) construcción de la interfaz de programación de aplicaciones de prueba con veintiséis instancias de vulnerabilidades plantadas en seis categorías OWASP; (3) implementación del módulo de análisis estático con siete reglas y treinta pruebas unitarias; (4) implementación del módulo de análisis dinámico con cinco sondas y veintidós pruebas unitarias; (5) construcción de la base de conocimiento mediante segmentación de tres documentos en fragmentos de ochocientos caracteres con solapamiento de cien, vectorización con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y almacenamiento en ChromaDB; (6) integración del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con Mistral 7B vía Ollama con temperatura 0.2 y máximo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(7) implementación del generador de reportes con treinta y un pruebas unitarias; (8) evaluación en entorno controlado con cálculo de TP, FP, FN, P, R y F1; (9) evaluación en tres proyectos externos con clasificación manual de hallazgos; (10) estudio de ablación RAG con puntuación de cinco recomendaciones mediante la rúbrica de cinco criterios; y (11) ejecución de Bandit y Semgrep sobre la interfaz de programación de aplicaciones de prueba para comparación de cobertura.</w:t>
      </w:r>
    </w:p>
    <w:p>
      <w:pPr>
        <w:spacing w:after="120" w:before="0" w:line="360" w:lineRule="auto"/>
        <w:ind w:firstLine="709"/>
        <w:jc w:val="both"/>
      </w:pPr>
      <w:r>
        <w:rPr>
          <w:rFonts w:ascii="Times New Roman" w:cs="Times New Roman" w:eastAsia="Times New Roman" w:hAnsi="Times New Roman"/>
          <w:sz w:val="24"/>
          <w:szCs w:val="24"/>
        </w:rPr>
        <w:t xml:space="preserve">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escritos en Python 3.11 o superior; la generalización a otras versiones o a otros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REST de Python (FastAPI, Flask-RESTful) requeriría una evaluación separada.</w:t>
      </w:r>
    </w:p>
    <w:p>
      <w:pPr>
        <w:spacing w:after="120" w:before="0" w:line="360" w:lineRule="auto"/>
        <w:ind w:firstLine="709"/>
        <w:jc w:val="both"/>
      </w:pPr>
      <w:r>
        <w:rPr>
          <w:rFonts w:ascii="Times New Roman" w:cs="Times New Roman" w:eastAsia="Times New Roman" w:hAnsi="Times New Roman"/>
          <w:sz w:val="24"/>
          <w:szCs w:val="24"/>
        </w:rPr>
        <w:t xml:space="preserve">La confiabilidad del procedimiento se asegura mediante la automatización completa de los pasos de evaluación: los scripts de prueba son reproducibles ejecutando </w:t>
      </w:r>
      <w:r>
        <w:rPr>
          <w:rFonts w:ascii="Times New Roman" w:cs="Times New Roman" w:eastAsia="Times New Roman" w:hAnsi="Times New Roman"/>
          <w:i/>
          <w:iCs/>
          <w:sz w:val="24"/>
          <w:szCs w:val="24"/>
        </w:rPr>
        <w:t xml:space="preserve">pytest</w:t>
      </w:r>
      <w:r>
        <w:rPr>
          <w:rFonts w:ascii="Times New Roman" w:cs="Times New Roman" w:eastAsia="Times New Roman" w:hAnsi="Times New Roman"/>
          <w:sz w:val="24"/>
          <w:szCs w:val="24"/>
        </w:rPr>
        <w:t xml:space="preserve"> en el directorio raíz del proyecto, y los resultados numéricos de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se calculan automáticamente a partir del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definido en formato JSON. El estudio de ablación es reproducible iniciando Ollama con el modelo Mistral 7B y ejecutando el script de evaluación correspondiente, que guarda los resultados en los archivos </w:t>
      </w:r>
      <w:r>
        <w:rPr>
          <w:rFonts w:ascii="Times New Roman" w:cs="Times New Roman" w:eastAsia="Times New Roman" w:hAnsi="Times New Roman"/>
          <w:i/>
          <w:iCs/>
          <w:sz w:val="24"/>
          <w:szCs w:val="24"/>
        </w:rPr>
        <w:t xml:space="preserve">ablation_with_rag.json</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ablation_no_rag.json</w:t>
      </w:r>
      <w:r>
        <w:rPr>
          <w:rFonts w:ascii="Times New Roman" w:cs="Times New Roman" w:eastAsia="Times New Roman" w:hAnsi="Times New Roman"/>
          <w:sz w:val="24"/>
          <w:szCs w:val="24"/>
        </w:rPr>
        <w:t xml:space="preserve"> en el directorio </w:t>
      </w:r>
      <w:r>
        <w:rPr>
          <w:rFonts w:ascii="Times New Roman" w:cs="Times New Roman" w:eastAsia="Times New Roman" w:hAnsi="Times New Roman"/>
          <w:i/>
          <w:iCs/>
          <w:sz w:val="24"/>
          <w:szCs w:val="24"/>
        </w:rPr>
        <w:t xml:space="preserve">results/</w:t>
      </w:r>
      <w:r>
        <w:rPr>
          <w:rFonts w:ascii="Times New Roman" w:cs="Times New Roman" w:eastAsia="Times New Roman" w:hAnsi="Times New Roman"/>
          <w:sz w:val="24"/>
          <w:szCs w:val="24"/>
        </w:rPr>
        <w:t xml:space="preserve"> del repositorio.</w:t>
      </w:r>
      <w:r>
        <w:rPr>
          <w:rStyle w:val="FootnoteReference"/>
        </w:rPr>
        <w:footnoteReference w:id="75"/>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4. RESULTADOS ESPERADOS</w:t>
      </w:r>
    </w:p>
    <w:p>
      <w:pPr>
        <w:spacing w:after="120" w:before="0" w:line="360" w:lineRule="auto"/>
        <w:ind w:firstLine="709"/>
        <w:jc w:val="both"/>
      </w:pPr>
      <w:r>
        <w:rPr>
          <w:rFonts w:ascii="Times New Roman" w:cs="Times New Roman" w:eastAsia="Times New Roman" w:hAnsi="Times New Roman"/>
          <w:sz w:val="24"/>
          <w:szCs w:val="24"/>
        </w:rPr>
        <w:t xml:space="preserve">A corto plazo, al concluir el período de investigación definido en el cronograma, se espera obtener: (1) una herramienta de interfaz de línea de comandos funcional que detecte las seis categorías objetivo del OWASP API Security Top 10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 precisión igual a uno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igual a uno en entorno controlado; (2) evidencia empírica de que Bandit y Semgrep detectan cero de las seis categorías objetivo cuando se ejecutan contra la misma interfaz de programación de aplicaciones de prueba; y (3)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local que reduzca las alucinaciones de dos de cinco a cero de cinco y mejore el puntaje promedio de calidad de recomendaciones de 1.80 a 2.80 sobre una escala de 3.0, según la rúbrica de cinco criterios definida.</w:t>
      </w:r>
    </w:p>
    <w:p>
      <w:pPr>
        <w:spacing w:after="120" w:before="0" w:line="360" w:lineRule="auto"/>
        <w:ind w:firstLine="709"/>
        <w:jc w:val="both"/>
      </w:pPr>
      <w:r>
        <w:rPr>
          <w:rFonts w:ascii="Times New Roman" w:cs="Times New Roman" w:eastAsia="Times New Roman" w:hAnsi="Times New Roman"/>
          <w:sz w:val="24"/>
          <w:szCs w:val="24"/>
        </w:rPr>
        <w:t xml:space="preserve">A mediano plazo se espera la publicación del artículo científico correspondiente con los resultados validados, y la disponibilidad del código fuente en un repositorio público como herramienta de código abierto para la comunidad de desarrolladores Python.</w:t>
      </w:r>
    </w:p>
    <w:p>
      <w:pPr>
        <w:spacing w:after="120" w:before="0" w:line="360" w:lineRule="auto"/>
        <w:ind w:firstLine="709"/>
        <w:jc w:val="both"/>
      </w:pPr>
      <w:r>
        <w:rPr>
          <w:rFonts w:ascii="Times New Roman" w:cs="Times New Roman" w:eastAsia="Times New Roman" w:hAnsi="Times New Roman"/>
          <w:sz w:val="24"/>
          <w:szCs w:val="24"/>
        </w:rPr>
        <w:t xml:space="preserve">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cuando existe configuración global— lo que se proyecta elevaría la precisión en proyectos externos de 0.21 a un valor igual o superior a 0.90.</w:t>
      </w:r>
    </w:p>
    <w:p>
      <w:pPr>
        <w:spacing w:after="120" w:before="0" w:line="360" w:lineRule="auto"/>
        <w:ind w:firstLine="709"/>
        <w:jc w:val="both"/>
      </w:pPr>
      <w:r>
        <w:rPr>
          <w:rFonts w:ascii="Times New Roman" w:cs="Times New Roman" w:eastAsia="Times New Roman" w:hAnsi="Times New Roman"/>
          <w:sz w:val="24"/>
          <w:szCs w:val="24"/>
        </w:rPr>
        <w:t xml:space="preserve">El impacto esperado en la formación del estudiante de Ingeniería en Sistemas y Ciencias de la Computación es también un resultado de relevancia. El desarrollo de la herramienta integra competencias en cuatro áreas disciplinares: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(análisis de vulnerabilidades, estándares OWASP), ingeniería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(arquitectura modular, pruebas automatizadas), inteligencia artificial (modelos de lenguaje, sistemas de recuperación de información), y desarrollo en Python (análisis de Árboles de Sintaxis Abstracta,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e inteligencia artificial de la Universidad del Istmo.</w:t>
      </w:r>
    </w:p>
    <w:p>
      <w:pPr>
        <w:spacing w:after="120" w:before="0" w:line="360" w:lineRule="auto"/>
        <w:ind w:firstLine="709"/>
        <w:jc w:val="both"/>
      </w:pPr>
      <w:r>
        <w:rPr>
          <w:rFonts w:ascii="Times New Roman" w:cs="Times New Roman" w:eastAsia="Times New Roman" w:hAnsi="Times New Roman"/>
          <w:sz w:val="24"/>
          <w:szCs w:val="24"/>
        </w:rPr>
        <w:t xml:space="preserve">Un resultado adicional de relevancia es la contribución metodológica al área de evaluación de sistemas RAG aplicados 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pPr>
        <w:spacing w:after="120" w:before="0" w:line="360" w:lineRule="auto"/>
        <w:ind w:firstLine="709"/>
        <w:jc w:val="both"/>
      </w:pPr>
      <w:r>
        <w:rPr>
          <w:rFonts w:ascii="Times New Roman" w:cs="Times New Roman" w:eastAsia="Times New Roman" w:hAnsi="Times New Roman"/>
          <w:sz w:val="24"/>
          <w:szCs w:val="24"/>
        </w:rPr>
        <w:t xml:space="preserve">La disponibilidad del código fuente como herramienta de código abierto tiene un impacto potencial que va más allá del ecosistema académico. Las pequeñas y medianas empresas de desarrollo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5. CRONOGRAMA PRELIMINAR</w:t>
      </w:r>
    </w:p>
    <w:p>
      <w:pPr>
        <w:spacing w:after="120" w:before="0" w:line="360" w:lineRule="auto"/>
        <w:ind w:firstLine="709"/>
        <w:jc w:val="both"/>
      </w:pPr>
      <w:r>
        <w:rPr>
          <w:rFonts w:ascii="Times New Roman" w:cs="Times New Roman" w:eastAsia="Times New Roman" w:hAnsi="Times New Roman"/>
          <w:sz w:val="24"/>
          <w:szCs w:val="24"/>
        </w:rPr>
        <w:t xml:space="preserve">La siguiente tabla presenta el cronograma preliminar de actividades para el período julio-septiembre de 2026, distribuidas en nueve semanas de trabajo.</w:t>
      </w:r>
    </w:p>
    <w:p>
      <w:pPr>
        <w:spacing w:after="0" w:before="200" w:line="360"/>
        <w:jc w:val="center"/>
      </w:pPr>
      <w:r>
        <w:rPr>
          <w:rFonts w:ascii="Times New Roman" w:cs="Times New Roman" w:eastAsia="Times New Roman" w:hAnsi="Times New Roman"/>
          <w:b/>
          <w:bCs/>
          <w:sz w:val="24"/>
          <w:szCs w:val="24"/>
        </w:rPr>
        <w:t xml:space="preserve">Cuadro No. 3</w:t>
      </w:r>
    </w:p>
    <w:p>
      <w:pPr>
        <w:spacing w:after="100" w:before="0" w:line="360"/>
        <w:jc w:val="center"/>
      </w:pPr>
      <w:r>
        <w:rPr>
          <w:rFonts w:ascii="Times New Roman" w:cs="Times New Roman" w:eastAsia="Times New Roman" w:hAnsi="Times New Roman"/>
          <w:b/>
          <w:bCs/>
          <w:sz w:val="24"/>
          <w:szCs w:val="24"/>
        </w:rPr>
        <w:t xml:space="preserve">CRONOGRAMA PRELIMINAR DE ACTIVIDADES</w:t>
      </w:r>
    </w:p>
    <w:tbl>
      <w:tblPr>
        <w:tblW w:type="dxa" w:w="8839"/>
        <w:tblBorders>
          <w:top w:val="single" w:color="auto" w:sz="4"/>
          <w:left w:val="single" w:color="auto" w:sz="4"/>
          <w:bottom w:val="single" w:color="auto" w:sz="4"/>
          <w:right w:val="single" w:color="auto" w:sz="4"/>
          <w:insideH w:val="single" w:color="auto" w:sz="4"/>
          <w:insideV w:val="single" w:color="auto" w:sz="4"/>
        </w:tblBorders>
      </w:tblPr>
      <w:tblGrid>
        <w:gridCol w:w="3000"/>
        <w:gridCol w:w="648"/>
        <w:gridCol w:w="648"/>
        <w:gridCol w:w="648"/>
        <w:gridCol w:w="648"/>
        <w:gridCol w:w="648"/>
        <w:gridCol w:w="648"/>
        <w:gridCol w:w="648"/>
        <w:gridCol w:w="648"/>
        <w:gridCol w:w="655"/>
      </w:tblGrid>
      <w:tr>
        <w:trPr>
          <w:tblHeader/>
        </w:trP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bCs/>
                <w:sz w:val="18"/>
                <w:szCs w:val="18"/>
              </w:rPr>
              <w:t xml:space="preserve">Actividad</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27-31</w:t>
            </w:r>
            <w:r>
              <w:br/>
            </w:r>
            <w:r>
              <w:rPr>
                <w:rFonts w:ascii="Times New Roman" w:cs="Times New Roman" w:eastAsia="Times New Roman" w:hAnsi="Times New Roman"/>
                <w:b/>
                <w:bCs/>
                <w:sz w:val="18"/>
                <w:szCs w:val="18"/>
              </w:rPr>
              <w:t xml:space="preserve">Jul</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3-7</w:t>
            </w:r>
            <w:r>
              <w:br/>
            </w:r>
            <w:r>
              <w:rPr>
                <w:rFonts w:ascii="Times New Roman" w:cs="Times New Roman" w:eastAsia="Times New Roman" w:hAnsi="Times New Roman"/>
                <w:b/>
                <w:bCs/>
                <w:sz w:val="18"/>
                <w:szCs w:val="18"/>
              </w:rPr>
              <w:t xml:space="preserve">Ago</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10-14</w:t>
            </w:r>
            <w:r>
              <w:br/>
            </w:r>
            <w:r>
              <w:rPr>
                <w:rFonts w:ascii="Times New Roman" w:cs="Times New Roman" w:eastAsia="Times New Roman" w:hAnsi="Times New Roman"/>
                <w:b/>
                <w:bCs/>
                <w:sz w:val="18"/>
                <w:szCs w:val="18"/>
              </w:rPr>
              <w:t xml:space="preserve">Ago</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17-21</w:t>
            </w:r>
            <w:r>
              <w:br/>
            </w:r>
            <w:r>
              <w:rPr>
                <w:rFonts w:ascii="Times New Roman" w:cs="Times New Roman" w:eastAsia="Times New Roman" w:hAnsi="Times New Roman"/>
                <w:b/>
                <w:bCs/>
                <w:sz w:val="18"/>
                <w:szCs w:val="18"/>
              </w:rPr>
              <w:t xml:space="preserve">Ago</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24-28</w:t>
            </w:r>
            <w:r>
              <w:br/>
            </w:r>
            <w:r>
              <w:rPr>
                <w:rFonts w:ascii="Times New Roman" w:cs="Times New Roman" w:eastAsia="Times New Roman" w:hAnsi="Times New Roman"/>
                <w:b/>
                <w:bCs/>
                <w:sz w:val="18"/>
                <w:szCs w:val="18"/>
              </w:rPr>
              <w:t xml:space="preserve">Ago</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31 Ago</w:t>
            </w:r>
            <w:r>
              <w:br/>
            </w:r>
            <w:r>
              <w:rPr>
                <w:rFonts w:ascii="Times New Roman" w:cs="Times New Roman" w:eastAsia="Times New Roman" w:hAnsi="Times New Roman"/>
                <w:b/>
                <w:bCs/>
                <w:sz w:val="18"/>
                <w:szCs w:val="18"/>
              </w:rPr>
              <w:t xml:space="preserve">4 Sep</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7-11</w:t>
            </w:r>
            <w:r>
              <w:br/>
            </w:r>
            <w:r>
              <w:rPr>
                <w:rFonts w:ascii="Times New Roman" w:cs="Times New Roman" w:eastAsia="Times New Roman" w:hAnsi="Times New Roman"/>
                <w:b/>
                <w:bCs/>
                <w:sz w:val="18"/>
                <w:szCs w:val="18"/>
              </w:rPr>
              <w:t xml:space="preserve">Sep</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14-18</w:t>
            </w:r>
            <w:r>
              <w:br/>
            </w:r>
            <w:r>
              <w:rPr>
                <w:rFonts w:ascii="Times New Roman" w:cs="Times New Roman" w:eastAsia="Times New Roman" w:hAnsi="Times New Roman"/>
                <w:b/>
                <w:bCs/>
                <w:sz w:val="18"/>
                <w:szCs w:val="18"/>
              </w:rPr>
              <w:t xml:space="preserve">Sep</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21-25</w:t>
            </w:r>
            <w:r>
              <w:br/>
            </w:r>
            <w:r>
              <w:rPr>
                <w:rFonts w:ascii="Times New Roman" w:cs="Times New Roman" w:eastAsia="Times New Roman" w:hAnsi="Times New Roman"/>
                <w:b/>
                <w:bCs/>
                <w:sz w:val="18"/>
                <w:szCs w:val="18"/>
              </w:rPr>
              <w:t xml:space="preserve">Sep</w:t>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Entrega del anteproyecto y revisión bibliográfica</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Implementación analizador estático (7 reglas AST)</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Implementación analizador dinámico (5 sondas HTTP)</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Construcción base de conocimiento RAG (ChromaDB)</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Integración pipeline LLM + generador de reportes</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Evaluación experimental (controlada + externa)</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Análisis de resultados y redacción del informe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Revisión final y entrega al asesor</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r>
    </w:tbl>
    <w:p>
      <w:pPr>
        <w:spacing w:after="120" w:before="80" w:line="360"/>
        <w:jc w:val="left"/>
      </w:pPr>
      <w:r>
        <w:rPr>
          <w:rFonts w:ascii="Times New Roman" w:cs="Times New Roman" w:eastAsia="Times New Roman" w:hAnsi="Times New Roman"/>
          <w:sz w:val="24"/>
          <w:szCs w:val="24"/>
        </w:rPr>
        <w:t xml:space="preserve">Fuente: Propia.</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BIBLIOGRAFÍA</w:t>
      </w:r>
    </w:p>
    <w:p>
      <w:pPr>
        <w:spacing w:after="120" w:before="240" w:line="360"/>
        <w:jc w:val="left"/>
      </w:pPr>
      <w:r>
        <w:rPr>
          <w:rFonts w:ascii="Times New Roman" w:cs="Times New Roman" w:eastAsia="Times New Roman" w:hAnsi="Times New Roman"/>
          <w:b/>
          <w:bCs/>
          <w:sz w:val="24"/>
          <w:szCs w:val="24"/>
        </w:rPr>
        <w:t xml:space="preserve">Tesis Doctoral</w:t>
      </w:r>
    </w:p>
    <w:p>
      <w:pPr>
        <w:spacing w:after="160" w:before="0" w:line="240"/>
        <w:ind w:left="567" w:hanging="567"/>
        <w:jc w:val="both"/>
      </w:pPr>
      <w:r>
        <w:rPr>
          <w:rFonts w:ascii="Times New Roman" w:cs="Times New Roman" w:eastAsia="Times New Roman" w:hAnsi="Times New Roman"/>
          <w:sz w:val="24"/>
          <w:szCs w:val="24"/>
        </w:rPr>
        <w:t xml:space="preserve">FIELDING, Roy Thomas. Architectural Styles and the Design of Network-based Software Architectures. Tesis doctoral. University of California, Irvine, 2000. [Consulta: 23 de julio de 2026] Disponible en: https://ics.uci.edu/~fielding/pubs/dissertation/top.htm</w:t>
      </w:r>
    </w:p>
    <w:p>
      <w:pPr>
        <w:spacing w:after="120" w:before="240" w:line="360"/>
        <w:jc w:val="left"/>
      </w:pPr>
      <w:r>
        <w:rPr>
          <w:rFonts w:ascii="Times New Roman" w:cs="Times New Roman" w:eastAsia="Times New Roman" w:hAnsi="Times New Roman"/>
          <w:b/>
          <w:bCs/>
          <w:sz w:val="24"/>
          <w:szCs w:val="24"/>
        </w:rPr>
        <w:t xml:space="preserve">Estándar Técnico</w:t>
      </w:r>
    </w:p>
    <w:p>
      <w:pPr>
        <w:spacing w:after="160" w:before="0" w:line="240"/>
        <w:ind w:left="567" w:hanging="567"/>
        <w:jc w:val="both"/>
      </w:pPr>
      <w:r>
        <w:rPr>
          <w:rFonts w:ascii="Times New Roman" w:cs="Times New Roman" w:eastAsia="Times New Roman" w:hAnsi="Times New Roman"/>
          <w:sz w:val="24"/>
          <w:szCs w:val="24"/>
        </w:rPr>
        <w:t xml:space="preserve">OWASP Foundation. OWASP API Security Top 10 2023 [en línea] 2023. [Consulta: 23 de julio de 2026] Disponible en: https://owasp.org/API-Security/</w:t>
      </w:r>
    </w:p>
    <w:p>
      <w:pPr>
        <w:spacing w:after="120" w:before="240" w:line="360"/>
        <w:jc w:val="left"/>
      </w:pPr>
      <w:r>
        <w:rPr>
          <w:rFonts w:ascii="Times New Roman" w:cs="Times New Roman" w:eastAsia="Times New Roman" w:hAnsi="Times New Roman"/>
          <w:b/>
          <w:bCs/>
          <w:sz w:val="24"/>
          <w:szCs w:val="24"/>
        </w:rPr>
        <w:t xml:space="preserve">Artículos en Revistas y Conferencias</w:t>
      </w:r>
    </w:p>
    <w:p>
      <w:pPr>
        <w:spacing w:after="160" w:before="0" w:line="240"/>
        <w:ind w:left="567" w:hanging="567"/>
        <w:jc w:val="both"/>
      </w:pPr>
      <w:r>
        <w:rPr>
          <w:rFonts w:ascii="Times New Roman" w:cs="Times New Roman" w:eastAsia="Times New Roman" w:hAnsi="Times New Roman"/>
          <w:sz w:val="24"/>
          <w:szCs w:val="24"/>
        </w:rPr>
        <w:t xml:space="preserve">ATLIDAKIS, Vaggelis, et al. RESTler: Stateful REST API Fuzzing. En: Proceedings of ICSE, 2019. pp. 748-758. [Consulta: 23 de julio de 2026] Disponible en: https://dl.acm.org/doi/10.1109/ICSE.2019.00083</w:t>
      </w:r>
    </w:p>
    <w:p>
      <w:pPr>
        <w:spacing w:after="160" w:before="0" w:line="240"/>
        <w:ind w:left="567" w:hanging="567"/>
        <w:jc w:val="both"/>
      </w:pPr>
      <w:r>
        <w:rPr>
          <w:rFonts w:ascii="Times New Roman" w:cs="Times New Roman" w:eastAsia="Times New Roman" w:hAnsi="Times New Roman"/>
          <w:sz w:val="24"/>
          <w:szCs w:val="24"/>
        </w:rPr>
        <w:t xml:space="preserve">BORGEAUD, Sebastian, et al. Improving Language Models by Retrieving from Trillions of Tokens. En: Proceedings of ICML, 2022. [Consulta: 23 de julio de 2026] Disponible en: https://arxiv.org/abs/2112.04426</w:t>
      </w:r>
    </w:p>
    <w:p>
      <w:pPr>
        <w:spacing w:after="160" w:before="0" w:line="240"/>
        <w:ind w:left="567" w:hanging="567"/>
        <w:jc w:val="both"/>
      </w:pPr>
      <w:r>
        <w:rPr>
          <w:rFonts w:ascii="Times New Roman" w:cs="Times New Roman" w:eastAsia="Times New Roman" w:hAnsi="Times New Roman"/>
          <w:sz w:val="24"/>
          <w:szCs w:val="24"/>
        </w:rPr>
        <w:t xml:space="preserve">BROWN, Tom, et al. Language Models are Few-Shot Learners. En: Advances in Neural Information Processing Systems, vol. 33, 2020. pp. 1877-1901. [Consulta: 23 de julio de 2026] Disponible en: https://arxiv.org/abs/2005.14165</w:t>
      </w:r>
    </w:p>
    <w:p>
      <w:pPr>
        <w:spacing w:after="160" w:before="0" w:line="240"/>
        <w:ind w:left="567" w:hanging="567"/>
        <w:jc w:val="both"/>
      </w:pPr>
      <w:r>
        <w:rPr>
          <w:rFonts w:ascii="Times New Roman" w:cs="Times New Roman" w:eastAsia="Times New Roman" w:hAnsi="Times New Roman"/>
          <w:sz w:val="24"/>
          <w:szCs w:val="24"/>
        </w:rPr>
        <w:t xml:space="preserve">CHESS, Brian y McGRAW, Gary. Static Analysis for Security. En: IEEE Security &amp; Privacy, vol. 2, núm. 6, 2004. pp. 76-79. [Consulta: 23 de julio de 2026] Disponible en: https://ieeexplore.ieee.org/document/1366126</w:t>
      </w:r>
    </w:p>
    <w:p>
      <w:pPr>
        <w:spacing w:after="160" w:before="0" w:line="240"/>
        <w:ind w:left="567" w:hanging="567"/>
        <w:jc w:val="both"/>
      </w:pPr>
      <w:r>
        <w:rPr>
          <w:rFonts w:ascii="Times New Roman" w:cs="Times New Roman" w:eastAsia="Times New Roman" w:hAnsi="Times New Roman"/>
          <w:sz w:val="24"/>
          <w:szCs w:val="24"/>
        </w:rPr>
        <w:t xml:space="preserve">DEVLIN, Jacob, et al. BERT: Pre-training of Deep Bidirectional Transformers for Language Understanding. En: Proceedings of NAACL-HLT, 2019. pp. 4171-4186. [Consulta: 23 de julio de 2026] Disponible en: https://arxiv.org/abs/1810.04805</w:t>
      </w:r>
    </w:p>
    <w:p>
      <w:pPr>
        <w:spacing w:after="160" w:before="0" w:line="240"/>
        <w:ind w:left="567" w:hanging="567"/>
        <w:jc w:val="both"/>
      </w:pPr>
      <w:r>
        <w:rPr>
          <w:rFonts w:ascii="Times New Roman" w:cs="Times New Roman" w:eastAsia="Times New Roman" w:hAnsi="Times New Roman"/>
          <w:sz w:val="24"/>
          <w:szCs w:val="24"/>
        </w:rPr>
        <w:t xml:space="preserve">FAWCETT, Tom. An Introduction to ROC Analysis. En: Pattern Recognition Letters, vol. 27, núm. 8, 2006. pp. 861-874. [Consulta: 23 de julio de 2026] Disponible en: https://doi.org/10.1016/j.patrec.2005.10.010</w:t>
      </w:r>
    </w:p>
    <w:p>
      <w:pPr>
        <w:spacing w:after="160" w:before="0" w:line="240"/>
        <w:ind w:left="567" w:hanging="567"/>
        <w:jc w:val="both"/>
      </w:pPr>
      <w:r>
        <w:rPr>
          <w:rFonts w:ascii="Times New Roman" w:cs="Times New Roman" w:eastAsia="Times New Roman" w:hAnsi="Times New Roman"/>
          <w:sz w:val="24"/>
          <w:szCs w:val="24"/>
        </w:rPr>
        <w:t xml:space="preserve">FENG, Zhangyin, et al. CodeBERT: A Pre-Trained Model for Programming and Natural Languages. En: Findings of EMNLP, 2020. pp. 1536-1547. [Consulta: 23 de julio de 2026] Disponible en: https://arxiv.org/abs/2002.08155</w:t>
      </w:r>
    </w:p>
    <w:p>
      <w:pPr>
        <w:spacing w:after="160" w:before="0" w:line="240"/>
        <w:ind w:left="567" w:hanging="567"/>
        <w:jc w:val="both"/>
      </w:pPr>
      <w:r>
        <w:rPr>
          <w:rFonts w:ascii="Times New Roman" w:cs="Times New Roman" w:eastAsia="Times New Roman" w:hAnsi="Times New Roman"/>
          <w:sz w:val="24"/>
          <w:szCs w:val="24"/>
        </w:rPr>
        <w:t xml:space="preserve">FU, Michael y TANTITHAMTHAVORN, Chakkrit. LineVul: A Transformer-based Line-Level Vulnerability Prediction. En: Proceedings of MSR, 2022. [Consulta: 23 de julio de 2026] Disponible en: https://dl.acm.org/doi/10.1145/3524842.3528452</w:t>
      </w:r>
    </w:p>
    <w:p>
      <w:pPr>
        <w:spacing w:after="160" w:before="0" w:line="240"/>
        <w:ind w:left="567" w:hanging="567"/>
        <w:jc w:val="both"/>
      </w:pPr>
      <w:r>
        <w:rPr>
          <w:rFonts w:ascii="Times New Roman" w:cs="Times New Roman" w:eastAsia="Times New Roman" w:hAnsi="Times New Roman"/>
          <w:sz w:val="24"/>
          <w:szCs w:val="24"/>
        </w:rPr>
        <w:t xml:space="preserve">GAO, Yunfan, et al. Retrieval-Augmented Generation for Large Language Models: A Survey. arXiv:2312.10997 [en línea] 2023. [Consulta: 23 de julio de 2026] Disponible en: https://arxiv.org/abs/2312.10997</w:t>
      </w:r>
    </w:p>
    <w:p>
      <w:pPr>
        <w:spacing w:after="160" w:before="0" w:line="240"/>
        <w:ind w:left="567" w:hanging="567"/>
        <w:jc w:val="both"/>
      </w:pPr>
      <w:r>
        <w:rPr>
          <w:rFonts w:ascii="Times New Roman" w:cs="Times New Roman" w:eastAsia="Times New Roman" w:hAnsi="Times New Roman"/>
          <w:sz w:val="24"/>
          <w:szCs w:val="24"/>
        </w:rPr>
        <w:t xml:space="preserve">JI, Ziwei, et al. Survey of Hallucination in Natural Language Generation. En: ACM Computing Surveys, vol. 55, núm. 12, art. 248, 2023. [Consulta: 23 de julio de 2026] Disponible en: https://arxiv.org/abs/2202.03629</w:t>
      </w:r>
    </w:p>
    <w:p>
      <w:pPr>
        <w:spacing w:after="160" w:before="0" w:line="240"/>
        <w:ind w:left="567" w:hanging="567"/>
        <w:jc w:val="both"/>
      </w:pPr>
      <w:r>
        <w:rPr>
          <w:rFonts w:ascii="Times New Roman" w:cs="Times New Roman" w:eastAsia="Times New Roman" w:hAnsi="Times New Roman"/>
          <w:sz w:val="24"/>
          <w:szCs w:val="24"/>
        </w:rPr>
        <w:t xml:space="preserve">JIANG, Albert Q., et al. Mistral 7B. arXiv:2310.06825 [en línea] 2023. [Consulta: 23 de julio de 2026] Disponible en: https://arxiv.org/abs/2310.06825</w:t>
      </w:r>
    </w:p>
    <w:p>
      <w:pPr>
        <w:spacing w:after="160" w:before="0" w:line="240"/>
        <w:ind w:left="567" w:hanging="567"/>
        <w:jc w:val="both"/>
      </w:pPr>
      <w:r>
        <w:rPr>
          <w:rFonts w:ascii="Times New Roman" w:cs="Times New Roman" w:eastAsia="Times New Roman" w:hAnsi="Times New Roman"/>
          <w:sz w:val="24"/>
          <w:szCs w:val="24"/>
        </w:rPr>
        <w:t xml:space="preserve">JOHNSON, Jeff, et al. Billion-scale similarity search with GPUs. En: IEEE Transactions on Big Data, vol. 7, núm. 3, 2021. pp. 535-547. [Consulta: 23 de julio de 2026] Disponible en: https://arxiv.org/abs/1702.08734</w:t>
      </w:r>
    </w:p>
    <w:p>
      <w:pPr>
        <w:spacing w:after="160" w:before="0" w:line="240"/>
        <w:ind w:left="567" w:hanging="567"/>
        <w:jc w:val="both"/>
      </w:pPr>
      <w:r>
        <w:rPr>
          <w:rFonts w:ascii="Times New Roman" w:cs="Times New Roman" w:eastAsia="Times New Roman" w:hAnsi="Times New Roman"/>
          <w:sz w:val="24"/>
          <w:szCs w:val="24"/>
        </w:rPr>
        <w:t xml:space="preserve">KARPUKHIN, Vladimir, et al. Dense Passage Retrieval for Open-Domain Question Answering. En: Proceedings of EMNLP, 2020. pp. 6769-6781. [Consulta: 23 de julio de 2026] Disponible en: https://arxiv.org/abs/2004.04906</w:t>
      </w:r>
    </w:p>
    <w:p>
      <w:pPr>
        <w:spacing w:after="160" w:before="0" w:line="240"/>
        <w:ind w:left="567" w:hanging="567"/>
        <w:jc w:val="both"/>
      </w:pPr>
      <w:r>
        <w:rPr>
          <w:rFonts w:ascii="Times New Roman" w:cs="Times New Roman" w:eastAsia="Times New Roman" w:hAnsi="Times New Roman"/>
          <w:sz w:val="24"/>
          <w:szCs w:val="24"/>
        </w:rPr>
        <w:t xml:space="preserve">LEWIS, Patrick, et al. Retrieval-Augmented Generation for Knowledge-Intensive NLP Tasks. En: Advances in Neural Information Processing Systems, vol. 33, 2020. pp. 9459-9474. [Consulta: 23 de julio de 2026] Disponible en: https://arxiv.org/abs/2005.11401</w:t>
      </w:r>
    </w:p>
    <w:p>
      <w:pPr>
        <w:spacing w:after="160" w:before="0" w:line="240"/>
        <w:ind w:left="567" w:hanging="567"/>
        <w:jc w:val="both"/>
      </w:pPr>
      <w:r>
        <w:rPr>
          <w:rFonts w:ascii="Times New Roman" w:cs="Times New Roman" w:eastAsia="Times New Roman" w:hAnsi="Times New Roman"/>
          <w:sz w:val="24"/>
          <w:szCs w:val="24"/>
        </w:rPr>
        <w:t xml:space="preserve">LI, Zhen, et al. SySeVR: A Framework for Using Deep Learning to Detect Software Vulnerabilities. En: IEEE Transactions on Dependable and Secure Computing, vol. 19, núm. 4, 2022. pp. 2244-2258. [Consulta: 23 de julio de 2026] Disponible en: https://arxiv.org/abs/1807.06756</w:t>
      </w:r>
    </w:p>
    <w:p>
      <w:pPr>
        <w:spacing w:after="160" w:before="0" w:line="240"/>
        <w:ind w:left="567" w:hanging="567"/>
        <w:jc w:val="both"/>
      </w:pPr>
      <w:r>
        <w:rPr>
          <w:rFonts w:ascii="Times New Roman" w:cs="Times New Roman" w:eastAsia="Times New Roman" w:hAnsi="Times New Roman"/>
          <w:sz w:val="24"/>
          <w:szCs w:val="24"/>
        </w:rPr>
        <w:t xml:space="preserve">LI, Zhen, et al. VulDeePecker: A Deep Learning-Based System for Vulnerability Detection. En: Proceedings of NDSS, 2018. [Consulta: 23 de julio de 2026] Disponible en: https://arxiv.org/abs/1801.01681</w:t>
      </w:r>
    </w:p>
    <w:p>
      <w:pPr>
        <w:spacing w:after="160" w:before="0" w:line="240"/>
        <w:ind w:left="567" w:hanging="567"/>
        <w:jc w:val="both"/>
      </w:pPr>
      <w:r>
        <w:rPr>
          <w:rFonts w:ascii="Times New Roman" w:cs="Times New Roman" w:eastAsia="Times New Roman" w:hAnsi="Times New Roman"/>
          <w:sz w:val="24"/>
          <w:szCs w:val="24"/>
        </w:rPr>
        <w:t xml:space="preserve">MIKOLOV, Tomáš, et al. Efficient Estimation of Word Representations in Vector Space. arXiv:1301.3781 [en línea] 2013. [Consulta: 23 de julio de 2026] Disponible en: https://arxiv.org/abs/1301.3781</w:t>
      </w:r>
    </w:p>
    <w:p>
      <w:pPr>
        <w:spacing w:after="160" w:before="0" w:line="240"/>
        <w:ind w:left="567" w:hanging="567"/>
        <w:jc w:val="both"/>
      </w:pPr>
      <w:r>
        <w:rPr>
          <w:rFonts w:ascii="Times New Roman" w:cs="Times New Roman" w:eastAsia="Times New Roman" w:hAnsi="Times New Roman"/>
          <w:sz w:val="24"/>
          <w:szCs w:val="24"/>
        </w:rPr>
        <w:t xml:space="preserve">PEARCE, Hammond, et al. Examining Zero-Shot Vulnerability Repair with Large Language Models. En: Proceedings of IEEE S&amp;P, 2023. pp. 2339-2356. [Consulta: 23 de julio de 2026] Disponible en: https://arxiv.org/abs/2112.02125</w:t>
      </w:r>
    </w:p>
    <w:p>
      <w:pPr>
        <w:spacing w:after="160" w:before="0" w:line="240"/>
        <w:ind w:left="567" w:hanging="567"/>
        <w:jc w:val="both"/>
      </w:pPr>
      <w:r>
        <w:rPr>
          <w:rFonts w:ascii="Times New Roman" w:cs="Times New Roman" w:eastAsia="Times New Roman" w:hAnsi="Times New Roman"/>
          <w:sz w:val="24"/>
          <w:szCs w:val="24"/>
        </w:rPr>
        <w:t xml:space="preserve">REIMERS, Nils y GUREVYCH, Iryna. Sentence-BERT: Sentence Embeddings using Siamese BERT-Networks. En: Proceedings of EMNLP, 2019. pp. 3982-3992. [Consulta: 23 de julio de 2026] Disponible en: https://arxiv.org/abs/1908.10084</w:t>
      </w:r>
    </w:p>
    <w:p>
      <w:pPr>
        <w:spacing w:after="160" w:before="0" w:line="240"/>
        <w:ind w:left="567" w:hanging="567"/>
        <w:jc w:val="both"/>
      </w:pPr>
      <w:r>
        <w:rPr>
          <w:rFonts w:ascii="Times New Roman" w:cs="Times New Roman" w:eastAsia="Times New Roman" w:hAnsi="Times New Roman"/>
          <w:sz w:val="24"/>
          <w:szCs w:val="24"/>
        </w:rPr>
        <w:t xml:space="preserve">TOUVRON, Hugo, et al. Llama 2: Open Foundation and Fine-Tuned Chat Models. arXiv:2307.09288 [en línea] 2023. [Consulta: 23 de julio de 2026] Disponible en: https://arxiv.org/abs/2307.09288</w:t>
      </w:r>
    </w:p>
    <w:p>
      <w:pPr>
        <w:spacing w:after="160" w:before="0" w:line="240"/>
        <w:ind w:left="567" w:hanging="567"/>
        <w:jc w:val="both"/>
      </w:pPr>
      <w:r>
        <w:rPr>
          <w:rFonts w:ascii="Times New Roman" w:cs="Times New Roman" w:eastAsia="Times New Roman" w:hAnsi="Times New Roman"/>
          <w:sz w:val="24"/>
          <w:szCs w:val="24"/>
        </w:rPr>
        <w:t xml:space="preserve">VASWANI, Ashish, et al. Attention Is All You Need. En: Advances in Neural Information Processing Systems, vol. 30, 2017. [Consulta: 23 de julio de 2026] Disponible en: https://arxiv.org/abs/1706.03762</w:t>
      </w:r>
    </w:p>
    <w:p>
      <w:pPr>
        <w:spacing w:after="160" w:before="0" w:line="240"/>
        <w:ind w:left="567" w:hanging="567"/>
        <w:jc w:val="both"/>
      </w:pPr>
      <w:r>
        <w:rPr>
          <w:rFonts w:ascii="Times New Roman" w:cs="Times New Roman" w:eastAsia="Times New Roman" w:hAnsi="Times New Roman"/>
          <w:sz w:val="24"/>
          <w:szCs w:val="24"/>
        </w:rPr>
        <w:t xml:space="preserve">VIGLIANISI, Emanuele, et al. RESTTESTGEN: Automated Black-Box Testing of RESTful APIs. En: Proceedings of IEEE ICST, 2020. pp. 367-377. [Consulta: 23 de julio de 2026] Disponible en: https://ieeexplore.ieee.org/document/9159077</w:t>
      </w:r>
    </w:p>
    <w:p>
      <w:pPr>
        <w:spacing w:after="160" w:before="0" w:line="240"/>
        <w:ind w:left="567" w:hanging="567"/>
        <w:jc w:val="both"/>
      </w:pPr>
      <w:r>
        <w:rPr>
          <w:rFonts w:ascii="Times New Roman" w:cs="Times New Roman" w:eastAsia="Times New Roman" w:hAnsi="Times New Roman"/>
          <w:sz w:val="24"/>
          <w:szCs w:val="24"/>
        </w:rPr>
        <w:t xml:space="preserve">ZHOU, Yaqin, et al. Devign: Effective Vulnerability Identification by Learning Comprehensive Program Semantics via Graph Neural Networks. En: Advances in Neural Information Processing Systems, vol. 32, 2019. [Consulta: 23 de julio de 2026] Disponible en: https://arxiv.org/abs/1909.03496</w:t>
      </w:r>
    </w:p>
    <w:sectPr>
      <w:footerReference w:type="default" r:id="rId7"/>
      <w:type w:val="nextPage"/>
      <w:pgSz w:w="12240" w:h="15840" w:orient="portrait"/>
      <w:pgMar w:top="1418" w:right="1418" w:bottom="1418" w:left="1985"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rFonts w:ascii="Times New Roman" w:cs="Times New Roman" w:eastAsia="Times New Roman" w:hAnsi="Times New Roman"/>
          <w:sz w:val="20"/>
          <w:szCs w:val="20"/>
        </w:rPr>
        <w:t xml:space="preserve">FIELDING, Roy Thomas. Architectural Styles and the Design of Network-based Software Architectures. Tesis doctoral. University of California, Irvine, 2000. [Consulta: 23 de julio de 2026] Disponible en: https://ics.uci.edu/~fielding/pubs/dissertation/top.htm</w:t>
      </w:r>
    </w:p>
  </w:footnote>
  <w:footnote w:id="2">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3">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4">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5">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6">
    <w:p>
      <w:pPr>
        <w:pStyle w:val="FootnoteText"/>
      </w:pPr>
      <w:r>
        <w:rPr>
          <w:rStyle w:val="FootnoteReference"/>
        </w:rPr>
        <w:footnoteRef/>
      </w:r>
      <w:r>
        <w:rPr>
          <w:rFonts w:ascii="Times New Roman" w:cs="Times New Roman" w:eastAsia="Times New Roman" w:hAnsi="Times New Roman"/>
          <w:sz w:val="20"/>
          <w:szCs w:val="20"/>
        </w:rPr>
        <w:t xml:space="preserve">REIMERS, Nils y GUREVYCH, Iryna. Sentence-BERT: Sentence Embeddings using Siamese BERT-Networks. En: Proceedings of EMNLP, 2019. pp. 3982-3992. [Consulta: 23 de julio de 2026] Disponible en: https://arxiv.org/abs/1908.10084</w:t>
      </w:r>
    </w:p>
  </w:footnote>
  <w:footnote w:id="7">
    <w:p>
      <w:pPr>
        <w:pStyle w:val="FootnoteText"/>
      </w:pPr>
      <w:r>
        <w:rPr>
          <w:rStyle w:val="FootnoteReference"/>
        </w:rPr>
        <w:footnoteRef/>
      </w:r>
      <w:r>
        <w:rPr>
          <w:rFonts w:ascii="Times New Roman" w:cs="Times New Roman" w:eastAsia="Times New Roman" w:hAnsi="Times New Roman"/>
          <w:sz w:val="20"/>
          <w:szCs w:val="20"/>
        </w:rPr>
        <w:t xml:space="preserve">JIANG, Albert Q., et al. Mistral 7B. arXiv:2310.06825 [en línea] 2023. [Consulta: 23 de julio de 2026] Disponible en: https://arxiv.org/abs/2310.06825</w:t>
      </w:r>
    </w:p>
  </w:footnote>
  <w:footnote w:id="8">
    <w:p>
      <w:pPr>
        <w:pStyle w:val="FootnoteText"/>
      </w:pPr>
      <w:r>
        <w:rPr>
          <w:rStyle w:val="FootnoteReference"/>
        </w:rPr>
        <w:footnoteRef/>
      </w:r>
      <w:r>
        <w:rPr>
          <w:rFonts w:ascii="Times New Roman" w:cs="Times New Roman" w:eastAsia="Times New Roman" w:hAnsi="Times New Roman"/>
          <w:sz w:val="20"/>
          <w:szCs w:val="20"/>
        </w:rPr>
        <w:t xml:space="preserve">TOUVRON, Hugo, et al. Llama 2: Open Foundation and Fine-Tuned Chat Models. arXiv:2307.09288 [en línea] 2023. [Consulta: 23 de julio de 2026] Disponible en: https://arxiv.org/abs/2307.09288</w:t>
      </w:r>
    </w:p>
  </w:footnote>
  <w:footnote w:id="9">
    <w:p>
      <w:pPr>
        <w:pStyle w:val="FootnoteText"/>
      </w:pPr>
      <w:r>
        <w:rPr>
          <w:rStyle w:val="FootnoteReference"/>
        </w:rPr>
        <w:footnoteRef/>
      </w:r>
      <w:r>
        <w:rPr>
          <w:rFonts w:ascii="Times New Roman" w:cs="Times New Roman" w:eastAsia="Times New Roman" w:hAnsi="Times New Roman"/>
          <w:sz w:val="20"/>
          <w:szCs w:val="20"/>
        </w:rPr>
        <w:t xml:space="preserve">VIGLIANISI, Emanuele, et al. RESTTESTGEN: Automated Black-Box Testing of RESTful APIs. En: Proceedings of IEEE ICST, 2020. pp. 367-377. [Consulta: 23 de julio de 2026] Disponible en: https://ieeexplore.ieee.org/document/9159077</w:t>
      </w:r>
    </w:p>
  </w:footnote>
  <w:footnote w:id="10">
    <w:p>
      <w:pPr>
        <w:pStyle w:val="FootnoteText"/>
      </w:pPr>
      <w:r>
        <w:rPr>
          <w:rStyle w:val="FootnoteReference"/>
        </w:rPr>
        <w:footnoteRef/>
      </w:r>
      <w:r>
        <w:rPr>
          <w:rFonts w:ascii="Times New Roman" w:cs="Times New Roman" w:eastAsia="Times New Roman" w:hAnsi="Times New Roman"/>
          <w:sz w:val="20"/>
          <w:szCs w:val="20"/>
        </w:rPr>
        <w:t xml:space="preserve">ATLIDAKIS, Vaggelis, et al. RESTler: Stateful REST API Fuzzing. En: Proceedings of ICSE, 2019. pp. 748-758. [Consulta: 23 de julio de 2026] Disponible en: https://dl.acm.org/doi/10.1109/ICSE.2019.00083</w:t>
      </w:r>
    </w:p>
  </w:footnote>
  <w:footnote w:id="11">
    <w:p>
      <w:pPr>
        <w:pStyle w:val="FootnoteText"/>
      </w:pPr>
      <w:r>
        <w:rPr>
          <w:rStyle w:val="FootnoteReference"/>
        </w:rPr>
        <w:footnoteRef/>
      </w:r>
      <w:r>
        <w:rPr>
          <w:rFonts w:ascii="Times New Roman" w:cs="Times New Roman" w:eastAsia="Times New Roman" w:hAnsi="Times New Roman"/>
          <w:sz w:val="20"/>
          <w:szCs w:val="20"/>
        </w:rPr>
        <w:t xml:space="preserve">TOUVRON, Hugo, et al. Llama 2: Open Foundation and Fine-Tuned Chat Models. arXiv:2307.09288 [en línea] 2023. [Consulta: 23 de julio de 2026] Disponible en: https://arxiv.org/abs/2307.09288</w:t>
      </w:r>
    </w:p>
  </w:footnote>
  <w:footnote w:id="12">
    <w:p>
      <w:pPr>
        <w:pStyle w:val="FootnoteText"/>
      </w:pPr>
      <w:r>
        <w:rPr>
          <w:rStyle w:val="FootnoteReference"/>
        </w:rPr>
        <w:footnoteRef/>
      </w:r>
      <w:r>
        <w:rPr>
          <w:rFonts w:ascii="Times New Roman" w:cs="Times New Roman" w:eastAsia="Times New Roman" w:hAnsi="Times New Roman"/>
          <w:sz w:val="20"/>
          <w:szCs w:val="20"/>
        </w:rPr>
        <w:t xml:space="preserve">JIANG, Albert Q., et al. Mistral 7B. arXiv:2310.06825 [en línea] 2023. [Consulta: 23 de julio de 2026] Disponible en: https://arxiv.org/abs/2310.06825</w:t>
      </w:r>
    </w:p>
  </w:footnote>
  <w:footnote w:id="13">
    <w:p>
      <w:pPr>
        <w:pStyle w:val="FootnoteText"/>
      </w:pPr>
      <w:r>
        <w:rPr>
          <w:rStyle w:val="FootnoteReference"/>
        </w:rPr>
        <w:footnoteRef/>
      </w:r>
      <w:r>
        <w:rPr>
          <w:rFonts w:ascii="Times New Roman" w:cs="Times New Roman" w:eastAsia="Times New Roman" w:hAnsi="Times New Roman"/>
          <w:sz w:val="20"/>
          <w:szCs w:val="20"/>
        </w:rPr>
        <w:t xml:space="preserve">KARPUKHIN, Vladimir, et al. Dense Passage Retrieval for Open-Domain Question Answering. En: Proceedings of EMNLP, 2020. pp. 6769-6781. [Consulta: 23 de julio de 2026] Disponible en: https://arxiv.org/abs/2004.04906</w:t>
      </w:r>
    </w:p>
  </w:footnote>
  <w:footnote w:id="14">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15">
    <w:p>
      <w:pPr>
        <w:pStyle w:val="FootnoteText"/>
      </w:pPr>
      <w:r>
        <w:rPr>
          <w:rStyle w:val="FootnoteReference"/>
        </w:rPr>
        <w:footnoteRef/>
      </w:r>
      <w:r>
        <w:rPr>
          <w:rFonts w:ascii="Times New Roman" w:cs="Times New Roman" w:eastAsia="Times New Roman" w:hAnsi="Times New Roman"/>
          <w:sz w:val="20"/>
          <w:szCs w:val="20"/>
        </w:rPr>
        <w:t xml:space="preserve">VIGLIANISI, Emanuele, et al. RESTTESTGEN: Automated Black-Box Testing of RESTful APIs. En: Proceedings of IEEE ICST, 2020. pp. 367-377. [Consulta: 23 de julio de 2026] Disponible en: https://ieeexplore.ieee.org/document/9159077</w:t>
      </w:r>
    </w:p>
  </w:footnote>
  <w:footnote w:id="16">
    <w:p>
      <w:pPr>
        <w:pStyle w:val="FootnoteText"/>
      </w:pPr>
      <w:r>
        <w:rPr>
          <w:rStyle w:val="FootnoteReference"/>
        </w:rPr>
        <w:footnoteRef/>
      </w:r>
      <w:r>
        <w:rPr>
          <w:rFonts w:ascii="Times New Roman" w:cs="Times New Roman" w:eastAsia="Times New Roman" w:hAnsi="Times New Roman"/>
          <w:sz w:val="20"/>
          <w:szCs w:val="20"/>
        </w:rPr>
        <w:t xml:space="preserve">FIELDING, Roy Thomas. Architectural Styles and the Design of Network-based Software Architectures. Tesis doctoral. University of California, Irvine, 2000. [Consulta: 23 de julio de 2026] Disponible en: https://ics.uci.edu/~fielding/pubs/dissertation/top.htm</w:t>
      </w:r>
    </w:p>
  </w:footnote>
  <w:footnote w:id="17">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18">
    <w:p>
      <w:pPr>
        <w:pStyle w:val="FootnoteText"/>
      </w:pPr>
      <w:r>
        <w:rPr>
          <w:rStyle w:val="FootnoteReference"/>
        </w:rPr>
        <w:footnoteRef/>
      </w:r>
      <w:r>
        <w:rPr>
          <w:rFonts w:ascii="Times New Roman" w:cs="Times New Roman" w:eastAsia="Times New Roman" w:hAnsi="Times New Roman"/>
          <w:sz w:val="20"/>
          <w:szCs w:val="20"/>
        </w:rPr>
        <w:t xml:space="preserve">ATLIDAKIS, Vaggelis, et al. RESTler: Stateful REST API Fuzzing. En: Proceedings of ICSE, 2019. pp. 748-758. [Consulta: 23 de julio de 2026] Disponible en: https://dl.acm.org/doi/10.1109/ICSE.2019.00083</w:t>
      </w:r>
    </w:p>
  </w:footnote>
  <w:footnote w:id="19">
    <w:p>
      <w:pPr>
        <w:pStyle w:val="FootnoteText"/>
      </w:pPr>
      <w:r>
        <w:rPr>
          <w:rStyle w:val="FootnoteReference"/>
        </w:rPr>
        <w:footnoteRef/>
      </w:r>
      <w:r>
        <w:rPr>
          <w:rFonts w:ascii="Times New Roman" w:cs="Times New Roman" w:eastAsia="Times New Roman" w:hAnsi="Times New Roman"/>
          <w:sz w:val="20"/>
          <w:szCs w:val="20"/>
        </w:rPr>
        <w:t xml:space="preserve">ZHOU, Yaqin, et al. Devign: Effective Vulnerability Identification by Learning Comprehensive Program Semantics via Graph Neural Networks. En: Advances in Neural Information Processing Systems, vol. 32, 2019. [Consulta: 23 de julio de 2026] Disponible en: https://arxiv.org/abs/1909.03496</w:t>
      </w:r>
    </w:p>
  </w:footnote>
  <w:footnote w:id="20">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1">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2">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3">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4">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5">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6">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7">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8">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29">
    <w:p>
      <w:pPr>
        <w:pStyle w:val="FootnoteText"/>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23 de julio de 2026] Disponible en: https://owasp.org/API-Security/</w:t>
      </w:r>
    </w:p>
  </w:footnote>
  <w:footnote w:id="30">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31">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32">
    <w:p>
      <w:pPr>
        <w:pStyle w:val="FootnoteText"/>
      </w:pPr>
      <w:r>
        <w:rPr>
          <w:rStyle w:val="FootnoteReference"/>
        </w:rPr>
        <w:footnoteRef/>
      </w:r>
      <w:r>
        <w:rPr>
          <w:rFonts w:ascii="Times New Roman" w:cs="Times New Roman" w:eastAsia="Times New Roman" w:hAnsi="Times New Roman"/>
          <w:sz w:val="20"/>
          <w:szCs w:val="20"/>
        </w:rPr>
        <w:t xml:space="preserve">LI, Zhen, et al. VulDeePecker: A Deep Learning-Based System for Vulnerability Detection. En: Proceedings of NDSS, 2018. [Consulta: 23 de julio de 2026] Disponible en: https://arxiv.org/abs/1801.01681</w:t>
      </w:r>
    </w:p>
  </w:footnote>
  <w:footnote w:id="33">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34">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35">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36">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37">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38">
    <w:p>
      <w:pPr>
        <w:pStyle w:val="FootnoteText"/>
      </w:pPr>
      <w:r>
        <w:rPr>
          <w:rStyle w:val="FootnoteReference"/>
        </w:rPr>
        <w:footnoteRef/>
      </w:r>
      <w:r>
        <w:rPr>
          <w:rFonts w:ascii="Times New Roman" w:cs="Times New Roman" w:eastAsia="Times New Roman" w:hAnsi="Times New Roman"/>
          <w:sz w:val="20"/>
          <w:szCs w:val="20"/>
        </w:rPr>
        <w:t xml:space="preserve">LI, Zhen, et al. VulDeePecker: A Deep Learning-Based System for Vulnerability Detection. En: Proceedings of NDSS, 2018. [Consulta: 23 de julio de 2026] Disponible en: https://arxiv.org/abs/1801.01681</w:t>
      </w:r>
    </w:p>
  </w:footnote>
  <w:footnote w:id="39">
    <w:p>
      <w:pPr>
        <w:pStyle w:val="FootnoteText"/>
      </w:pPr>
      <w:r>
        <w:rPr>
          <w:rStyle w:val="FootnoteReference"/>
        </w:rPr>
        <w:footnoteRef/>
      </w:r>
      <w:r>
        <w:rPr>
          <w:rFonts w:ascii="Times New Roman" w:cs="Times New Roman" w:eastAsia="Times New Roman" w:hAnsi="Times New Roman"/>
          <w:sz w:val="20"/>
          <w:szCs w:val="20"/>
        </w:rPr>
        <w:t xml:space="preserve">LI, Zhen, et al. SySeVR: A Framework for Using Deep Learning to Detect Software Vulnerabilities. En: IEEE Transactions on Dependable and Secure Computing, vol. 19, núm. 4, 2022. pp. 2244-2258. [Consulta: 23 de julio de 2026] Disponible en: https://arxiv.org/abs/1807.06756</w:t>
      </w:r>
    </w:p>
  </w:footnote>
  <w:footnote w:id="40">
    <w:p>
      <w:pPr>
        <w:pStyle w:val="FootnoteText"/>
      </w:pPr>
      <w:r>
        <w:rPr>
          <w:rStyle w:val="FootnoteReference"/>
        </w:rPr>
        <w:footnoteRef/>
      </w:r>
      <w:r>
        <w:rPr>
          <w:rFonts w:ascii="Times New Roman" w:cs="Times New Roman" w:eastAsia="Times New Roman" w:hAnsi="Times New Roman"/>
          <w:sz w:val="20"/>
          <w:szCs w:val="20"/>
        </w:rPr>
        <w:t xml:space="preserve">FU, Michael y TANTITHAMTHAVORN, Chakkrit. LineVul: A Transformer-based Line-Level Vulnerability Prediction. En: Proceedings of MSR, 2022. [Consulta: 23 de julio de 2026] Disponible en: https://dl.acm.org/doi/10.1145/3524842.3528452</w:t>
      </w:r>
    </w:p>
  </w:footnote>
  <w:footnote w:id="41">
    <w:p>
      <w:pPr>
        <w:pStyle w:val="FootnoteText"/>
      </w:pPr>
      <w:r>
        <w:rPr>
          <w:rStyle w:val="FootnoteReference"/>
        </w:rPr>
        <w:footnoteRef/>
      </w:r>
      <w:r>
        <w:rPr>
          <w:rFonts w:ascii="Times New Roman" w:cs="Times New Roman" w:eastAsia="Times New Roman" w:hAnsi="Times New Roman"/>
          <w:sz w:val="20"/>
          <w:szCs w:val="20"/>
        </w:rPr>
        <w:t xml:space="preserve">FENG, Zhangyin, et al. CodeBERT: A Pre-Trained Model for Programming and Natural Languages. En: Findings of EMNLP, 2020. pp. 1536-1547. [Consulta: 23 de julio de 2026] Disponible en: https://arxiv.org/abs/2002.08155</w:t>
      </w:r>
    </w:p>
  </w:footnote>
  <w:footnote w:id="42">
    <w:p>
      <w:pPr>
        <w:pStyle w:val="FootnoteText"/>
      </w:pPr>
      <w:r>
        <w:rPr>
          <w:rStyle w:val="FootnoteReference"/>
        </w:rPr>
        <w:footnoteRef/>
      </w:r>
      <w:r>
        <w:rPr>
          <w:rFonts w:ascii="Times New Roman" w:cs="Times New Roman" w:eastAsia="Times New Roman" w:hAnsi="Times New Roman"/>
          <w:sz w:val="20"/>
          <w:szCs w:val="20"/>
        </w:rPr>
        <w:t xml:space="preserve">ATLIDAKIS, Vaggelis, et al. RESTler: Stateful REST API Fuzzing. En: Proceedings of ICSE, 2019. pp. 748-758. [Consulta: 23 de julio de 2026] Disponible en: https://dl.acm.org/doi/10.1109/ICSE.2019.00083</w:t>
      </w:r>
    </w:p>
  </w:footnote>
  <w:footnote w:id="43">
    <w:p>
      <w:pPr>
        <w:pStyle w:val="FootnoteText"/>
      </w:pPr>
      <w:r>
        <w:rPr>
          <w:rStyle w:val="FootnoteReference"/>
        </w:rPr>
        <w:footnoteRef/>
      </w:r>
      <w:r>
        <w:rPr>
          <w:rFonts w:ascii="Times New Roman" w:cs="Times New Roman" w:eastAsia="Times New Roman" w:hAnsi="Times New Roman"/>
          <w:sz w:val="20"/>
          <w:szCs w:val="20"/>
        </w:rPr>
        <w:t xml:space="preserve">VIGLIANISI, Emanuele, et al. RESTTESTGEN: Automated Black-Box Testing of RESTful APIs. En: Proceedings of IEEE ICST, 2020. pp. 367-377. [Consulta: 23 de julio de 2026] Disponible en: https://ieeexplore.ieee.org/document/9159077</w:t>
      </w:r>
    </w:p>
  </w:footnote>
  <w:footnote w:id="44">
    <w:p>
      <w:pPr>
        <w:pStyle w:val="FootnoteText"/>
      </w:pPr>
      <w:r>
        <w:rPr>
          <w:rStyle w:val="FootnoteReference"/>
        </w:rPr>
        <w:footnoteRef/>
      </w:r>
      <w:r>
        <w:rPr>
          <w:rFonts w:ascii="Times New Roman" w:cs="Times New Roman" w:eastAsia="Times New Roman" w:hAnsi="Times New Roman"/>
          <w:sz w:val="20"/>
          <w:szCs w:val="20"/>
        </w:rPr>
        <w:t xml:space="preserve">ATLIDAKIS, Vaggelis, et al. RESTler: Stateful REST API Fuzzing. En: Proceedings of ICSE, 2019. pp. 748-758. [Consulta: 23 de julio de 2026] Disponible en: https://dl.acm.org/doi/10.1109/ICSE.2019.00083</w:t>
      </w:r>
    </w:p>
  </w:footnote>
  <w:footnote w:id="45">
    <w:p>
      <w:pPr>
        <w:pStyle w:val="FootnoteText"/>
      </w:pPr>
      <w:r>
        <w:rPr>
          <w:rStyle w:val="FootnoteReference"/>
        </w:rPr>
        <w:footnoteRef/>
      </w:r>
      <w:r>
        <w:rPr>
          <w:rFonts w:ascii="Times New Roman" w:cs="Times New Roman" w:eastAsia="Times New Roman" w:hAnsi="Times New Roman"/>
          <w:sz w:val="20"/>
          <w:szCs w:val="20"/>
        </w:rPr>
        <w:t xml:space="preserve">VIGLIANISI, Emanuele, et al. RESTTESTGEN: Automated Black-Box Testing of RESTful APIs. En: Proceedings of IEEE ICST, 2020. pp. 367-377. [Consulta: 23 de julio de 2026] Disponible en: https://ieeexplore.ieee.org/document/9159077</w:t>
      </w:r>
    </w:p>
  </w:footnote>
  <w:footnote w:id="46">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47">
    <w:p>
      <w:pPr>
        <w:pStyle w:val="FootnoteText"/>
      </w:pPr>
      <w:r>
        <w:rPr>
          <w:rStyle w:val="FootnoteReference"/>
        </w:rPr>
        <w:footnoteRef/>
      </w:r>
      <w:r>
        <w:rPr>
          <w:rFonts w:ascii="Times New Roman" w:cs="Times New Roman" w:eastAsia="Times New Roman" w:hAnsi="Times New Roman"/>
          <w:sz w:val="20"/>
          <w:szCs w:val="20"/>
        </w:rPr>
        <w:t xml:space="preserve">ATLIDAKIS, Vaggelis, et al. RESTler: Stateful REST API Fuzzing. En: Proceedings of ICSE, 2019. pp. 748-758. [Consulta: 23 de julio de 2026] Disponible en: https://dl.acm.org/doi/10.1109/ICSE.2019.00083</w:t>
      </w:r>
    </w:p>
  </w:footnote>
  <w:footnote w:id="48">
    <w:p>
      <w:pPr>
        <w:pStyle w:val="FootnoteText"/>
      </w:pPr>
      <w:r>
        <w:rPr>
          <w:rStyle w:val="FootnoteReference"/>
        </w:rPr>
        <w:footnoteRef/>
      </w:r>
      <w:r>
        <w:rPr>
          <w:rFonts w:ascii="Times New Roman" w:cs="Times New Roman" w:eastAsia="Times New Roman" w:hAnsi="Times New Roman"/>
          <w:sz w:val="20"/>
          <w:szCs w:val="20"/>
        </w:rPr>
        <w:t xml:space="preserve">VASWANI, Ashish, et al. Attention Is All You Need. En: Advances in Neural Information Processing Systems, vol. 30, 2017. [Consulta: 23 de julio de 2026] Disponible en: https://arxiv.org/abs/1706.03762</w:t>
      </w:r>
    </w:p>
  </w:footnote>
  <w:footnote w:id="49">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50">
    <w:p>
      <w:pPr>
        <w:pStyle w:val="FootnoteText"/>
      </w:pPr>
      <w:r>
        <w:rPr>
          <w:rStyle w:val="FootnoteReference"/>
        </w:rPr>
        <w:footnoteRef/>
      </w:r>
      <w:r>
        <w:rPr>
          <w:rFonts w:ascii="Times New Roman" w:cs="Times New Roman" w:eastAsia="Times New Roman" w:hAnsi="Times New Roman"/>
          <w:sz w:val="20"/>
          <w:szCs w:val="20"/>
        </w:rPr>
        <w:t xml:space="preserve">JI, Ziwei, et al. Survey of Hallucination in Natural Language Generation. En: ACM Computing Surveys, vol. 55, núm. 12, art. 248, 2023. [Consulta: 23 de julio de 2026] Disponible en: https://arxiv.org/abs/2202.03629</w:t>
      </w:r>
    </w:p>
  </w:footnote>
  <w:footnote w:id="51">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52">
    <w:p>
      <w:pPr>
        <w:pStyle w:val="FootnoteText"/>
      </w:pPr>
      <w:r>
        <w:rPr>
          <w:rStyle w:val="FootnoteReference"/>
        </w:rPr>
        <w:footnoteRef/>
      </w:r>
      <w:r>
        <w:rPr>
          <w:rFonts w:ascii="Times New Roman" w:cs="Times New Roman" w:eastAsia="Times New Roman" w:hAnsi="Times New Roman"/>
          <w:sz w:val="20"/>
          <w:szCs w:val="20"/>
        </w:rPr>
        <w:t xml:space="preserve">DEVLIN, Jacob, et al. BERT: Pre-training of Deep Bidirectional Transformers for Language Understanding. En: Proceedings of NAACL-HLT, 2019. pp. 4171-4186. [Consulta: 23 de julio de 2026] Disponible en: https://arxiv.org/abs/1810.04805</w:t>
      </w:r>
    </w:p>
  </w:footnote>
  <w:footnote w:id="53">
    <w:p>
      <w:pPr>
        <w:pStyle w:val="FootnoteText"/>
      </w:pPr>
      <w:r>
        <w:rPr>
          <w:rStyle w:val="FootnoteReference"/>
        </w:rPr>
        <w:footnoteRef/>
      </w:r>
      <w:r>
        <w:rPr>
          <w:rFonts w:ascii="Times New Roman" w:cs="Times New Roman" w:eastAsia="Times New Roman" w:hAnsi="Times New Roman"/>
          <w:sz w:val="20"/>
          <w:szCs w:val="20"/>
        </w:rPr>
        <w:t xml:space="preserve">BROWN, Tom, et al. Language Models are Few-Shot Learners. En: Advances in Neural Information Processing Systems, vol. 33, 2020. pp. 1877-1901. [Consulta: 23 de julio de 2026] Disponible en: https://arxiv.org/abs/2005.14165</w:t>
      </w:r>
    </w:p>
  </w:footnote>
  <w:footnote w:id="54">
    <w:p>
      <w:pPr>
        <w:pStyle w:val="FootnoteText"/>
      </w:pPr>
      <w:r>
        <w:rPr>
          <w:rStyle w:val="FootnoteReference"/>
        </w:rPr>
        <w:footnoteRef/>
      </w:r>
      <w:r>
        <w:rPr>
          <w:rFonts w:ascii="Times New Roman" w:cs="Times New Roman" w:eastAsia="Times New Roman" w:hAnsi="Times New Roman"/>
          <w:sz w:val="20"/>
          <w:szCs w:val="20"/>
        </w:rPr>
        <w:t xml:space="preserve">JIANG, Albert Q., et al. Mistral 7B. arXiv:2310.06825 [en línea] 2023. [Consulta: 23 de julio de 2026] Disponible en: https://arxiv.org/abs/2310.06825</w:t>
      </w:r>
    </w:p>
  </w:footnote>
  <w:footnote w:id="55">
    <w:p>
      <w:pPr>
        <w:pStyle w:val="FootnoteText"/>
      </w:pPr>
      <w:r>
        <w:rPr>
          <w:rStyle w:val="FootnoteReference"/>
        </w:rPr>
        <w:footnoteRef/>
      </w:r>
      <w:r>
        <w:rPr>
          <w:rFonts w:ascii="Times New Roman" w:cs="Times New Roman" w:eastAsia="Times New Roman" w:hAnsi="Times New Roman"/>
          <w:sz w:val="20"/>
          <w:szCs w:val="20"/>
        </w:rPr>
        <w:t xml:space="preserve">JIANG, Albert Q., et al. Mistral 7B. arXiv:2310.06825 [en línea] 2023. [Consulta: 23 de julio de 2026] Disponible en: https://arxiv.org/abs/2310.06825</w:t>
      </w:r>
    </w:p>
  </w:footnote>
  <w:footnote w:id="56">
    <w:p>
      <w:pPr>
        <w:pStyle w:val="FootnoteText"/>
      </w:pPr>
      <w:r>
        <w:rPr>
          <w:rStyle w:val="FootnoteReference"/>
        </w:rPr>
        <w:footnoteRef/>
      </w:r>
      <w:r>
        <w:rPr>
          <w:rFonts w:ascii="Times New Roman" w:cs="Times New Roman" w:eastAsia="Times New Roman" w:hAnsi="Times New Roman"/>
          <w:sz w:val="20"/>
          <w:szCs w:val="20"/>
        </w:rPr>
        <w:t xml:space="preserve">TOUVRON, Hugo, et al. Llama 2: Open Foundation and Fine-Tuned Chat Models. arXiv:2307.09288 [en línea] 2023. [Consulta: 23 de julio de 2026] Disponible en: https://arxiv.org/abs/2307.09288</w:t>
      </w:r>
    </w:p>
  </w:footnote>
  <w:footnote w:id="57">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58">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59">
    <w:p>
      <w:pPr>
        <w:pStyle w:val="FootnoteText"/>
      </w:pPr>
      <w:r>
        <w:rPr>
          <w:rStyle w:val="FootnoteReference"/>
        </w:rPr>
        <w:footnoteRef/>
      </w:r>
      <w:r>
        <w:rPr>
          <w:rFonts w:ascii="Times New Roman" w:cs="Times New Roman" w:eastAsia="Times New Roman" w:hAnsi="Times New Roman"/>
          <w:sz w:val="20"/>
          <w:szCs w:val="20"/>
        </w:rPr>
        <w:t xml:space="preserve">GAO, Yunfan, et al. Retrieval-Augmented Generation for Large Language Models: A Survey. arXiv:2312.10997 [en línea] 2023. [Consulta: 23 de julio de 2026] Disponible en: https://arxiv.org/abs/2312.10997</w:t>
      </w:r>
    </w:p>
  </w:footnote>
  <w:footnote w:id="60">
    <w:p>
      <w:pPr>
        <w:pStyle w:val="FootnoteText"/>
      </w:pPr>
      <w:r>
        <w:rPr>
          <w:rStyle w:val="FootnoteReference"/>
        </w:rPr>
        <w:footnoteRef/>
      </w:r>
      <w:r>
        <w:rPr>
          <w:rFonts w:ascii="Times New Roman" w:cs="Times New Roman" w:eastAsia="Times New Roman" w:hAnsi="Times New Roman"/>
          <w:sz w:val="20"/>
          <w:szCs w:val="20"/>
        </w:rPr>
        <w:t xml:space="preserve">BORGEAUD, Sebastian, et al. Improving Language Models by Retrieving from Trillions of Tokens. En: Proceedings of ICML, 2022. [Consulta: 23 de julio de 2026] Disponible en: https://arxiv.org/abs/2112.04426</w:t>
      </w:r>
    </w:p>
  </w:footnote>
  <w:footnote w:id="61">
    <w:p>
      <w:pPr>
        <w:pStyle w:val="FootnoteText"/>
      </w:pPr>
      <w:r>
        <w:rPr>
          <w:rStyle w:val="FootnoteReference"/>
        </w:rPr>
        <w:footnoteRef/>
      </w:r>
      <w:r>
        <w:rPr>
          <w:rFonts w:ascii="Times New Roman" w:cs="Times New Roman" w:eastAsia="Times New Roman" w:hAnsi="Times New Roman"/>
          <w:sz w:val="20"/>
          <w:szCs w:val="20"/>
        </w:rPr>
        <w:t xml:space="preserve">MIKOLOV, Tomáš, et al. Efficient Estimation of Word Representations in Vector Space. arXiv:1301.3781 [en línea] 2013. [Consulta: 23 de julio de 2026] Disponible en: https://arxiv.org/abs/1301.3781</w:t>
      </w:r>
    </w:p>
  </w:footnote>
  <w:footnote w:id="62">
    <w:p>
      <w:pPr>
        <w:pStyle w:val="FootnoteText"/>
      </w:pPr>
      <w:r>
        <w:rPr>
          <w:rStyle w:val="FootnoteReference"/>
        </w:rPr>
        <w:footnoteRef/>
      </w:r>
      <w:r>
        <w:rPr>
          <w:rFonts w:ascii="Times New Roman" w:cs="Times New Roman" w:eastAsia="Times New Roman" w:hAnsi="Times New Roman"/>
          <w:sz w:val="20"/>
          <w:szCs w:val="20"/>
        </w:rPr>
        <w:t xml:space="preserve">REIMERS, Nils y GUREVYCH, Iryna. Sentence-BERT: Sentence Embeddings using Siamese BERT-Networks. En: Proceedings of EMNLP, 2019. pp. 3982-3992. [Consulta: 23 de julio de 2026] Disponible en: https://arxiv.org/abs/1908.10084</w:t>
      </w:r>
    </w:p>
  </w:footnote>
  <w:footnote w:id="63">
    <w:p>
      <w:pPr>
        <w:pStyle w:val="FootnoteText"/>
      </w:pPr>
      <w:r>
        <w:rPr>
          <w:rStyle w:val="FootnoteReference"/>
        </w:rPr>
        <w:footnoteRef/>
      </w:r>
      <w:r>
        <w:rPr>
          <w:rFonts w:ascii="Times New Roman" w:cs="Times New Roman" w:eastAsia="Times New Roman" w:hAnsi="Times New Roman"/>
          <w:sz w:val="20"/>
          <w:szCs w:val="20"/>
        </w:rPr>
        <w:t xml:space="preserve">KARPUKHIN, Vladimir, et al. Dense Passage Retrieval for Open-Domain Question Answering. En: Proceedings of EMNLP, 2020. pp. 6769-6781. [Consulta: 23 de julio de 2026] Disponible en: https://arxiv.org/abs/2004.04906</w:t>
      </w:r>
    </w:p>
  </w:footnote>
  <w:footnote w:id="64">
    <w:p>
      <w:pPr>
        <w:pStyle w:val="FootnoteText"/>
      </w:pPr>
      <w:r>
        <w:rPr>
          <w:rStyle w:val="FootnoteReference"/>
        </w:rPr>
        <w:footnoteRef/>
      </w:r>
      <w:r>
        <w:rPr>
          <w:rFonts w:ascii="Times New Roman" w:cs="Times New Roman" w:eastAsia="Times New Roman" w:hAnsi="Times New Roman"/>
          <w:sz w:val="20"/>
          <w:szCs w:val="20"/>
        </w:rPr>
        <w:t xml:space="preserve">JOHNSON, Jeff, et al. Billion-scale similarity search with GPUs. En: IEEE Transactions on Big Data, vol. 7, núm. 3, 2021. pp. 535-547. [Consulta: 23 de julio de 2026] Disponible en: https://arxiv.org/abs/1702.08734</w:t>
      </w:r>
    </w:p>
  </w:footnote>
  <w:footnote w:id="65">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66">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67">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68">
    <w:p>
      <w:pPr>
        <w:pStyle w:val="FootnoteText"/>
      </w:pPr>
      <w:r>
        <w:rPr>
          <w:rStyle w:val="FootnoteReference"/>
        </w:rPr>
        <w:footnoteRef/>
      </w:r>
      <w:r>
        <w:rPr>
          <w:rFonts w:ascii="Times New Roman" w:cs="Times New Roman" w:eastAsia="Times New Roman" w:hAnsi="Times New Roman"/>
          <w:sz w:val="20"/>
          <w:szCs w:val="20"/>
        </w:rPr>
        <w:t xml:space="preserve">CHESS, Brian y McGRAW, Gary. Static Analysis for Security. En: IEEE Security &amp; Privacy, vol. 2, núm. 6, 2004. pp. 76-79. [Consulta: 23 de julio de 2026] Disponible en: https://ieeexplore.ieee.org/document/1366126</w:t>
      </w:r>
    </w:p>
  </w:footnote>
  <w:footnote w:id="69">
    <w:p>
      <w:pPr>
        <w:pStyle w:val="FootnoteText"/>
      </w:pPr>
      <w:r>
        <w:rPr>
          <w:rStyle w:val="FootnoteReference"/>
        </w:rPr>
        <w:footnoteRef/>
      </w:r>
      <w:r>
        <w:rPr>
          <w:rFonts w:ascii="Times New Roman" w:cs="Times New Roman" w:eastAsia="Times New Roman" w:hAnsi="Times New Roman"/>
          <w:sz w:val="20"/>
          <w:szCs w:val="20"/>
        </w:rPr>
        <w:t xml:space="preserve">FAWCETT, Tom. An Introduction to ROC Analysis. En: Pattern Recognition Letters, vol. 27, núm. 8, 2006. pp. 861-874. [Consulta: 23 de julio de 2026] Disponible en: https://doi.org/10.1016/j.patrec.2005.10.010</w:t>
      </w:r>
    </w:p>
  </w:footnote>
  <w:footnote w:id="70">
    <w:p>
      <w:pPr>
        <w:pStyle w:val="FootnoteText"/>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S&amp;P, 2023. pp. 2339-2356. [Consulta: 23 de julio de 2026] Disponible en: https://arxiv.org/abs/2112.02125</w:t>
      </w:r>
    </w:p>
  </w:footnote>
  <w:footnote w:id="71">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 w:id="72">
    <w:p>
      <w:pPr>
        <w:pStyle w:val="FootnoteText"/>
      </w:pPr>
      <w:r>
        <w:rPr>
          <w:rStyle w:val="FootnoteReference"/>
        </w:rPr>
        <w:footnoteRef/>
      </w:r>
      <w:r>
        <w:rPr>
          <w:rFonts w:ascii="Times New Roman" w:cs="Times New Roman" w:eastAsia="Times New Roman" w:hAnsi="Times New Roman"/>
          <w:sz w:val="20"/>
          <w:szCs w:val="20"/>
        </w:rPr>
        <w:t xml:space="preserve">FAWCETT, Tom. An Introduction to ROC Analysis. En: Pattern Recognition Letters, vol. 27, núm. 8, 2006. pp. 861-874. [Consulta: 23 de julio de 2026] Disponible en: https://doi.org/10.1016/j.patrec.2005.10.010</w:t>
      </w:r>
    </w:p>
  </w:footnote>
  <w:footnote w:id="73">
    <w:p>
      <w:pPr>
        <w:pStyle w:val="FootnoteText"/>
      </w:pPr>
      <w:r>
        <w:rPr>
          <w:rStyle w:val="FootnoteReference"/>
        </w:rPr>
        <w:footnoteRef/>
      </w:r>
      <w:r>
        <w:rPr>
          <w:rFonts w:ascii="Times New Roman" w:cs="Times New Roman" w:eastAsia="Times New Roman" w:hAnsi="Times New Roman"/>
          <w:sz w:val="20"/>
          <w:szCs w:val="20"/>
        </w:rPr>
        <w:t xml:space="preserve">KARPUKHIN, Vladimir, et al. Dense Passage Retrieval for Open-Domain Question Answering. En: Proceedings of EMNLP, 2020. pp. 6769-6781. [Consulta: 23 de julio de 2026] Disponible en: https://arxiv.org/abs/2004.04906</w:t>
      </w:r>
    </w:p>
  </w:footnote>
  <w:footnote w:id="74">
    <w:p>
      <w:pPr>
        <w:pStyle w:val="FootnoteText"/>
      </w:pPr>
      <w:r>
        <w:rPr>
          <w:rStyle w:val="FootnoteReference"/>
        </w:rPr>
        <w:footnoteRef/>
      </w:r>
      <w:r>
        <w:rPr>
          <w:rFonts w:ascii="Times New Roman" w:cs="Times New Roman" w:eastAsia="Times New Roman" w:hAnsi="Times New Roman"/>
          <w:sz w:val="20"/>
          <w:szCs w:val="20"/>
        </w:rPr>
        <w:t xml:space="preserve">REIMERS, Nils y GUREVYCH, Iryna. Sentence-BERT: Sentence Embeddings using Siamese BERT-Networks. En: Proceedings of EMNLP, 2019. pp. 3982-3992. [Consulta: 23 de julio de 2026] Disponible en: https://arxiv.org/abs/1908.10084</w:t>
      </w:r>
    </w:p>
  </w:footnote>
  <w:footnote w:id="75">
    <w:p>
      <w:pPr>
        <w:pStyle w:val="FootnoteText"/>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 [Consulta: 23 de julio de 2026] Disponible en: https://arxiv.org/abs/2005.11401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44308656f17e9b54bf7d77dc496e1fd4a71a83.png"/><Relationship Id="rId9" Type="http://schemas.openxmlformats.org/officeDocument/2006/relationships/image" Target="media/6f415355a9fbabe92aee036f39453fa590d4cafe.png"/><Relationship Id="rId10" Type="http://schemas.openxmlformats.org/officeDocument/2006/relationships/image" Target="media/5544051117addbde45f67d69b0685b577d4cbe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2026-07-28T00:10:36.000Z</dcterms:created>
  <dcterms:modified xsi:type="dcterms:W3CDTF">2026-07-28T00:10:36.005Z</dcterms:modified>
</cp:coreProperties>
</file>

<file path=docProps/custom.xml><?xml version="1.0" encoding="utf-8"?>
<Properties xmlns="http://schemas.openxmlformats.org/officeDocument/2006/custom-properties" xmlns:vt="http://schemas.openxmlformats.org/officeDocument/2006/docPropsVTypes"/>
</file>