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EB Garamond" w:cs="EB Garamond" w:eastAsia="EB Garamond" w:hAnsi="EB Garamond"/>
          <w:i w:val="1"/>
          <w:iCs w:val="1"/>
          <w:sz w:val="32"/>
          <w:szCs w:val="32"/>
        </w:rPr>
      </w:pPr>
      <w:r w:rsidDel="00000000" w:rsidR="00000000" w:rsidRPr="00000000">
        <w:rPr>
          <w:rFonts w:ascii="EB Garamond" w:cs="EB Garamond" w:eastAsia="EB Garamond" w:hAnsi="EB Garamond"/>
          <w:b w:val="1"/>
          <w:bCs w:val="1"/>
          <w:sz w:val="32"/>
          <w:szCs w:val="32"/>
          <w:rtl w:val="0"/>
        </w:rPr>
        <w:t xml:space="preserve">Thesis title: </w:t>
      </w:r>
      <w:r w:rsidDel="00000000" w:rsidR="00000000" w:rsidRPr="00000000">
        <w:rPr>
          <w:rFonts w:ascii="EB Garamond" w:cs="EB Garamond" w:eastAsia="EB Garamond" w:hAnsi="EB Garamond"/>
          <w:i w:val="1"/>
          <w:iCs w:val="1"/>
          <w:sz w:val="32"/>
          <w:szCs w:val="32"/>
          <w:rtl w:val="0"/>
        </w:rPr>
        <w:t xml:space="preserve">AI-Assisted Early Risk Detection of Depression and Anxiety in University Students During Job Search Using Social, Behavioral, and Self-Report Signals</w:t>
      </w:r>
    </w:p>
    <w:p w:rsidR="00000000" w:rsidDel="00000000" w:rsidP="00000000" w:rsidRDefault="00000000" w:rsidRPr="00000000" w14:paraId="00000002">
      <w:pPr>
        <w:spacing w:after="240" w:before="240" w:lineRule="auto"/>
        <w:rPr>
          <w:rFonts w:ascii="EB Garamond" w:cs="EB Garamond" w:eastAsia="EB Garamond" w:hAnsi="EB Garamond"/>
          <w:b w:val="1"/>
          <w:bCs w:val="1"/>
          <w:sz w:val="32"/>
          <w:szCs w:val="32"/>
        </w:rPr>
      </w:pPr>
      <w:r w:rsidDel="00000000" w:rsidR="00000000" w:rsidRPr="00000000">
        <w:rPr>
          <w:rtl w:val="0"/>
        </w:rPr>
      </w:r>
    </w:p>
    <w:p w:rsidR="00000000" w:rsidDel="00000000" w:rsidP="00000000" w:rsidRDefault="00000000" w:rsidRPr="00000000" w14:paraId="00000003">
      <w:pPr>
        <w:spacing w:after="240" w:before="240" w:lineRule="auto"/>
        <w:rPr>
          <w:rFonts w:ascii="EB Garamond" w:cs="EB Garamond" w:eastAsia="EB Garamond" w:hAnsi="EB Garamond"/>
          <w:b w:val="1"/>
          <w:bCs w:val="1"/>
          <w:sz w:val="32"/>
          <w:szCs w:val="32"/>
        </w:rPr>
      </w:pPr>
      <w:r w:rsidDel="00000000" w:rsidR="00000000" w:rsidRPr="00000000">
        <w:rPr>
          <w:rFonts w:ascii="EB Garamond" w:cs="EB Garamond" w:eastAsia="EB Garamond" w:hAnsi="EB Garamond"/>
          <w:b w:val="1"/>
          <w:bCs w:val="1"/>
          <w:sz w:val="32"/>
          <w:szCs w:val="32"/>
          <w:rtl w:val="0"/>
        </w:rPr>
        <w:t xml:space="preserve">1. Introduction</w:t>
      </w:r>
    </w:p>
    <w:p w:rsidR="00000000" w:rsidDel="00000000" w:rsidP="00000000" w:rsidRDefault="00000000" w:rsidRPr="00000000" w14:paraId="00000004">
      <w:pPr>
        <w:spacing w:after="240" w:before="240" w:lineRule="auto"/>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1.1 Background and Context</w:t>
      </w:r>
    </w:p>
    <w:p w:rsidR="00000000" w:rsidDel="00000000" w:rsidP="00000000" w:rsidRDefault="00000000" w:rsidRPr="00000000" w14:paraId="00000005">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transition from academic environments to professional employment constitutes a period of significant psychological vulnerability for university students [REF]. Evidence indicates that university students in the school-to-work transition encounter distinct challenges compared to mature workers, particularly regarding the development of an occupational identity [REF]. This phase frequently generates elevated levels of psychological strain due to the inherent uncertainty of labor market entry [REF]. The anticipation of potential failure acts as a primary stressor, often producing distress levels comparable to the actual experience of joblessness [REF]. Such strain derives from the deprivation of specific benefits, including financial rewards and intangible factors like daily routines or social interaction networks [REF].</w:t>
      </w:r>
    </w:p>
    <w:p w:rsidR="00000000" w:rsidDel="00000000" w:rsidP="00000000" w:rsidRDefault="00000000" w:rsidRPr="00000000" w14:paraId="00000006">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Standard screening methods typically rely on isolated psychometric instruments to evaluate symptom severity [REF]. However, comprehensive risk identification requires the integration of multiple data streams to capture the complexity of a student's current risk state [REF]. Behavioral indicators, such as the intensity of job-seeking activities, associate with fluctuations in psychological well-being [REF]. High search effort often correlates with decreased mental health during the unemployment period because the process involves frequent rejection [REF]. External resources, specifically perceived social support from family and friends, function as essential buffers against the onset of clinical anxiety and depression [REF]. Combining these diverse signals into a unified computational framework enables the identification of patterns that often elude human observation [REF].</w:t>
      </w:r>
    </w:p>
    <w:p w:rsidR="00000000" w:rsidDel="00000000" w:rsidP="00000000" w:rsidRDefault="00000000" w:rsidRPr="00000000" w14:paraId="00000007">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Within a software engineering context, this research focuses on the design of a reproducible and modular prediction pipeline [REF]. The proposed system utilizes supervised machine learning baselines to process integrated feature sets encompassing social, behavioral, and psychometric signals [REF]. This computational approach functions strictly as an early indication system rather than a clinical diagnostic tool [REF]. By providing interpretable risk indications through explainability mechanisms, the framework serves as a decision-support signal for non-clinical interventions [REF]. This modular architecture ensures the evaluation rigor and deployment feasibility necessary for integration into academic support environments [REF]. Such automated systems offer a cost-effective method to provide personalized support to student populations during high-stress career transitions [REF].</w:t>
      </w:r>
    </w:p>
    <w:p w:rsidR="00000000" w:rsidDel="00000000" w:rsidP="00000000" w:rsidRDefault="00000000" w:rsidRPr="00000000" w14:paraId="00000008">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9">
      <w:pPr>
        <w:spacing w:after="240" w:before="240" w:lineRule="auto"/>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1.2 Problem Statement</w:t>
      </w:r>
    </w:p>
    <w:p w:rsidR="00000000" w:rsidDel="00000000" w:rsidP="00000000" w:rsidRDefault="00000000" w:rsidRPr="00000000" w14:paraId="0000000A">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transition from higher education to professional employment exposes students to heightened psychological strain derived from persistent labor market uncertainty [REF]. While standardized screening tools like the GAD-7 quantify symptom severity, these isolated measures fail to capture the behavioral nuances inherent in the job-search process [REF]. Current computational methods exhibit several technical deficiencies, primarily the reliance on single-source data streams that ignore the buffering effects of perceived social support [REF]. Most existing models function as opaque architectures, prioritizing raw classification performance while omitting the explainability necessary for non-clinical intervention [REF]. Additionally, reporting inconsistencies regarding model development and internal validation prevent the cross-cohort reproducibility required for stable deployment [REF]. Failure to integrate current search indicators, such as intensity and strategy, prevents the identification of distress trajectories before symptoms escalate [REF]. This delayed identification of psychological vulnerability often results in exacerbated functional impairment and increased disability days during the school-to-work transition [REF]. Technically, the lack of an integrated pipeline combining psychometric, social, and behavioral signals limits the predictive depth of early indication systems [REF]. Current risk detection methodologies also suffer from significant class imbalances, which systematically distort performance estimates [REF]. Consequently, academic institutions remain unable to provide targeted, data-informed support for students at high risk of anxiety or depression [REF].</w:t>
      </w:r>
    </w:p>
    <w:p w:rsidR="00000000" w:rsidDel="00000000" w:rsidP="00000000" w:rsidRDefault="00000000" w:rsidRPr="00000000" w14:paraId="0000000B">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C">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D">
      <w:pPr>
        <w:spacing w:after="240" w:before="240" w:lineRule="auto"/>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1.3 Research Gap</w:t>
      </w:r>
    </w:p>
    <w:p w:rsidR="00000000" w:rsidDel="00000000" w:rsidP="00000000" w:rsidRDefault="00000000" w:rsidRPr="00000000" w14:paraId="0000000E">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Prior investigations demonstrate significant deficiencies in the integration of diverse signals for mental health screening [REF]. Models often rely on isolated data sources [REF]. This neglect of social support buffering effects during high-stress transitions limits predictive depth [REF]. While depression and anxiety co-occur frequently, joint risk classification pipelines designed for student-specific job-search contexts remain scarce [REF]. Technical limitations include the opaque nature of supervised learning architectures, which omit interpretability mechanisms necessary for ethical decision support [REF]. Moreover, the lack of standardized operationalizations for behavioral variables, such as search intensity or strategy, results in inconsistent evidence regarding their psychological associations [REF]. Most studies function as limited proofs-of-concept [REF]. They often fail to adhere to reproducible reporting guidelines like TRIPOD [REF]. Shortcomings in documenting participant selection and missing data handling frequently lead to systematically distorted estimates of model performance [REF]. Significant class imbalances in existing datasets further complicate the identification of high-risk minority groups [REF]. Consequently, a gap exists for a modular framework that combines psychometric, social, and behavioral indicators into an interpretable indication system [REF]. Addressing these deficiencies is essential to provide academic institutions with the evaluation rigor required for deployment in student support environments [REF].</w:t>
      </w:r>
    </w:p>
    <w:p w:rsidR="00000000" w:rsidDel="00000000" w:rsidP="00000000" w:rsidRDefault="00000000" w:rsidRPr="00000000" w14:paraId="0000000F">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10">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11">
      <w:pPr>
        <w:spacing w:after="240" w:before="240" w:lineRule="auto"/>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1.4 Research Objectives</w:t>
      </w:r>
    </w:p>
    <w:p w:rsidR="00000000" w:rsidDel="00000000" w:rsidP="00000000" w:rsidRDefault="00000000" w:rsidRPr="00000000" w14:paraId="00000012">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general objective is to design and evaluate a reproducible multi-source computational framework for early risk indication of depression and anxiety among university students during the school-to-work transition [REF].</w:t>
      </w:r>
    </w:p>
    <w:p w:rsidR="00000000" w:rsidDel="00000000" w:rsidP="00000000" w:rsidRDefault="00000000" w:rsidRPr="00000000" w14:paraId="00000013">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Specific objectives are:</w:t>
      </w:r>
    </w:p>
    <w:p w:rsidR="00000000" w:rsidDel="00000000" w:rsidP="00000000" w:rsidRDefault="00000000" w:rsidRPr="00000000" w14:paraId="00000014">
      <w:pPr>
        <w:numPr>
          <w:ilvl w:val="0"/>
          <w:numId w:val="2"/>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To construct an integrated feature space combining standardized self-report measures (PHQ-9, GAD-7, MSPSS) with quantified job-search behavioral indicators [REF].</w:t>
      </w:r>
    </w:p>
    <w:p w:rsidR="00000000" w:rsidDel="00000000" w:rsidP="00000000" w:rsidRDefault="00000000" w:rsidRPr="00000000" w14:paraId="00000015">
      <w:pPr>
        <w:numPr>
          <w:ilvl w:val="0"/>
          <w:numId w:val="2"/>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To develop and compare supervised learning baselines for joint depression–anxiety risk classification in student cohorts [REF].</w:t>
      </w:r>
    </w:p>
    <w:p w:rsidR="00000000" w:rsidDel="00000000" w:rsidP="00000000" w:rsidRDefault="00000000" w:rsidRPr="00000000" w14:paraId="00000016">
      <w:pPr>
        <w:numPr>
          <w:ilvl w:val="0"/>
          <w:numId w:val="2"/>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To apply explainability methods (e.g., SHAP) to generate feature-level interpretations for non-clinical decision support [REF].</w:t>
      </w:r>
    </w:p>
    <w:p w:rsidR="00000000" w:rsidDel="00000000" w:rsidP="00000000" w:rsidRDefault="00000000" w:rsidRPr="00000000" w14:paraId="00000017">
      <w:pPr>
        <w:numPr>
          <w:ilvl w:val="0"/>
          <w:numId w:val="2"/>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To operationalize key behavioral variables (e.g., search intensity, planfulness, rejection load) using consistent measurement definitions [REF].</w:t>
      </w:r>
    </w:p>
    <w:p w:rsidR="00000000" w:rsidDel="00000000" w:rsidP="00000000" w:rsidRDefault="00000000" w:rsidRPr="00000000" w14:paraId="00000018">
      <w:pPr>
        <w:numPr>
          <w:ilvl w:val="0"/>
          <w:numId w:val="2"/>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To implement a reproducible evaluation and reporting workflow using stratified validation, class-imbalance-aware analysis, and TRIPOD-aligned documentation [REF].</w:t>
      </w:r>
    </w:p>
    <w:p w:rsidR="00000000" w:rsidDel="00000000" w:rsidP="00000000" w:rsidRDefault="00000000" w:rsidRPr="00000000" w14:paraId="00000019">
      <w:pPr>
        <w:spacing w:after="240" w:before="240" w:lineRule="auto"/>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1.5 Research Questions</w:t>
      </w:r>
    </w:p>
    <w:p w:rsidR="00000000" w:rsidDel="00000000" w:rsidP="00000000" w:rsidRDefault="00000000" w:rsidRPr="00000000" w14:paraId="0000001A">
      <w:pPr>
        <w:numPr>
          <w:ilvl w:val="0"/>
          <w:numId w:val="1"/>
        </w:numPr>
        <w:spacing w:after="0" w:afterAutospacing="0" w:befor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Does integrating self-report, job-search behavioral, and perceived social support signals improve joint depression–anxiety risk classification performance compared with single-source feature settings? [REF]</w:t>
      </w:r>
    </w:p>
    <w:p w:rsidR="00000000" w:rsidDel="00000000" w:rsidP="00000000" w:rsidRDefault="00000000" w:rsidRPr="00000000" w14:paraId="0000001B">
      <w:pPr>
        <w:numPr>
          <w:ilvl w:val="0"/>
          <w:numId w:val="1"/>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Which features contribute most to model predictions, according to explainability analysis (e.g., SHAP), in student job-search risk screening? [REF]</w:t>
      </w:r>
    </w:p>
    <w:p w:rsidR="00000000" w:rsidDel="00000000" w:rsidP="00000000" w:rsidRDefault="00000000" w:rsidRPr="00000000" w14:paraId="0000001C">
      <w:pPr>
        <w:numPr>
          <w:ilvl w:val="0"/>
          <w:numId w:val="1"/>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How do supervised baseline models compare in macro-F1 and class-wise performance under stratified evaluation settings? [REF]</w:t>
      </w:r>
    </w:p>
    <w:p w:rsidR="00000000" w:rsidDel="00000000" w:rsidP="00000000" w:rsidRDefault="00000000" w:rsidRPr="00000000" w14:paraId="0000001D">
      <w:pPr>
        <w:numPr>
          <w:ilvl w:val="0"/>
          <w:numId w:val="1"/>
        </w:numPr>
        <w:spacing w:after="0" w:afterAutospacing="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How does consistent operationalization of behavioral variables affect model stability across student subgroups or cohorts? [REF]</w:t>
      </w:r>
    </w:p>
    <w:p w:rsidR="00000000" w:rsidDel="00000000" w:rsidP="00000000" w:rsidRDefault="00000000" w:rsidRPr="00000000" w14:paraId="0000001E">
      <w:pPr>
        <w:numPr>
          <w:ilvl w:val="0"/>
          <w:numId w:val="1"/>
        </w:numPr>
        <w:spacing w:after="240" w:before="0" w:beforeAutospacing="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To what extent does a TRIPOD-aligned reporting workflow improve reproducibility and transparency of model development and evaluation? [REF]</w:t>
      </w:r>
    </w:p>
    <w:p w:rsidR="00000000" w:rsidDel="00000000" w:rsidP="00000000" w:rsidRDefault="00000000" w:rsidRPr="00000000" w14:paraId="0000001F">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0">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1">
      <w:pPr>
        <w:spacing w:after="240" w:before="240" w:lineRule="auto"/>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1.6 Scope of the Study</w:t>
      </w:r>
    </w:p>
    <w:p w:rsidR="00000000" w:rsidDel="00000000" w:rsidP="00000000" w:rsidRDefault="00000000" w:rsidRPr="00000000" w14:paraId="00000022">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population scope targets university students navigating the transition from higher education to professional employment [REF]. This research focuses on university students in the school-to-work transition experiencing psychological strain associated with labor market uncertainty [REF]. Variable scope incorporates a multi-source feature framework combining standardized self-report scores from the PHQ-9, GAD-7, and MSPSS with digital behavioral indicators [REF], [REF], [REF]. Specifically, behavioral signals include quantified metrics of job-search intensity and planfulness [REF]. Modeling scope restricts to the development of supervised machine learning baselines for classifying anxiety and depression risk categories [REF]. This framework integrates model-agnostic explainability mechanisms to provide interpretable evidence for non-clinical support decisions [REF]. Evaluation scope utilizes macro-F1, sensitivity, and specificity metrics to assess predictive performance across stratified data splits [REF]. The technical architecture follows the Transparent Reporting of a multivariable prediction model for Individual Prognosis or Diagnosis (TRIPOD) guidelines to ensure experimental reproducibility [REF].</w:t>
      </w:r>
    </w:p>
    <w:p w:rsidR="00000000" w:rsidDel="00000000" w:rsidP="00000000" w:rsidRDefault="00000000" w:rsidRPr="00000000" w14:paraId="00000023">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study functions strictly as an early indication system and decision-support signal [REF]. It excludes clinical diagnostic procedures, therapeutic interventions, and clinical-chatbot safety assessments [REF]. Modalities requiring specialized hardware, such as neuroimaging or physiological sensors, remain outside this technical scope [REF]. Finally, the research omits causal inference claims, focusing instead on establishing predictive associations between integrated signals and current risk states [REF].</w:t>
      </w:r>
    </w:p>
    <w:p w:rsidR="00000000" w:rsidDel="00000000" w:rsidP="00000000" w:rsidRDefault="00000000" w:rsidRPr="00000000" w14:paraId="00000024">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5">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6">
      <w:pPr>
        <w:spacing w:after="240" w:before="240" w:lineRule="auto"/>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1.7 Chapter Summary</w:t>
      </w:r>
    </w:p>
    <w:p w:rsidR="00000000" w:rsidDel="00000000" w:rsidP="00000000" w:rsidRDefault="00000000" w:rsidRPr="00000000" w14:paraId="00000027">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initial chapter established the psychological strain characterizing the transition from academic environments to professional employment [REF]. It identified technical deficiencies in existing screening methodologies, specifically the absence of multimodal integration for early indication of depression and anxiety risk states [REF]. The defined research objectives focus on designing a modular computational pipeline incorporating psychometric, social, and behavioral features [REF]. The subsequent chapter provides a thematic synthesis of empirical evidence regarding labor market transitions and mental health outcomes [REF]. It examines methodological contradictions in prior studies to map existing evidence to the proposed technical framework [REF]. This theoretical foundation facilitates the systematic development of the reproducible evaluation protocols required for stable non-clinical decision support [REF].</w:t>
      </w:r>
    </w:p>
    <w:p w:rsidR="00000000" w:rsidDel="00000000" w:rsidP="00000000" w:rsidRDefault="00000000" w:rsidRPr="00000000" w14:paraId="00000028">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9">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A">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B">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C">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D">
      <w:pPr>
        <w:spacing w:after="240" w:before="240" w:lineRule="auto"/>
        <w:rPr>
          <w:rFonts w:ascii="EB Garamond" w:cs="EB Garamond" w:eastAsia="EB Garamond" w:hAnsi="EB Garamond"/>
          <w:b w:val="1"/>
          <w:bCs w:val="1"/>
          <w:sz w:val="32"/>
          <w:szCs w:val="32"/>
        </w:rPr>
      </w:pPr>
      <w:r w:rsidDel="00000000" w:rsidR="00000000" w:rsidRPr="00000000">
        <w:rPr>
          <w:rtl w:val="0"/>
        </w:rPr>
      </w:r>
    </w:p>
    <w:p w:rsidR="00000000" w:rsidDel="00000000" w:rsidP="00000000" w:rsidRDefault="00000000" w:rsidRPr="00000000" w14:paraId="0000002E">
      <w:pPr>
        <w:spacing w:after="240" w:before="240" w:lineRule="auto"/>
        <w:rPr>
          <w:rFonts w:ascii="EB Garamond" w:cs="EB Garamond" w:eastAsia="EB Garamond" w:hAnsi="EB Garamond"/>
          <w:b w:val="1"/>
          <w:bCs w:val="1"/>
          <w:sz w:val="32"/>
          <w:szCs w:val="32"/>
        </w:rPr>
      </w:pPr>
      <w:r w:rsidDel="00000000" w:rsidR="00000000" w:rsidRPr="00000000">
        <w:rPr>
          <w:rtl w:val="0"/>
        </w:rPr>
      </w:r>
    </w:p>
    <w:p w:rsidR="00000000" w:rsidDel="00000000" w:rsidP="00000000" w:rsidRDefault="00000000" w:rsidRPr="00000000" w14:paraId="0000002F">
      <w:pPr>
        <w:spacing w:after="240" w:before="240" w:lineRule="auto"/>
        <w:rPr>
          <w:rFonts w:ascii="EB Garamond" w:cs="EB Garamond" w:eastAsia="EB Garamond" w:hAnsi="EB Garamond"/>
          <w:b w:val="1"/>
          <w:bCs w:val="1"/>
          <w:sz w:val="32"/>
          <w:szCs w:val="32"/>
        </w:rPr>
      </w:pPr>
      <w:r w:rsidDel="00000000" w:rsidR="00000000" w:rsidRPr="00000000">
        <w:rPr>
          <w:rtl w:val="0"/>
        </w:rPr>
      </w:r>
    </w:p>
    <w:p w:rsidR="00000000" w:rsidDel="00000000" w:rsidP="00000000" w:rsidRDefault="00000000" w:rsidRPr="00000000" w14:paraId="00000030">
      <w:pPr>
        <w:spacing w:after="240" w:before="240" w:lineRule="auto"/>
        <w:rPr>
          <w:rFonts w:ascii="EB Garamond" w:cs="EB Garamond" w:eastAsia="EB Garamond" w:hAnsi="EB Garamond"/>
          <w:b w:val="1"/>
          <w:bCs w:val="1"/>
          <w:sz w:val="32"/>
          <w:szCs w:val="32"/>
        </w:rPr>
      </w:pPr>
      <w:r w:rsidDel="00000000" w:rsidR="00000000" w:rsidRPr="00000000">
        <w:rPr>
          <w:rtl w:val="0"/>
        </w:rPr>
      </w:r>
    </w:p>
    <w:p w:rsidR="00000000" w:rsidDel="00000000" w:rsidP="00000000" w:rsidRDefault="00000000" w:rsidRPr="00000000" w14:paraId="00000031">
      <w:pPr>
        <w:spacing w:after="240" w:before="240" w:lineRule="auto"/>
        <w:rPr>
          <w:rFonts w:ascii="EB Garamond" w:cs="EB Garamond" w:eastAsia="EB Garamond" w:hAnsi="EB Garamond"/>
          <w:b w:val="1"/>
          <w:bCs w:val="1"/>
          <w:sz w:val="32"/>
          <w:szCs w:val="32"/>
        </w:rPr>
      </w:pPr>
      <w:r w:rsidDel="00000000" w:rsidR="00000000" w:rsidRPr="00000000">
        <w:rPr>
          <w:rFonts w:ascii="EB Garamond" w:cs="EB Garamond" w:eastAsia="EB Garamond" w:hAnsi="EB Garamond"/>
          <w:b w:val="1"/>
          <w:bCs w:val="1"/>
          <w:sz w:val="32"/>
          <w:szCs w:val="32"/>
          <w:rtl w:val="0"/>
        </w:rPr>
        <w:t xml:space="preserve">2. Literature Review</w:t>
      </w:r>
    </w:p>
    <w:p w:rsidR="00000000" w:rsidDel="00000000" w:rsidP="00000000" w:rsidRDefault="00000000" w:rsidRPr="00000000" w14:paraId="00000032">
      <w:pPr>
        <w:spacing w:after="240" w:before="240" w:lineRule="auto"/>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2.1 Conceptual Foundations: Depression, Anxiety, and Risk Screening</w:t>
      </w:r>
    </w:p>
    <w:p w:rsidR="00000000" w:rsidDel="00000000" w:rsidP="00000000" w:rsidRDefault="00000000" w:rsidRPr="00000000" w14:paraId="00000033">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 university settings, depression and anxiety signify multifaceted psychological constructs often operationalized through severity levels rather than formal clinical states [REF]. Supervised learning systems require these definitions to establish ground truth for predictive modeling tasks [REF]. The Patient Health Questionnaire-9 (PHQ-9) represents a primary instrument for depression screening [REF]. It evaluates nine specific criteria aligned with formal clinical standards to quantify symptom frequency during a 14-day interval [REF]. Scores on the PHQ-9 provide a numeric range from 0 to 27 [REF]. This enables risk categorization into varying severity levels such as mild, moderate, or severe [REF]. Statistical evidence confirms that a threshold of 10 demonstrates 88% sensitivity for identifying major depressive episodes [REF].</w:t>
      </w:r>
    </w:p>
    <w:p w:rsidR="00000000" w:rsidDel="00000000" w:rsidP="00000000" w:rsidRDefault="00000000" w:rsidRPr="00000000" w14:paraId="00000034">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Complementing this, the Generalized Anxiety Disorder-7 (GAD-7) functions as a reliable scale for measuring anxiety risk [REF]. This self-report tool identifies probable cases of generalized anxiety through seven items scored on a four-point scale [REF]. Increasing GAD-7 totals associate strongly with functional impairment and elevated healthcare utilization [REF]. Although anxiety and depression symptoms frequently overlap, factor analysis confirms these as distinct clinical dimensions suitable for multi-label classification [REF].</w:t>
      </w:r>
    </w:p>
    <w:p w:rsidR="00000000" w:rsidDel="00000000" w:rsidP="00000000" w:rsidRDefault="00000000" w:rsidRPr="00000000" w14:paraId="00000035">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social environment influences current risk states via specific buffering mechanisms [REF]. Perceived social support, quantified by the MSPSS, accounts for variations in how students internalize stressors during career transitions [REF]. High support levels from family and friends maintain a significant inverse association with distress [REF]. For computational pipelines, these social metrics serve as stable feature sets (</w:t>
      </w:r>
      <w:hyperlink r:id="rId6">
        <w:r w:rsidDel="00000000" w:rsidR="00000000" w:rsidRPr="00000000">
          <w:rPr>
            <w:rFonts w:ascii="EB Garamond" w:cs="EB Garamond" w:eastAsia="EB Garamond" w:hAnsi="EB Garamond"/>
            <w:sz w:val="24"/>
            <w:szCs w:val="24"/>
          </w:rPr>
          <w:drawing>
            <wp:inline distB="19050" distT="19050" distL="19050" distR="19050">
              <wp:extent cx="482600" cy="152400"/>
              <wp:effectExtent b="0" l="0" r="0" t="0"/>
              <wp:docPr id="32"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482600" cy="152400"/>
                      </a:xfrm>
                      <a:prstGeom prst="rect"/>
                      <a:ln/>
                    </pic:spPr>
                  </pic:pic>
                </a:graphicData>
              </a:graphic>
            </wp:inline>
          </w:drawing>
        </w:r>
      </w:hyperlink>
      <w:r w:rsidDel="00000000" w:rsidR="00000000" w:rsidRPr="00000000">
        <w:rPr>
          <w:rFonts w:ascii="EB Garamond" w:cs="EB Garamond" w:eastAsia="EB Garamond" w:hAnsi="EB Garamond"/>
          <w:sz w:val="24"/>
          <w:szCs w:val="24"/>
          <w:rtl w:val="0"/>
        </w:rPr>
        <w:t xml:space="preserve">) that enhance the detection of psychological vulnerability [REF].</w:t>
      </w:r>
    </w:p>
    <w:p w:rsidR="00000000" w:rsidDel="00000000" w:rsidP="00000000" w:rsidRDefault="00000000" w:rsidRPr="00000000" w14:paraId="00000036">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Distinguishing automated screening from clinical diagnosis remains mandatory for modular system design [REF]. Screening focuses on estimating the probability that a risk condition is currently present (</w:t>
      </w:r>
      <w:hyperlink r:id="rId8">
        <w:r w:rsidDel="00000000" w:rsidR="00000000" w:rsidRPr="00000000">
          <w:rPr>
            <w:rFonts w:ascii="EB Garamond" w:cs="EB Garamond" w:eastAsia="EB Garamond" w:hAnsi="EB Garamond"/>
            <w:sz w:val="24"/>
            <w:szCs w:val="24"/>
          </w:rPr>
          <w:drawing>
            <wp:inline distB="19050" distT="19050" distL="19050" distR="19050">
              <wp:extent cx="419100" cy="114300"/>
              <wp:effectExtent b="0" l="0" r="0" t="0"/>
              <wp:docPr id="17"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419100" cy="114300"/>
                      </a:xfrm>
                      <a:prstGeom prst="rect"/>
                      <a:ln/>
                    </pic:spPr>
                  </pic:pic>
                </a:graphicData>
              </a:graphic>
            </wp:inline>
          </w:drawing>
        </w:r>
      </w:hyperlink>
      <w:r w:rsidDel="00000000" w:rsidR="00000000" w:rsidRPr="00000000">
        <w:rPr>
          <w:rFonts w:ascii="EB Garamond" w:cs="EB Garamond" w:eastAsia="EB Garamond" w:hAnsi="EB Garamond"/>
          <w:sz w:val="24"/>
          <w:szCs w:val="24"/>
          <w:rtl w:val="0"/>
        </w:rPr>
        <w:t xml:space="preserve">) [REF]. In contrast, clinical diagnosis involves structured interviews by professionals to confirm formal disorders [REF]. By utilizing validated scales to generate target classes (</w:t>
      </w:r>
      <w:hyperlink r:id="rId10">
        <w:r w:rsidDel="00000000" w:rsidR="00000000" w:rsidRPr="00000000">
          <w:rPr>
            <w:rFonts w:ascii="EB Garamond" w:cs="EB Garamond" w:eastAsia="EB Garamond" w:hAnsi="EB Garamond"/>
            <w:sz w:val="24"/>
            <w:szCs w:val="24"/>
          </w:rPr>
          <w:drawing>
            <wp:inline distB="19050" distT="19050" distL="19050" distR="19050">
              <wp:extent cx="76200" cy="114300"/>
              <wp:effectExtent b="0" l="0" r="0" t="0"/>
              <wp:docPr id="1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76200" cy="114300"/>
                      </a:xfrm>
                      <a:prstGeom prst="rect"/>
                      <a:ln/>
                    </pic:spPr>
                  </pic:pic>
                </a:graphicData>
              </a:graphic>
            </wp:inline>
          </w:drawing>
        </w:r>
      </w:hyperlink>
      <w:r w:rsidDel="00000000" w:rsidR="00000000" w:rsidRPr="00000000">
        <w:rPr>
          <w:rFonts w:ascii="EB Garamond" w:cs="EB Garamond" w:eastAsia="EB Garamond" w:hAnsi="EB Garamond"/>
          <w:sz w:val="24"/>
          <w:szCs w:val="24"/>
          <w:rtl w:val="0"/>
        </w:rPr>
        <w:t xml:space="preserve">), researchers develop early indication signals [REF]. This methodology provides interpretable evidence for non-clinical student support within high-stress academic environments [REF].</w:t>
      </w:r>
    </w:p>
    <w:p w:rsidR="00000000" w:rsidDel="00000000" w:rsidP="00000000" w:rsidRDefault="00000000" w:rsidRPr="00000000" w14:paraId="00000037">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38">
      <w:pPr>
        <w:spacing w:after="240" w:before="240" w:lineRule="auto"/>
        <w:rPr>
          <w:rFonts w:ascii="EB Garamond" w:cs="EB Garamond" w:eastAsia="EB Garamond" w:hAnsi="EB Garamond"/>
          <w:b w:val="1"/>
          <w:bCs w:val="1"/>
          <w:sz w:val="28"/>
          <w:szCs w:val="28"/>
        </w:rPr>
      </w:pPr>
      <w:r w:rsidDel="00000000" w:rsidR="00000000" w:rsidRPr="00000000">
        <w:rPr>
          <w:rtl w:val="0"/>
        </w:rPr>
      </w:r>
    </w:p>
    <w:p w:rsidR="00000000" w:rsidDel="00000000" w:rsidP="00000000" w:rsidRDefault="00000000" w:rsidRPr="00000000" w14:paraId="00000039">
      <w:pPr>
        <w:spacing w:after="240" w:before="240" w:lineRule="auto"/>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2.2 Student Mental Health in the School-to-Work Transition</w:t>
      </w:r>
    </w:p>
    <w:p w:rsidR="00000000" w:rsidDel="00000000" w:rsidP="00000000" w:rsidRDefault="00000000" w:rsidRPr="00000000" w14:paraId="0000003A">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graduation phase initiates a transition from academic environments to professional settings, representing a period of significant psychological vulnerability [REF]. Early career entrants encounter specific challenges regarding the construction of an occupational identity while navigating initial labor market entry [REF]. Evidence indicates that school leavers experience higher levels of distress during unemployment compared to mature workers with established career histories [REF]. This disparity reflects the added strain of defining a professional self-concept while simultaneously confronting economic instability [REF]. Meta-analytic data confirm that school leavers face an "extra burden" when early career unemployment disrupts the formation of a vocational identity [REF].</w:t>
      </w:r>
    </w:p>
    <w:p w:rsidR="00000000" w:rsidDel="00000000" w:rsidP="00000000" w:rsidRDefault="00000000" w:rsidRPr="00000000" w14:paraId="0000003B">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Labor market uncertainty acts as a primary stressor during this transition phase [REF]. Perceived job insecurity involves a subjectively experienced anticipation of involuntary job loss, which associates with impaired mental well-being [REF]. This anticipation often generates distress levels comparable to the actual experience of joblessness [REF]. For students, the transition is characterized by prolonged uncertainty, which prevents the utilization of effective coping strategies that are typically available during confirmed employment loss [REF]. The mere expectation of failure in the job search process associates strongly with increased anxiety and depressive symptom severity [REF].</w:t>
      </w:r>
    </w:p>
    <w:p w:rsidR="00000000" w:rsidDel="00000000" w:rsidP="00000000" w:rsidRDefault="00000000" w:rsidRPr="00000000" w14:paraId="0000003C">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Job search activities during this period constitute a discouraging cycle involving frequent rejection and persistent uncertainty [REF]. Search intensity serves as a predictor of faster reemployment, yet high levels of job-seeking effort associate with lower psychological health during the unemployment interval [REF]. A reciprocal relationship exists where search-related stress increases psychological distress, while this distress may simultaneously motivate continued search effort to end the period of unemployment [REF]. Younger cohorts, typically those under age 40, show more profound associations between labor market stressors and depressive symptoms than older groups [REF]. This sensitivity may relate to the specific financial responsibilities and life-stage transitions characterizing early adulthood [REF].</w:t>
      </w:r>
    </w:p>
    <w:p w:rsidR="00000000" w:rsidDel="00000000" w:rsidP="00000000" w:rsidRDefault="00000000" w:rsidRPr="00000000" w14:paraId="0000003D">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deprivation of employment-related benefits further exacerbates psychological strain [REF]. Employment provides manifest rewards like income and latent functions including time structure, social contact, and collective purpose [REF]. Graduating students are deprived of these functions, leading to a state of psychological deprivation [REF]. Meta-analyses of longitudinal data suggest that transitions into unemployment associate with mental health declines, while the shift from school to employment associates with significant gains in well-being [REF]. Consequently, the school-to-work transition identifies as a high-risk phase where academic institutions require indication signals to support students facing psychological vulnerability [REF].</w:t>
      </w:r>
    </w:p>
    <w:p w:rsidR="00000000" w:rsidDel="00000000" w:rsidP="00000000" w:rsidRDefault="00000000" w:rsidRPr="00000000" w14:paraId="0000003E">
      <w:pPr>
        <w:spacing w:after="240" w:before="240" w:lineRule="auto"/>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2.3 Job-Search Stressors and Psychological Outcomes</w:t>
      </w:r>
    </w:p>
    <w:p w:rsidR="00000000" w:rsidDel="00000000" w:rsidP="00000000" w:rsidRDefault="00000000" w:rsidRPr="00000000" w14:paraId="0000003F">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Meta-analyses establish that the subjectively experienced threat of job loss associates with significant declines in psychological and physical health [REF]. Perceived job insecurity functions as a pervasive work stressor, often generating distress levels comparable to the actual state of unemployment [REF]. Standardized odds ratios indicate a 29% elevated risk of depressive symptoms for individuals experiencing insecurity, while currently unemployed persons reveal a 19% increased risk [REF]. Systematic reviews of prospective observational studies confirm that the anticipation of failure serves as a primary stressor, depriving individuals of the manifest and latent functions typically provided by employment [REF]. These latent functions include daily time structure, social interaction networks, and a sense of collective purpose [REF].</w:t>
      </w:r>
    </w:p>
    <w:p w:rsidR="00000000" w:rsidDel="00000000" w:rsidP="00000000" w:rsidRDefault="00000000" w:rsidRPr="00000000" w14:paraId="00000040">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intensity of job-seeking activities during these transitions generates complex psychological outcomes [REF]. While high search effort serves as a predictor of faster reemployment, meta-analytic data suggest search intensity maintains an inverse association with current mental well-being (rc = -0.11) [REF]. This behavioral stressor functions as a discouraging cycle characterized by frequent rejection load and pervasive uncertainty [REF]. Evidence indicates a reciprocal relationship where psychological distress motivates search effort to end the period of unemployment, while the search process simultaneously exacerbates symptom severity [REF]. Specifically, job-seeking activity increases distress because the process involves a high volume of rejection without a guaranteed outcome [REF].</w:t>
      </w:r>
    </w:p>
    <w:p w:rsidR="00000000" w:rsidDel="00000000" w:rsidP="00000000" w:rsidRDefault="00000000" w:rsidRPr="00000000" w14:paraId="00000041">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Operational definitions of search strategies significantly influence the comparability of evidence across academic cohorts [REF]. Focused job searches, characterized by clearly defined employment objectives and specific target criteria, associate with higher satisfaction following the transition [REF]. In contrast, haphazard or planless search behaviors correlate with fewer job offers and decreased well-being [REF]. Exploratory search strategies, which involve gathering information about diverse options, associate with a higher volume of offers but do not necessarily enhance post-search satisfaction [REF]. For individuals with low financial resources, the ability to maintain a deliberate search strategy diminishes, as economic pressure often forces the acceptance of lower-quality employment [REF].</w:t>
      </w:r>
    </w:p>
    <w:p w:rsidR="00000000" w:rsidDel="00000000" w:rsidP="00000000" w:rsidRDefault="00000000" w:rsidRPr="00000000" w14:paraId="00000042">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Conflicting evidence persists regarding how demographic characteristics moderate the impact of job insecurity [REF]. Initial meta-analyses suggested that occupational status moderated behavioral outcomes but did not influence the association between insecurity and psychological health [REF]. However, updated evaluations using larger databases indicate that older employees and those with longer organizational tenure face more severe health-related consequences from labor market threats [REF]. Conversely, younger cohorts and employees with shorter tenure exhibit more profound turnover intentions when facing insecurity [REF]. These variations likely reflect differences in psychological investment and occupational mobility [REF]. While older workers may face age-related discrimination and possess outdated skills, younger entrants may perceive turnover as a readily available coping mechanism to escape stressful environments [REF].</w:t>
      </w:r>
    </w:p>
    <w:p w:rsidR="00000000" w:rsidDel="00000000" w:rsidP="00000000" w:rsidRDefault="00000000" w:rsidRPr="00000000" w14:paraId="00000043">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Measurement methodology also affects the magnitude of reported associations [REF]. Studies utilizing multi-item scales for job insecurity report significantly stronger associations with satisfaction, trust, and performance compared to evaluations relying on single-item assessments [REF]. This discrepancy suggests that single-item metrics with unknown psychometric properties systematically underestimate the magnitude of psychological consequences [REF]. Similarly, perceived financial strain serves as a more reliable predictor of distress than objective measures of financial resources [REF]. This pattern demonstrates that the subjective appraisal of a stressor functions as the primary determinant of current risk state, rather than objective situational metrics [REF]. Longitudinal data reveal that while the risk of mental health problems peaks approximately nine months into the search process, a stabilized state of elevated distress often persists among the long-term unemployed [REF]. Consequently, early indication frameworks must capture both the subjective anticipation of failure and the objective behavioral signals of search effort to provide accurate decision support [REF].</w:t>
      </w:r>
    </w:p>
    <w:p w:rsidR="00000000" w:rsidDel="00000000" w:rsidP="00000000" w:rsidRDefault="00000000" w:rsidRPr="00000000" w14:paraId="00000044">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45">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46">
      <w:pPr>
        <w:spacing w:after="240" w:before="240" w:lineRule="auto"/>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2.4 Social Support as a Protective Factor</w:t>
      </w:r>
    </w:p>
    <w:p w:rsidR="00000000" w:rsidDel="00000000" w:rsidP="00000000" w:rsidRDefault="00000000" w:rsidRPr="00000000" w14:paraId="00000047">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Perceived social support signifies a multifaceted external resource generated through relational transactions [REF]. Standardized quantification frequently employs the Multidimensional Scale of Perceived Social Support (MSPSS) [REF]. Developed initially for undergraduate cohorts, this instrument evaluates subjective adequacy across three independent domains: family, friends, and significant others [REF]. High levels of perceived support associate with decreased symptom severity for both anxiety and depression [REF]. Within student populations, the family subscale maintains a significant inverse correlation with distress indicators [REF].</w:t>
      </w:r>
    </w:p>
    <w:p w:rsidR="00000000" w:rsidDel="00000000" w:rsidP="00000000" w:rsidRDefault="00000000" w:rsidRPr="00000000" w14:paraId="00000048">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Mechanism logic differentiates between direct influence and the buffering hypothesis [REF]. While direct influence suggests social integration promotes health across all stress levels, the buffering hypothesis proposes that resources protect individuals specifically during high-strain intervals [REF]. For students navigating employment transitions, these aids modify the internalization of labor market uncertainty [REF]. Quality contacts bolster resilience [REF]. High support levels enhance the propensity of seekers to maintain positive self-evaluations even when encountering persistent rejection [REF]. Conversely, negative interactions or social undermining associate with heightened psychological vulnerability [REF].</w:t>
      </w:r>
    </w:p>
    <w:p w:rsidR="00000000" w:rsidDel="00000000" w:rsidP="00000000" w:rsidRDefault="00000000" w:rsidRPr="00000000" w14:paraId="00000049">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Meta-analyses establish that these external aids provide emotional stabilization while also offering direct tangible assistance [REF]. Financial stabilization through close relationships reduces strain derived from income loss [REF]. However, longitudinal data reveal that social resources often diminish during extended periods of joblessness [REF]. This depletion implies a reciprocal relationship where chronic stress eventually erodes the protective systems intended to mitigate it [REF]. Support typically replenishes after successful reemployment [REF].</w:t>
      </w:r>
    </w:p>
    <w:p w:rsidR="00000000" w:rsidDel="00000000" w:rsidP="00000000" w:rsidRDefault="00000000" w:rsidRPr="00000000" w14:paraId="0000004A">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Integrating these metrics into supervised learning pipelines provides essential context for early risk detection [REF]. Computational models utilize these social features (</w:t>
      </w:r>
      <w:hyperlink r:id="rId12">
        <w:r w:rsidDel="00000000" w:rsidR="00000000" w:rsidRPr="00000000">
          <w:rPr>
            <w:rFonts w:ascii="EB Garamond" w:cs="EB Garamond" w:eastAsia="EB Garamond" w:hAnsi="EB Garamond"/>
            <w:sz w:val="24"/>
            <w:szCs w:val="24"/>
          </w:rPr>
          <w:drawing>
            <wp:inline distB="19050" distT="19050" distL="19050" distR="19050">
              <wp:extent cx="482600" cy="152400"/>
              <wp:effectExtent b="0" l="0" r="0" t="0"/>
              <wp:docPr id="37" name="image24.png"/>
              <a:graphic>
                <a:graphicData uri="http://schemas.openxmlformats.org/drawingml/2006/picture">
                  <pic:pic>
                    <pic:nvPicPr>
                      <pic:cNvPr id="0" name="image24.png"/>
                      <pic:cNvPicPr preferRelativeResize="0"/>
                    </pic:nvPicPr>
                    <pic:blipFill>
                      <a:blip r:embed="rId7"/>
                      <a:srcRect b="0" l="0" r="0" t="0"/>
                      <a:stretch>
                        <a:fillRect/>
                      </a:stretch>
                    </pic:blipFill>
                    <pic:spPr>
                      <a:xfrm>
                        <a:off x="0" y="0"/>
                        <a:ext cx="482600" cy="152400"/>
                      </a:xfrm>
                      <a:prstGeom prst="rect"/>
                      <a:ln/>
                    </pic:spPr>
                  </pic:pic>
                </a:graphicData>
              </a:graphic>
            </wp:inline>
          </w:drawing>
        </w:r>
      </w:hyperlink>
      <w:r w:rsidDel="00000000" w:rsidR="00000000" w:rsidRPr="00000000">
        <w:rPr>
          <w:rFonts w:ascii="EB Garamond" w:cs="EB Garamond" w:eastAsia="EB Garamond" w:hAnsi="EB Garamond"/>
          <w:sz w:val="24"/>
          <w:szCs w:val="24"/>
          <w:rtl w:val="0"/>
        </w:rPr>
        <w:t xml:space="preserve">) to account for variance in individual stress resistance [REF]. Most existing frameworks omit these buffering signals, limiting their predictive depth [REF]. Including MSPSS scores enables systems to categorize risk levels with greater precision by acknowledging the presence of protective resources [REF]. Standardized social features ensure risk indication results remain reproducible across diverse academic environments [REF]. Multi-source feature sets facilitate the identification of students facing high search pressures who lack sufficient buffering resources [REF].</w:t>
      </w:r>
    </w:p>
    <w:p w:rsidR="00000000" w:rsidDel="00000000" w:rsidP="00000000" w:rsidRDefault="00000000" w:rsidRPr="00000000" w14:paraId="0000004B">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4C">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4D">
      <w:pPr>
        <w:spacing w:after="240" w:before="240" w:lineRule="auto"/>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2.5 Computational Approaches for Depression–Anxiety Risk Prediction</w:t>
      </w:r>
    </w:p>
    <w:p w:rsidR="00000000" w:rsidDel="00000000" w:rsidP="00000000" w:rsidRDefault="00000000" w:rsidRPr="00000000" w14:paraId="0000004E">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Computational screening methodologies utilize algorithmic modeling to identify psychological vulnerability from varied data streams [REF]. Detection tasks represent the most frequent application of supervised machine learning (</w:t>
      </w:r>
      <w:hyperlink r:id="rId13">
        <w:r w:rsidDel="00000000" w:rsidR="00000000" w:rsidRPr="00000000">
          <w:rPr>
            <w:rFonts w:ascii="EB Garamond" w:cs="EB Garamond" w:eastAsia="EB Garamond" w:hAnsi="EB Garamond"/>
            <w:sz w:val="24"/>
            <w:szCs w:val="24"/>
          </w:rPr>
          <w:drawing>
            <wp:inline distB="19050" distT="19050" distL="19050" distR="19050">
              <wp:extent cx="381000" cy="114300"/>
              <wp:effectExtent b="0" l="0" r="0" t="0"/>
              <wp:docPr id="13"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381000" cy="114300"/>
                      </a:xfrm>
                      <a:prstGeom prst="rect"/>
                      <a:ln/>
                    </pic:spPr>
                  </pic:pic>
                </a:graphicData>
              </a:graphic>
            </wp:inline>
          </w:drawing>
        </w:r>
      </w:hyperlink>
      <w:r w:rsidDel="00000000" w:rsidR="00000000" w:rsidRPr="00000000">
        <w:rPr>
          <w:rFonts w:ascii="EB Garamond" w:cs="EB Garamond" w:eastAsia="EB Garamond" w:hAnsi="EB Garamond"/>
          <w:sz w:val="24"/>
          <w:szCs w:val="24"/>
          <w:rtl w:val="0"/>
        </w:rPr>
        <w:t xml:space="preserve">) for identifying depression and anxiety risk categories [REF], [REF]. These systems automatically identify patterns in large datasets to estimate the probability that a specific risk state exists (</w:t>
      </w:r>
      <w:hyperlink r:id="rId15">
        <w:r w:rsidDel="00000000" w:rsidR="00000000" w:rsidRPr="00000000">
          <w:rPr>
            <w:rFonts w:ascii="EB Garamond" w:cs="EB Garamond" w:eastAsia="EB Garamond" w:hAnsi="EB Garamond"/>
            <w:sz w:val="24"/>
            <w:szCs w:val="24"/>
          </w:rPr>
          <w:drawing>
            <wp:inline distB="19050" distT="19050" distL="19050" distR="19050">
              <wp:extent cx="419100" cy="114300"/>
              <wp:effectExtent b="0" l="0" r="0" t="0"/>
              <wp:docPr id="30"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419100" cy="114300"/>
                      </a:xfrm>
                      <a:prstGeom prst="rect"/>
                      <a:ln/>
                    </pic:spPr>
                  </pic:pic>
                </a:graphicData>
              </a:graphic>
            </wp:inline>
          </w:drawing>
        </w:r>
      </w:hyperlink>
      <w:r w:rsidDel="00000000" w:rsidR="00000000" w:rsidRPr="00000000">
        <w:rPr>
          <w:rFonts w:ascii="EB Garamond" w:cs="EB Garamond" w:eastAsia="EB Garamond" w:hAnsi="EB Garamond"/>
          <w:sz w:val="24"/>
          <w:szCs w:val="24"/>
          <w:rtl w:val="0"/>
        </w:rPr>
        <w:t xml:space="preserve">) [REF], [REF].</w:t>
      </w:r>
    </w:p>
    <w:p w:rsidR="00000000" w:rsidDel="00000000" w:rsidP="00000000" w:rsidRDefault="00000000" w:rsidRPr="00000000" w14:paraId="0000004F">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Common supervised baselines include support vector machines (</w:t>
      </w:r>
      <w:hyperlink r:id="rId16">
        <w:r w:rsidDel="00000000" w:rsidR="00000000" w:rsidRPr="00000000">
          <w:rPr>
            <w:rFonts w:ascii="EB Garamond" w:cs="EB Garamond" w:eastAsia="EB Garamond" w:hAnsi="EB Garamond"/>
            <w:sz w:val="24"/>
            <w:szCs w:val="24"/>
          </w:rPr>
          <w:drawing>
            <wp:inline distB="19050" distT="19050" distL="19050" distR="19050">
              <wp:extent cx="406400" cy="114300"/>
              <wp:effectExtent b="0" l="0" r="0" t="0"/>
              <wp:docPr id="22" name="image29.png"/>
              <a:graphic>
                <a:graphicData uri="http://schemas.openxmlformats.org/drawingml/2006/picture">
                  <pic:pic>
                    <pic:nvPicPr>
                      <pic:cNvPr id="0" name="image29.png"/>
                      <pic:cNvPicPr preferRelativeResize="0"/>
                    </pic:nvPicPr>
                    <pic:blipFill>
                      <a:blip r:embed="rId17"/>
                      <a:srcRect b="0" l="0" r="0" t="0"/>
                      <a:stretch>
                        <a:fillRect/>
                      </a:stretch>
                    </pic:blipFill>
                    <pic:spPr>
                      <a:xfrm>
                        <a:off x="0" y="0"/>
                        <a:ext cx="406400" cy="114300"/>
                      </a:xfrm>
                      <a:prstGeom prst="rect"/>
                      <a:ln/>
                    </pic:spPr>
                  </pic:pic>
                </a:graphicData>
              </a:graphic>
            </wp:inline>
          </w:drawing>
        </w:r>
      </w:hyperlink>
      <w:r w:rsidDel="00000000" w:rsidR="00000000" w:rsidRPr="00000000">
        <w:rPr>
          <w:rFonts w:ascii="EB Garamond" w:cs="EB Garamond" w:eastAsia="EB Garamond" w:hAnsi="EB Garamond"/>
          <w:sz w:val="24"/>
          <w:szCs w:val="24"/>
          <w:rtl w:val="0"/>
        </w:rPr>
        <w:t xml:space="preserve">), logistic regression (</w:t>
      </w:r>
      <w:hyperlink r:id="rId18">
        <w:r w:rsidDel="00000000" w:rsidR="00000000" w:rsidRPr="00000000">
          <w:rPr>
            <w:rFonts w:ascii="EB Garamond" w:cs="EB Garamond" w:eastAsia="EB Garamond" w:hAnsi="EB Garamond"/>
            <w:sz w:val="24"/>
            <w:szCs w:val="24"/>
          </w:rPr>
          <w:drawing>
            <wp:inline distB="19050" distT="19050" distL="19050" distR="19050">
              <wp:extent cx="457200" cy="152400"/>
              <wp:effectExtent b="0" l="0" r="0" t="0"/>
              <wp:docPr id="10"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457200" cy="152400"/>
                      </a:xfrm>
                      <a:prstGeom prst="rect"/>
                      <a:ln/>
                    </pic:spPr>
                  </pic:pic>
                </a:graphicData>
              </a:graphic>
            </wp:inline>
          </w:drawing>
        </w:r>
      </w:hyperlink>
      <w:r w:rsidDel="00000000" w:rsidR="00000000" w:rsidRPr="00000000">
        <w:rPr>
          <w:rFonts w:ascii="EB Garamond" w:cs="EB Garamond" w:eastAsia="EB Garamond" w:hAnsi="EB Garamond"/>
          <w:sz w:val="24"/>
          <w:szCs w:val="24"/>
          <w:rtl w:val="0"/>
        </w:rPr>
        <w:t xml:space="preserve">), random forests (</w:t>
      </w:r>
      <w:hyperlink r:id="rId20">
        <w:r w:rsidDel="00000000" w:rsidR="00000000" w:rsidRPr="00000000">
          <w:rPr>
            <w:rFonts w:ascii="EB Garamond" w:cs="EB Garamond" w:eastAsia="EB Garamond" w:hAnsi="EB Garamond"/>
            <w:sz w:val="24"/>
            <w:szCs w:val="24"/>
          </w:rPr>
          <w:drawing>
            <wp:inline distB="19050" distT="19050" distL="19050" distR="19050">
              <wp:extent cx="241300" cy="114300"/>
              <wp:effectExtent b="0" l="0" r="0" t="0"/>
              <wp:docPr id="7"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241300" cy="114300"/>
                      </a:xfrm>
                      <a:prstGeom prst="rect"/>
                      <a:ln/>
                    </pic:spPr>
                  </pic:pic>
                </a:graphicData>
              </a:graphic>
            </wp:inline>
          </w:drawing>
        </w:r>
      </w:hyperlink>
      <w:r w:rsidDel="00000000" w:rsidR="00000000" w:rsidRPr="00000000">
        <w:rPr>
          <w:rFonts w:ascii="EB Garamond" w:cs="EB Garamond" w:eastAsia="EB Garamond" w:hAnsi="EB Garamond"/>
          <w:sz w:val="24"/>
          <w:szCs w:val="24"/>
          <w:rtl w:val="0"/>
        </w:rPr>
        <w:t xml:space="preserve">), and decision trees (</w:t>
      </w:r>
      <w:hyperlink r:id="rId22">
        <w:r w:rsidDel="00000000" w:rsidR="00000000" w:rsidRPr="00000000">
          <w:rPr>
            <w:rFonts w:ascii="EB Garamond" w:cs="EB Garamond" w:eastAsia="EB Garamond" w:hAnsi="EB Garamond"/>
            <w:sz w:val="24"/>
            <w:szCs w:val="24"/>
          </w:rPr>
          <w:drawing>
            <wp:inline distB="19050" distT="19050" distL="19050" distR="19050">
              <wp:extent cx="254000" cy="114300"/>
              <wp:effectExtent b="0" l="0" r="0" t="0"/>
              <wp:docPr id="38" name="image45.png"/>
              <a:graphic>
                <a:graphicData uri="http://schemas.openxmlformats.org/drawingml/2006/picture">
                  <pic:pic>
                    <pic:nvPicPr>
                      <pic:cNvPr id="0" name="image45.png"/>
                      <pic:cNvPicPr preferRelativeResize="0"/>
                    </pic:nvPicPr>
                    <pic:blipFill>
                      <a:blip r:embed="rId23"/>
                      <a:srcRect b="0" l="0" r="0" t="0"/>
                      <a:stretch>
                        <a:fillRect/>
                      </a:stretch>
                    </pic:blipFill>
                    <pic:spPr>
                      <a:xfrm>
                        <a:off x="0" y="0"/>
                        <a:ext cx="254000" cy="114300"/>
                      </a:xfrm>
                      <a:prstGeom prst="rect"/>
                      <a:ln/>
                    </pic:spPr>
                  </pic:pic>
                </a:graphicData>
              </a:graphic>
            </wp:inline>
          </w:drawing>
        </w:r>
      </w:hyperlink>
      <w:r w:rsidDel="00000000" w:rsidR="00000000" w:rsidRPr="00000000">
        <w:rPr>
          <w:rFonts w:ascii="EB Garamond" w:cs="EB Garamond" w:eastAsia="EB Garamond" w:hAnsi="EB Garamond"/>
          <w:sz w:val="24"/>
          <w:szCs w:val="24"/>
          <w:rtl w:val="0"/>
        </w:rPr>
        <w:t xml:space="preserve">) [REF]. Conceptually, these models vary in computational complexity and interpretability [REF]. Decision trees and association rules function as transparent methods where researchers can inspect the step-by-step logic leading to a classification [REF]. In contrast, </w:t>
      </w:r>
      <w:hyperlink r:id="rId24">
        <w:r w:rsidDel="00000000" w:rsidR="00000000" w:rsidRPr="00000000">
          <w:rPr>
            <w:rFonts w:ascii="EB Garamond" w:cs="EB Garamond" w:eastAsia="EB Garamond" w:hAnsi="EB Garamond"/>
            <w:sz w:val="24"/>
            <w:szCs w:val="24"/>
          </w:rPr>
          <w:drawing>
            <wp:inline distB="19050" distT="19050" distL="19050" distR="19050">
              <wp:extent cx="406400" cy="114300"/>
              <wp:effectExtent b="0" l="0" r="0" t="0"/>
              <wp:docPr id="35" name="image28.png"/>
              <a:graphic>
                <a:graphicData uri="http://schemas.openxmlformats.org/drawingml/2006/picture">
                  <pic:pic>
                    <pic:nvPicPr>
                      <pic:cNvPr id="0" name="image28.png"/>
                      <pic:cNvPicPr preferRelativeResize="0"/>
                    </pic:nvPicPr>
                    <pic:blipFill>
                      <a:blip r:embed="rId17"/>
                      <a:srcRect b="0" l="0" r="0" t="0"/>
                      <a:stretch>
                        <a:fillRect/>
                      </a:stretch>
                    </pic:blipFill>
                    <pic:spPr>
                      <a:xfrm>
                        <a:off x="0" y="0"/>
                        <a:ext cx="406400" cy="114300"/>
                      </a:xfrm>
                      <a:prstGeom prst="rect"/>
                      <a:ln/>
                    </pic:spPr>
                  </pic:pic>
                </a:graphicData>
              </a:graphic>
            </wp:inline>
          </w:drawing>
        </w:r>
      </w:hyperlink>
      <w:r w:rsidDel="00000000" w:rsidR="00000000" w:rsidRPr="00000000">
        <w:rPr>
          <w:rFonts w:ascii="EB Garamond" w:cs="EB Garamond" w:eastAsia="EB Garamond" w:hAnsi="EB Garamond"/>
          <w:sz w:val="24"/>
          <w:szCs w:val="24"/>
          <w:rtl w:val="0"/>
        </w:rPr>
        <w:t xml:space="preserve"> and </w:t>
      </w:r>
      <w:hyperlink r:id="rId25">
        <w:r w:rsidDel="00000000" w:rsidR="00000000" w:rsidRPr="00000000">
          <w:rPr>
            <w:rFonts w:ascii="EB Garamond" w:cs="EB Garamond" w:eastAsia="EB Garamond" w:hAnsi="EB Garamond"/>
            <w:sz w:val="24"/>
            <w:szCs w:val="24"/>
          </w:rPr>
          <w:drawing>
            <wp:inline distB="19050" distT="19050" distL="19050" distR="19050">
              <wp:extent cx="457200" cy="152400"/>
              <wp:effectExtent b="0" l="0" r="0" t="0"/>
              <wp:docPr id="26" name="image26.png"/>
              <a:graphic>
                <a:graphicData uri="http://schemas.openxmlformats.org/drawingml/2006/picture">
                  <pic:pic>
                    <pic:nvPicPr>
                      <pic:cNvPr id="0" name="image26.png"/>
                      <pic:cNvPicPr preferRelativeResize="0"/>
                    </pic:nvPicPr>
                    <pic:blipFill>
                      <a:blip r:embed="rId19"/>
                      <a:srcRect b="0" l="0" r="0" t="0"/>
                      <a:stretch>
                        <a:fillRect/>
                      </a:stretch>
                    </pic:blipFill>
                    <pic:spPr>
                      <a:xfrm>
                        <a:off x="0" y="0"/>
                        <a:ext cx="457200" cy="152400"/>
                      </a:xfrm>
                      <a:prstGeom prst="rect"/>
                      <a:ln/>
                    </pic:spPr>
                  </pic:pic>
                </a:graphicData>
              </a:graphic>
            </wp:inline>
          </w:drawing>
        </w:r>
      </w:hyperlink>
      <w:r w:rsidDel="00000000" w:rsidR="00000000" w:rsidRPr="00000000">
        <w:rPr>
          <w:rFonts w:ascii="EB Garamond" w:cs="EB Garamond" w:eastAsia="EB Garamond" w:hAnsi="EB Garamond"/>
          <w:sz w:val="24"/>
          <w:szCs w:val="24"/>
          <w:rtl w:val="0"/>
        </w:rPr>
        <w:t xml:space="preserve"> represent fast, legacy classifiers that frequently demonstrate effective performance but offer less intrinsic visibility into feature interactions [REF]. Neural networks (</w:t>
      </w:r>
      <w:hyperlink r:id="rId26">
        <w:r w:rsidDel="00000000" w:rsidR="00000000" w:rsidRPr="00000000">
          <w:rPr>
            <w:rFonts w:ascii="EB Garamond" w:cs="EB Garamond" w:eastAsia="EB Garamond" w:hAnsi="EB Garamond"/>
            <w:sz w:val="24"/>
            <w:szCs w:val="24"/>
          </w:rPr>
          <w:drawing>
            <wp:inline distB="19050" distT="19050" distL="19050" distR="19050">
              <wp:extent cx="279400" cy="114300"/>
              <wp:effectExtent b="0" l="0" r="0" t="0"/>
              <wp:docPr id="43" name="image44.png"/>
              <a:graphic>
                <a:graphicData uri="http://schemas.openxmlformats.org/drawingml/2006/picture">
                  <pic:pic>
                    <pic:nvPicPr>
                      <pic:cNvPr id="0" name="image44.png"/>
                      <pic:cNvPicPr preferRelativeResize="0"/>
                    </pic:nvPicPr>
                    <pic:blipFill>
                      <a:blip r:embed="rId27"/>
                      <a:srcRect b="0" l="0" r="0" t="0"/>
                      <a:stretch>
                        <a:fillRect/>
                      </a:stretch>
                    </pic:blipFill>
                    <pic:spPr>
                      <a:xfrm>
                        <a:off x="0" y="0"/>
                        <a:ext cx="279400" cy="114300"/>
                      </a:xfrm>
                      <a:prstGeom prst="rect"/>
                      <a:ln/>
                    </pic:spPr>
                  </pic:pic>
                </a:graphicData>
              </a:graphic>
            </wp:inline>
          </w:drawing>
        </w:r>
      </w:hyperlink>
      <w:r w:rsidDel="00000000" w:rsidR="00000000" w:rsidRPr="00000000">
        <w:rPr>
          <w:rFonts w:ascii="EB Garamond" w:cs="EB Garamond" w:eastAsia="EB Garamond" w:hAnsi="EB Garamond"/>
          <w:sz w:val="24"/>
          <w:szCs w:val="24"/>
          <w:rtl w:val="0"/>
        </w:rPr>
        <w:t xml:space="preserve">) and deep learning architectures detect complex, non-linear interactions within high-dimensional data [REF]. However, these models often create a black-box phenomenon where the underlying reasoning for an output remains hidden from clinical practitioners [REF], [REF].</w:t>
      </w:r>
    </w:p>
    <w:p w:rsidR="00000000" w:rsidDel="00000000" w:rsidP="00000000" w:rsidRDefault="00000000" w:rsidRPr="00000000" w14:paraId="00000050">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Input feature sets originate from distinct modalities, including self-report scores, digital behavioral signals, and linguistic patterns [REF], [REF]. Standardized psychometric tools like the PHQ-9 and GAD-7 provide ground truth labels for many training datasets [REF], [REF]. Behavioral features derive from smartphone or wearable sensor data, capturing objective metrics of physical activity, sleep cycles, and social interaction frequency [REF], [REF]. Linguistic features extracted via natural language processing (</w:t>
      </w:r>
      <w:hyperlink r:id="rId28">
        <w:r w:rsidDel="00000000" w:rsidR="00000000" w:rsidRPr="00000000">
          <w:rPr>
            <w:rFonts w:ascii="EB Garamond" w:cs="EB Garamond" w:eastAsia="EB Garamond" w:hAnsi="EB Garamond"/>
            <w:sz w:val="24"/>
            <w:szCs w:val="24"/>
          </w:rPr>
          <w:drawing>
            <wp:inline distB="19050" distT="19050" distL="19050" distR="19050">
              <wp:extent cx="381000" cy="114300"/>
              <wp:effectExtent b="0" l="0" r="0" t="0"/>
              <wp:docPr id="31"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381000" cy="114300"/>
                      </a:xfrm>
                      <a:prstGeom prst="rect"/>
                      <a:ln/>
                    </pic:spPr>
                  </pic:pic>
                </a:graphicData>
              </a:graphic>
            </wp:inline>
          </w:drawing>
        </w:r>
      </w:hyperlink>
      <w:r w:rsidDel="00000000" w:rsidR="00000000" w:rsidRPr="00000000">
        <w:rPr>
          <w:rFonts w:ascii="EB Garamond" w:cs="EB Garamond" w:eastAsia="EB Garamond" w:hAnsi="EB Garamond"/>
          <w:sz w:val="24"/>
          <w:szCs w:val="24"/>
          <w:rtl w:val="0"/>
        </w:rPr>
        <w:t xml:space="preserve">) analyze sentiment polarity and emotional intensity in unstructured text [REF], [REF]. Advanced transformer architectures, such as </w:t>
      </w:r>
      <w:hyperlink r:id="rId30">
        <w:r w:rsidDel="00000000" w:rsidR="00000000" w:rsidRPr="00000000">
          <w:rPr>
            <w:rFonts w:ascii="EB Garamond" w:cs="EB Garamond" w:eastAsia="EB Garamond" w:hAnsi="EB Garamond"/>
            <w:sz w:val="24"/>
            <w:szCs w:val="24"/>
          </w:rPr>
          <w:drawing>
            <wp:inline distB="19050" distT="19050" distL="19050" distR="19050">
              <wp:extent cx="495300" cy="114300"/>
              <wp:effectExtent b="0" l="0" r="0" t="0"/>
              <wp:docPr id="44" name="image46.png"/>
              <a:graphic>
                <a:graphicData uri="http://schemas.openxmlformats.org/drawingml/2006/picture">
                  <pic:pic>
                    <pic:nvPicPr>
                      <pic:cNvPr id="0" name="image46.png"/>
                      <pic:cNvPicPr preferRelativeResize="0"/>
                    </pic:nvPicPr>
                    <pic:blipFill>
                      <a:blip r:embed="rId31"/>
                      <a:srcRect b="0" l="0" r="0" t="0"/>
                      <a:stretch>
                        <a:fillRect/>
                      </a:stretch>
                    </pic:blipFill>
                    <pic:spPr>
                      <a:xfrm>
                        <a:off x="0" y="0"/>
                        <a:ext cx="495300" cy="114300"/>
                      </a:xfrm>
                      <a:prstGeom prst="rect"/>
                      <a:ln/>
                    </pic:spPr>
                  </pic:pic>
                </a:graphicData>
              </a:graphic>
            </wp:inline>
          </w:drawing>
        </w:r>
      </w:hyperlink>
      <w:r w:rsidDel="00000000" w:rsidR="00000000" w:rsidRPr="00000000">
        <w:rPr>
          <w:rFonts w:ascii="EB Garamond" w:cs="EB Garamond" w:eastAsia="EB Garamond" w:hAnsi="EB Garamond"/>
          <w:sz w:val="24"/>
          <w:szCs w:val="24"/>
          <w:rtl w:val="0"/>
        </w:rPr>
        <w:t xml:space="preserve"> and </w:t>
      </w:r>
      <w:hyperlink r:id="rId32">
        <w:r w:rsidDel="00000000" w:rsidR="00000000" w:rsidRPr="00000000">
          <w:rPr>
            <w:rFonts w:ascii="EB Garamond" w:cs="EB Garamond" w:eastAsia="EB Garamond" w:hAnsi="EB Garamond"/>
            <w:sz w:val="24"/>
            <w:szCs w:val="24"/>
          </w:rPr>
          <w:drawing>
            <wp:inline distB="19050" distT="19050" distL="19050" distR="19050">
              <wp:extent cx="368300" cy="114300"/>
              <wp:effectExtent b="0" l="0" r="0" t="0"/>
              <wp:docPr id="42" name="image30.png"/>
              <a:graphic>
                <a:graphicData uri="http://schemas.openxmlformats.org/drawingml/2006/picture">
                  <pic:pic>
                    <pic:nvPicPr>
                      <pic:cNvPr id="0" name="image30.png"/>
                      <pic:cNvPicPr preferRelativeResize="0"/>
                    </pic:nvPicPr>
                    <pic:blipFill>
                      <a:blip r:embed="rId33"/>
                      <a:srcRect b="0" l="0" r="0" t="0"/>
                      <a:stretch>
                        <a:fillRect/>
                      </a:stretch>
                    </pic:blipFill>
                    <pic:spPr>
                      <a:xfrm>
                        <a:off x="0" y="0"/>
                        <a:ext cx="368300" cy="114300"/>
                      </a:xfrm>
                      <a:prstGeom prst="rect"/>
                      <a:ln/>
                    </pic:spPr>
                  </pic:pic>
                </a:graphicData>
              </a:graphic>
            </wp:inline>
          </w:drawing>
        </w:r>
      </w:hyperlink>
      <w:r w:rsidDel="00000000" w:rsidR="00000000" w:rsidRPr="00000000">
        <w:rPr>
          <w:rFonts w:ascii="EB Garamond" w:cs="EB Garamond" w:eastAsia="EB Garamond" w:hAnsi="EB Garamond"/>
          <w:sz w:val="24"/>
          <w:szCs w:val="24"/>
          <w:rtl w:val="0"/>
        </w:rPr>
        <w:t xml:space="preserve">, utilize self-attention mechanisms to process text in parallel, improving the identification of depressive tendencies compared to traditional convolutional neural networks [REF], [REF].</w:t>
      </w:r>
    </w:p>
    <w:p w:rsidR="00000000" w:rsidDel="00000000" w:rsidP="00000000" w:rsidRDefault="00000000" w:rsidRPr="00000000" w14:paraId="00000051">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Transferability concerns persist when deploying risk prediction models across independent student cohorts [REF]. Many systems function as early proofs-of-concept trained on small sample sizes, which increases the likelihood of overfitting [REF], [REF]. Models trained on social media data frequently encounter demographic biases, as these platforms attract younger users and may not reflect the broader student population [REF], [REF]. Additionally, linguistic signals often depend on language-specific structures; for instance, grammatical indicators in one language may not translate effectively to others, necessitating specialized lexicons [REF], [REF]. Performance often declines when models encounter data from settings that differ from their training environment [REF]. Transfer learning offers a potential mechanism to adapt models for different purposes, yet the heterogeneity of salient mental health data remains a technical barrier [REF].</w:t>
      </w:r>
    </w:p>
    <w:p w:rsidR="00000000" w:rsidDel="00000000" w:rsidP="00000000" w:rsidRDefault="00000000" w:rsidRPr="00000000" w14:paraId="00000052">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deployment of large language models (</w:t>
      </w:r>
      <w:hyperlink r:id="rId34">
        <w:r w:rsidDel="00000000" w:rsidR="00000000" w:rsidRPr="00000000">
          <w:rPr>
            <w:rFonts w:ascii="EB Garamond" w:cs="EB Garamond" w:eastAsia="EB Garamond" w:hAnsi="EB Garamond"/>
            <w:sz w:val="24"/>
            <w:szCs w:val="24"/>
          </w:rPr>
          <w:drawing>
            <wp:inline distB="19050" distT="19050" distL="19050" distR="19050">
              <wp:extent cx="457200" cy="114300"/>
              <wp:effectExtent b="0" l="0" r="0" t="0"/>
              <wp:docPr id="34" name="image27.png"/>
              <a:graphic>
                <a:graphicData uri="http://schemas.openxmlformats.org/drawingml/2006/picture">
                  <pic:pic>
                    <pic:nvPicPr>
                      <pic:cNvPr id="0" name="image27.png"/>
                      <pic:cNvPicPr preferRelativeResize="0"/>
                    </pic:nvPicPr>
                    <pic:blipFill>
                      <a:blip r:embed="rId35"/>
                      <a:srcRect b="0" l="0" r="0" t="0"/>
                      <a:stretch>
                        <a:fillRect/>
                      </a:stretch>
                    </pic:blipFill>
                    <pic:spPr>
                      <a:xfrm>
                        <a:off x="0" y="0"/>
                        <a:ext cx="457200" cy="114300"/>
                      </a:xfrm>
                      <a:prstGeom prst="rect"/>
                      <a:ln/>
                    </pic:spPr>
                  </pic:pic>
                </a:graphicData>
              </a:graphic>
            </wp:inline>
          </w:drawing>
        </w:r>
      </w:hyperlink>
      <w:r w:rsidDel="00000000" w:rsidR="00000000" w:rsidRPr="00000000">
        <w:rPr>
          <w:rFonts w:ascii="EB Garamond" w:cs="EB Garamond" w:eastAsia="EB Garamond" w:hAnsi="EB Garamond"/>
          <w:sz w:val="24"/>
          <w:szCs w:val="24"/>
          <w:rtl w:val="0"/>
        </w:rPr>
        <w:t xml:space="preserve">) for risk indication introduces specific technical risks [REF]. While </w:t>
      </w:r>
      <w:hyperlink r:id="rId36">
        <w:r w:rsidDel="00000000" w:rsidR="00000000" w:rsidRPr="00000000">
          <w:rPr>
            <w:rFonts w:ascii="EB Garamond" w:cs="EB Garamond" w:eastAsia="EB Garamond" w:hAnsi="EB Garamond"/>
            <w:sz w:val="24"/>
            <w:szCs w:val="24"/>
          </w:rPr>
          <w:drawing>
            <wp:inline distB="19050" distT="19050" distL="19050" distR="19050">
              <wp:extent cx="457200" cy="114300"/>
              <wp:effectExtent b="0" l="0" r="0" t="0"/>
              <wp:docPr id="41" name="image36.png"/>
              <a:graphic>
                <a:graphicData uri="http://schemas.openxmlformats.org/drawingml/2006/picture">
                  <pic:pic>
                    <pic:nvPicPr>
                      <pic:cNvPr id="0" name="image36.png"/>
                      <pic:cNvPicPr preferRelativeResize="0"/>
                    </pic:nvPicPr>
                    <pic:blipFill>
                      <a:blip r:embed="rId35"/>
                      <a:srcRect b="0" l="0" r="0" t="0"/>
                      <a:stretch>
                        <a:fillRect/>
                      </a:stretch>
                    </pic:blipFill>
                    <pic:spPr>
                      <a:xfrm>
                        <a:off x="0" y="0"/>
                        <a:ext cx="457200" cy="114300"/>
                      </a:xfrm>
                      <a:prstGeom prst="rect"/>
                      <a:ln/>
                    </pic:spPr>
                  </pic:pic>
                </a:graphicData>
              </a:graphic>
            </wp:inline>
          </w:drawing>
        </w:r>
      </w:hyperlink>
      <w:r w:rsidDel="00000000" w:rsidR="00000000" w:rsidRPr="00000000">
        <w:rPr>
          <w:rFonts w:ascii="EB Garamond" w:cs="EB Garamond" w:eastAsia="EB Garamond" w:hAnsi="EB Garamond"/>
          <w:sz w:val="24"/>
          <w:szCs w:val="24"/>
          <w:rtl w:val="0"/>
        </w:rPr>
        <w:t xml:space="preserve"> exhibit high empathy and accuracy in textual analysis, they remain susceptible to "hallucinations," where the model confidently generates incorrect or hazardous information [REF], [REF]. The reliability of </w:t>
      </w:r>
      <w:hyperlink r:id="rId37">
        <w:r w:rsidDel="00000000" w:rsidR="00000000" w:rsidRPr="00000000">
          <w:rPr>
            <w:rFonts w:ascii="EB Garamond" w:cs="EB Garamond" w:eastAsia="EB Garamond" w:hAnsi="EB Garamond"/>
            <w:sz w:val="24"/>
            <w:szCs w:val="24"/>
          </w:rPr>
          <w:drawing>
            <wp:inline distB="19050" distT="19050" distL="19050" distR="19050">
              <wp:extent cx="393700" cy="114300"/>
              <wp:effectExtent b="0" l="0" r="0" t="0"/>
              <wp:docPr id="4" name="image38.png"/>
              <a:graphic>
                <a:graphicData uri="http://schemas.openxmlformats.org/drawingml/2006/picture">
                  <pic:pic>
                    <pic:nvPicPr>
                      <pic:cNvPr id="0" name="image38.png"/>
                      <pic:cNvPicPr preferRelativeResize="0"/>
                    </pic:nvPicPr>
                    <pic:blipFill>
                      <a:blip r:embed="rId38"/>
                      <a:srcRect b="0" l="0" r="0" t="0"/>
                      <a:stretch>
                        <a:fillRect/>
                      </a:stretch>
                    </pic:blipFill>
                    <pic:spPr>
                      <a:xfrm>
                        <a:off x="0" y="0"/>
                        <a:ext cx="393700" cy="114300"/>
                      </a:xfrm>
                      <a:prstGeom prst="rect"/>
                      <a:ln/>
                    </pic:spPr>
                  </pic:pic>
                </a:graphicData>
              </a:graphic>
            </wp:inline>
          </w:drawing>
        </w:r>
      </w:hyperlink>
      <w:r w:rsidDel="00000000" w:rsidR="00000000" w:rsidRPr="00000000">
        <w:rPr>
          <w:rFonts w:ascii="EB Garamond" w:cs="EB Garamond" w:eastAsia="EB Garamond" w:hAnsi="EB Garamond"/>
          <w:sz w:val="24"/>
          <w:szCs w:val="24"/>
          <w:rtl w:val="0"/>
        </w:rPr>
        <w:t xml:space="preserve"> outputs depends heavily on prompt engineering, where minor variations in input wording produce inconsistent risk assessments [REF], [REF]. Consequently, these models serve as early indication aids that require human oversight to ensure output stability in sensitive academic support contexts [REF].</w:t>
      </w:r>
    </w:p>
    <w:p w:rsidR="00000000" w:rsidDel="00000000" w:rsidP="00000000" w:rsidRDefault="00000000" w:rsidRPr="00000000" w14:paraId="00000053">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54">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55">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56">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57">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58">
      <w:pPr>
        <w:spacing w:after="240" w:before="240" w:lineRule="auto"/>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2.6 Explainability, Reproducibility, and Reporting Standards</w:t>
      </w:r>
    </w:p>
    <w:p w:rsidR="00000000" w:rsidDel="00000000" w:rsidP="00000000" w:rsidRDefault="00000000" w:rsidRPr="00000000" w14:paraId="00000059">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opaque nature of deep learning and transformer architectures creates a black-box effect where the rationale for a risk indicator remains hidden [REF], [REF]. For university support services, these hidden logics limit the utility of models for non-clinical interventions because decision-makers cannot verify the feature importance driving a specific risk score [REF]. Evidence establishes that explainable AI is necessary to go beyond black-box methods and justify recommendations to individuals [REF]. Transparent methods allow researchers to inspect the sequential logic of a classification, yet these are often neglected in favor of more complex models with higher raw performance [REF].</w:t>
      </w:r>
    </w:p>
    <w:p w:rsidR="00000000" w:rsidDel="00000000" w:rsidP="00000000" w:rsidRDefault="00000000" w:rsidRPr="00000000" w14:paraId="0000005A">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High-standard computational research requires adherence to established guidelines like the TRIPOD Statement to ensure steps taken for model development are replicable by other researchers [REF]. This framework demands clear documentation of the target population, predictor definitions, and internal validation techniques used to quantify optimism [REF]. Systematic reviews of prediction research consistently identify poor reporting of missing data handling, statistical techniques, and model building strategies [REF], [REF]. Complementing this, the PROBAST framework identifies risk of bias across four domains: participants, predictors, outcome, and analysis [REF]. Shortcomings in design or conduct often lead to distorted estimates of accuracy and model behavior [REF]. For instance, failure to blind outcome assessors or using inconsistent measurements for predictors introduces substantial bias into a developed model [REF].</w:t>
      </w:r>
    </w:p>
    <w:p w:rsidR="00000000" w:rsidDel="00000000" w:rsidP="00000000" w:rsidRDefault="00000000" w:rsidRPr="00000000" w14:paraId="0000005B">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Class imbalance presents a significant technical barrier when modeling infrequent occurrences like severe psychological distress or suicide ideation [REF]. Supervised systems often prioritize the identification of the majority class [REF]. By neglecting high-risk individuals in the minority group, this technical bias compromises the reliability of detection in real-world settings [REF]. External validity remains a primary concern as many systems function as early proofs-of-concept with limited validation on independent student cohorts [REF], [REF]. Demographic biases affect models relying on social media signals [REF]. Because younger platform users do not always represent the broader academic population, results may not generalize effectively [REF], [REF]. Implementing internal validation procedures such as bootstrapping or cross-validation is mandatory to account for potential overfitting [REF], [REF]. Model stability depends on performance verification with out-of-sample data [REF].</w:t>
      </w:r>
    </w:p>
    <w:p w:rsidR="00000000" w:rsidDel="00000000" w:rsidP="00000000" w:rsidRDefault="00000000" w:rsidRPr="00000000" w14:paraId="0000005C">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5D">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5E">
      <w:pPr>
        <w:spacing w:after="240" w:before="240" w:lineRule="auto"/>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2.7 Critical Synthesis and Gap Mapping to the Present Thesis</w:t>
      </w:r>
    </w:p>
    <w:p w:rsidR="00000000" w:rsidDel="00000000" w:rsidP="00000000" w:rsidRDefault="00000000" w:rsidRPr="00000000" w14:paraId="0000005F">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Validated psychometric instruments effectively quantify symptom severity, yet isolated measurement neglects the complex interplay between labor market stressors and protective resources [REF]. Meta-analytic data establishes that job insecurity impairs mental well-being, particularly for younger cohorts navigating early career entry [REF]. However, existing computational screening research frequently relies on single-modality data, such as social media text or electronic health records, which ignores the buffering influence of perceived social support [REF]. Technical evaluations indicate that while deep learning achieves high accuracy, the resulting opaque architectures restrict utility for university support systems requiring evidence-grounded interventions [REF].</w:t>
      </w:r>
    </w:p>
    <w:p w:rsidR="00000000" w:rsidDel="00000000" w:rsidP="00000000" w:rsidRDefault="00000000" w:rsidRPr="00000000" w14:paraId="00000060">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Prior models often omit objective behavioral signals of search intensity, contributing to inconsistent evidence regarding the psychosocial impact of job-seeking activities [REF]. To address this deficiency, the present thesis implements a multi-source feature framework where </w:t>
      </w:r>
      <w:hyperlink r:id="rId39">
        <w:r w:rsidDel="00000000" w:rsidR="00000000" w:rsidRPr="00000000">
          <w:rPr>
            <w:rFonts w:ascii="EB Garamond" w:cs="EB Garamond" w:eastAsia="EB Garamond" w:hAnsi="EB Garamond"/>
            <w:sz w:val="24"/>
            <w:szCs w:val="24"/>
          </w:rPr>
          <w:drawing>
            <wp:inline distB="19050" distT="19050" distL="19050" distR="19050">
              <wp:extent cx="482600" cy="152400"/>
              <wp:effectExtent b="0" l="0" r="0" t="0"/>
              <wp:docPr id="29"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482600" cy="152400"/>
                      </a:xfrm>
                      <a:prstGeom prst="rect"/>
                      <a:ln/>
                    </pic:spPr>
                  </pic:pic>
                </a:graphicData>
              </a:graphic>
            </wp:inline>
          </w:drawing>
        </w:r>
      </w:hyperlink>
      <w:r w:rsidDel="00000000" w:rsidR="00000000" w:rsidRPr="00000000">
        <w:rPr>
          <w:rFonts w:ascii="EB Garamond" w:cs="EB Garamond" w:eastAsia="EB Garamond" w:hAnsi="EB Garamond"/>
          <w:sz w:val="24"/>
          <w:szCs w:val="24"/>
          <w:rtl w:val="0"/>
        </w:rPr>
        <w:t xml:space="preserve"> represents a fused vector of psychometric, social, and behavioral signals [REF]. This design choice incorporates standardized scores from the PHQ-9 and GAD-7 alongside digital indicators of search planfulness and MSPSS-derived metrics [REF]. Such integration enables the detection of risk patterns associated with the deprivation of the latent functions provided by jobs, which single-source models typically fail to identify [REF].</w:t>
      </w:r>
    </w:p>
    <w:p w:rsidR="00000000" w:rsidDel="00000000" w:rsidP="00000000" w:rsidRDefault="00000000" w:rsidRPr="00000000" w14:paraId="00000061">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Literature consistently identifies high comorbidity between anxiety and depression, yet many screening systems treat these as independent binary classification tasks [REF]. This oversimplification potentially misses the additive effects of co-occurring symptoms on functional impairment during high-stress transitions [REF]. This research adopts joint risk classification baselines to model depression and anxiety severity levels simultaneously [REF]. By providing early indication signals rather than formal clinical diagnoses, the framework offers a more nuanced assessment of psychological vulnerability during the graduation phase [REF].</w:t>
      </w:r>
    </w:p>
    <w:p w:rsidR="00000000" w:rsidDel="00000000" w:rsidP="00000000" w:rsidRDefault="00000000" w:rsidRPr="00000000" w14:paraId="00000062">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significant methodological weakness in existing literature involves the preference for raw classification performance over transparency [REF]. The lack of explainability complicates ethical oversight and hinders informed consent within academic settings [REF]. The current study deploys model-agnostic mechanisms, specifically SHAP values, to provide interpretable evidence for model outputs [REF]. Identifying specific behavioral or social variables that function as primary predictors ensures that screening results serve as viable decision-support signals for non-clinical interventions [REF].</w:t>
      </w:r>
    </w:p>
    <w:p w:rsidR="00000000" w:rsidDel="00000000" w:rsidP="00000000" w:rsidRDefault="00000000" w:rsidRPr="00000000" w14:paraId="00000063">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Reviews using the TRIPOD and PROBAST frameworks identify widespread deficiencies in reporting quality and validation procedures [REF]. Shortcomings in documenting missing data handling and participant selection systematically distort performance estimates in many AI-based mental health studies [REF]. This thesis adheres to a reproducible evaluation protocol aligned with TRIPOD standards [REF]. Utilizing stratified splits and macro-F1 metrics ensures model stability across diverse student populations [REF]. This modular pipeline design facilitates evaluation rigor, ensuring that the indication system remains reliable for potential deployment [REF]. Establishing these procedures addresses current gaps in multimodal integration and reporting consistency [REF]. The following chapter details the specific methodological steps and technical architectures required to execute this computational framework [REF].</w:t>
      </w:r>
    </w:p>
    <w:p w:rsidR="00000000" w:rsidDel="00000000" w:rsidP="00000000" w:rsidRDefault="00000000" w:rsidRPr="00000000" w14:paraId="00000064">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65">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66">
      <w:pPr>
        <w:spacing w:after="240" w:before="240" w:lineRule="auto"/>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2.8 Chapter Summary</w:t>
      </w:r>
    </w:p>
    <w:p w:rsidR="00000000" w:rsidDel="00000000" w:rsidP="00000000" w:rsidRDefault="00000000" w:rsidRPr="00000000" w14:paraId="00000067">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chapter established that labor market uncertainty associates with significant psychological strain, particularly for school leavers [REF]. While standardized scales effectively quantify symptom severity, computational screening research often ignores the buffering effects of perceived social support [REF]. Literature synthesis revealed evidential inconsistencies regarding job-search behaviors [REF]. Methodological weaknesses persist [REF]. These include a heavy reliance on cross-sectional designs and opaque deep learning architectures [REF]. Deficiencies in reporting quality further limit model reproducibility [REF]. These findings establish the requirement for a modular indication pipeline that integrates multimodal features with model-agnostic explainability mechanisms [REF]. The identified gaps provide the technical justification for the experimental design detailed in the next chapter. This subsequent methodology describes the data integration, supervised learning baselines, and evaluation protocols required to produce stable early indication signals [REF].</w:t>
      </w:r>
    </w:p>
    <w:p w:rsidR="00000000" w:rsidDel="00000000" w:rsidP="00000000" w:rsidRDefault="00000000" w:rsidRPr="00000000" w14:paraId="00000068">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69">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6A">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6B">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6C">
      <w:pPr>
        <w:spacing w:after="240" w:before="240" w:lineRule="auto"/>
        <w:rPr>
          <w:rFonts w:ascii="EB Garamond" w:cs="EB Garamond" w:eastAsia="EB Garamond" w:hAnsi="EB Garamond"/>
          <w:b w:val="1"/>
          <w:bCs w:val="1"/>
          <w:sz w:val="32"/>
          <w:szCs w:val="32"/>
        </w:rPr>
      </w:pPr>
      <w:r w:rsidDel="00000000" w:rsidR="00000000" w:rsidRPr="00000000">
        <w:rPr>
          <w:rtl w:val="0"/>
        </w:rPr>
      </w:r>
    </w:p>
    <w:p w:rsidR="00000000" w:rsidDel="00000000" w:rsidP="00000000" w:rsidRDefault="00000000" w:rsidRPr="00000000" w14:paraId="0000006D">
      <w:pPr>
        <w:spacing w:after="240" w:before="240" w:lineRule="auto"/>
        <w:rPr>
          <w:rFonts w:ascii="EB Garamond" w:cs="EB Garamond" w:eastAsia="EB Garamond" w:hAnsi="EB Garamond"/>
          <w:b w:val="1"/>
          <w:bCs w:val="1"/>
          <w:sz w:val="32"/>
          <w:szCs w:val="32"/>
        </w:rPr>
      </w:pPr>
      <w:r w:rsidDel="00000000" w:rsidR="00000000" w:rsidRPr="00000000">
        <w:rPr>
          <w:rFonts w:ascii="EB Garamond" w:cs="EB Garamond" w:eastAsia="EB Garamond" w:hAnsi="EB Garamond"/>
          <w:b w:val="1"/>
          <w:bCs w:val="1"/>
          <w:sz w:val="32"/>
          <w:szCs w:val="32"/>
          <w:rtl w:val="0"/>
        </w:rPr>
        <w:t xml:space="preserve">3. Methodology</w:t>
      </w:r>
    </w:p>
    <w:p w:rsidR="00000000" w:rsidDel="00000000" w:rsidP="00000000" w:rsidRDefault="00000000" w:rsidRPr="00000000" w14:paraId="0000006E">
      <w:pPr>
        <w:spacing w:after="240" w:before="240" w:lineRule="auto"/>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3.1 Research Design</w:t>
      </w:r>
    </w:p>
    <w:p w:rsidR="00000000" w:rsidDel="00000000" w:rsidP="00000000" w:rsidRDefault="00000000" w:rsidRPr="00000000" w14:paraId="0000006F">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investigation adopts a quantitative, </w:t>
      </w:r>
      <w:r w:rsidDel="00000000" w:rsidR="00000000" w:rsidRPr="00000000">
        <w:rPr>
          <w:rFonts w:ascii="EB Garamond" w:cs="EB Garamond" w:eastAsia="EB Garamond" w:hAnsi="EB Garamond"/>
          <w:b w:val="1"/>
          <w:bCs w:val="1"/>
          <w:sz w:val="24"/>
          <w:szCs w:val="24"/>
          <w:rtl w:val="0"/>
        </w:rPr>
        <w:t xml:space="preserve">non-clinical risk screening design</w:t>
      </w:r>
      <w:r w:rsidDel="00000000" w:rsidR="00000000" w:rsidRPr="00000000">
        <w:rPr>
          <w:rFonts w:ascii="EB Garamond" w:cs="EB Garamond" w:eastAsia="EB Garamond" w:hAnsi="EB Garamond"/>
          <w:sz w:val="24"/>
          <w:szCs w:val="24"/>
          <w:rtl w:val="0"/>
        </w:rPr>
        <w:t xml:space="preserve"> to identify psychological vulnerability in university students navigating labor market entry [REF]. The system architecture </w:t>
      </w:r>
      <w:r w:rsidDel="00000000" w:rsidR="00000000" w:rsidRPr="00000000">
        <w:rPr>
          <w:rFonts w:ascii="EB Garamond" w:cs="EB Garamond" w:eastAsia="EB Garamond" w:hAnsi="EB Garamond"/>
          <w:b w:val="1"/>
          <w:bCs w:val="1"/>
          <w:sz w:val="24"/>
          <w:szCs w:val="24"/>
          <w:rtl w:val="0"/>
        </w:rPr>
        <w:t xml:space="preserve">will follow</w:t>
      </w:r>
      <w:r w:rsidDel="00000000" w:rsidR="00000000" w:rsidRPr="00000000">
        <w:rPr>
          <w:rFonts w:ascii="EB Garamond" w:cs="EB Garamond" w:eastAsia="EB Garamond" w:hAnsi="EB Garamond"/>
          <w:sz w:val="24"/>
          <w:szCs w:val="24"/>
          <w:rtl w:val="0"/>
        </w:rPr>
        <w:t xml:space="preserve"> a software engineering-oriented predictive modeling approach focusing on the development of a modular pipeline that prioritizes both experimental reproducibility and deployment feasibility [REF]. This chapter details the </w:t>
      </w:r>
      <w:r w:rsidDel="00000000" w:rsidR="00000000" w:rsidRPr="00000000">
        <w:rPr>
          <w:rFonts w:ascii="EB Garamond" w:cs="EB Garamond" w:eastAsia="EB Garamond" w:hAnsi="EB Garamond"/>
          <w:b w:val="1"/>
          <w:bCs w:val="1"/>
          <w:sz w:val="24"/>
          <w:szCs w:val="24"/>
          <w:rtl w:val="0"/>
        </w:rPr>
        <w:t xml:space="preserve">planned methodology</w:t>
      </w:r>
      <w:r w:rsidDel="00000000" w:rsidR="00000000" w:rsidRPr="00000000">
        <w:rPr>
          <w:rFonts w:ascii="EB Garamond" w:cs="EB Garamond" w:eastAsia="EB Garamond" w:hAnsi="EB Garamond"/>
          <w:sz w:val="24"/>
          <w:szCs w:val="24"/>
          <w:rtl w:val="0"/>
        </w:rPr>
        <w:t xml:space="preserve"> [REF]. The research design </w:t>
      </w:r>
      <w:r w:rsidDel="00000000" w:rsidR="00000000" w:rsidRPr="00000000">
        <w:rPr>
          <w:rFonts w:ascii="EB Garamond" w:cs="EB Garamond" w:eastAsia="EB Garamond" w:hAnsi="EB Garamond"/>
          <w:b w:val="1"/>
          <w:bCs w:val="1"/>
          <w:sz w:val="24"/>
          <w:szCs w:val="24"/>
          <w:rtl w:val="0"/>
        </w:rPr>
        <w:t xml:space="preserve">will utilize</w:t>
      </w:r>
      <w:r w:rsidDel="00000000" w:rsidR="00000000" w:rsidRPr="00000000">
        <w:rPr>
          <w:rFonts w:ascii="EB Garamond" w:cs="EB Garamond" w:eastAsia="EB Garamond" w:hAnsi="EB Garamond"/>
          <w:sz w:val="24"/>
          <w:szCs w:val="24"/>
          <w:rtl w:val="0"/>
        </w:rPr>
        <w:t xml:space="preserve"> a supervised learning framework to process high-dimensional feature vectors (</w:t>
      </w:r>
      <w:hyperlink r:id="rId40">
        <w:r w:rsidDel="00000000" w:rsidR="00000000" w:rsidRPr="00000000">
          <w:rPr>
            <w:rFonts w:ascii="EB Garamond" w:cs="EB Garamond" w:eastAsia="EB Garamond" w:hAnsi="EB Garamond"/>
            <w:sz w:val="24"/>
            <w:szCs w:val="24"/>
          </w:rPr>
          <w:drawing>
            <wp:inline distB="19050" distT="19050" distL="19050" distR="19050">
              <wp:extent cx="482600" cy="152400"/>
              <wp:effectExtent b="0" l="0" r="0" t="0"/>
              <wp:docPr id="27"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482600" cy="152400"/>
                      </a:xfrm>
                      <a:prstGeom prst="rect"/>
                      <a:ln/>
                    </pic:spPr>
                  </pic:pic>
                </a:graphicData>
              </a:graphic>
            </wp:inline>
          </w:drawing>
        </w:r>
      </w:hyperlink>
      <w:r w:rsidDel="00000000" w:rsidR="00000000" w:rsidRPr="00000000">
        <w:rPr>
          <w:rFonts w:ascii="EB Garamond" w:cs="EB Garamond" w:eastAsia="EB Garamond" w:hAnsi="EB Garamond"/>
          <w:sz w:val="24"/>
          <w:szCs w:val="24"/>
          <w:rtl w:val="0"/>
        </w:rPr>
        <w:t xml:space="preserve">) derived from the fusion of behavioral, social, and psychometric data streams [REF]. Multi-source signals </w:t>
      </w:r>
      <w:r w:rsidDel="00000000" w:rsidR="00000000" w:rsidRPr="00000000">
        <w:rPr>
          <w:rFonts w:ascii="EB Garamond" w:cs="EB Garamond" w:eastAsia="EB Garamond" w:hAnsi="EB Garamond"/>
          <w:b w:val="1"/>
          <w:bCs w:val="1"/>
          <w:sz w:val="24"/>
          <w:szCs w:val="24"/>
          <w:rtl w:val="0"/>
        </w:rPr>
        <w:t xml:space="preserve">will be integrated</w:t>
      </w:r>
      <w:r w:rsidDel="00000000" w:rsidR="00000000" w:rsidRPr="00000000">
        <w:rPr>
          <w:rFonts w:ascii="EB Garamond" w:cs="EB Garamond" w:eastAsia="EB Garamond" w:hAnsi="EB Garamond"/>
          <w:sz w:val="24"/>
          <w:szCs w:val="24"/>
          <w:rtl w:val="0"/>
        </w:rPr>
        <w:t xml:space="preserve"> to estimate the </w:t>
      </w:r>
      <w:r w:rsidDel="00000000" w:rsidR="00000000" w:rsidRPr="00000000">
        <w:rPr>
          <w:rFonts w:ascii="EB Garamond" w:cs="EB Garamond" w:eastAsia="EB Garamond" w:hAnsi="EB Garamond"/>
          <w:b w:val="1"/>
          <w:bCs w:val="1"/>
          <w:sz w:val="24"/>
          <w:szCs w:val="24"/>
          <w:rtl w:val="0"/>
        </w:rPr>
        <w:t xml:space="preserve">current risk state</w:t>
      </w:r>
      <w:r w:rsidDel="00000000" w:rsidR="00000000" w:rsidRPr="00000000">
        <w:rPr>
          <w:rFonts w:ascii="EB Garamond" w:cs="EB Garamond" w:eastAsia="EB Garamond" w:hAnsi="EB Garamond"/>
          <w:sz w:val="24"/>
          <w:szCs w:val="24"/>
          <w:rtl w:val="0"/>
        </w:rPr>
        <w:t xml:space="preserve"> for joint anxiety and depression categories using standardized Patient Health Questionnaire-9 (PHQ-9) and Generalized Anxiety Disorder-7 (GAD-7) metrics alongside digital behavioral indicators [REF]. Evaluation protocols </w:t>
      </w:r>
      <w:r w:rsidDel="00000000" w:rsidR="00000000" w:rsidRPr="00000000">
        <w:rPr>
          <w:rFonts w:ascii="EB Garamond" w:cs="EB Garamond" w:eastAsia="EB Garamond" w:hAnsi="EB Garamond"/>
          <w:b w:val="1"/>
          <w:bCs w:val="1"/>
          <w:sz w:val="24"/>
          <w:szCs w:val="24"/>
          <w:rtl w:val="0"/>
        </w:rPr>
        <w:t xml:space="preserve">will employ</w:t>
      </w:r>
      <w:r w:rsidDel="00000000" w:rsidR="00000000" w:rsidRPr="00000000">
        <w:rPr>
          <w:rFonts w:ascii="EB Garamond" w:cs="EB Garamond" w:eastAsia="EB Garamond" w:hAnsi="EB Garamond"/>
          <w:sz w:val="24"/>
          <w:szCs w:val="24"/>
          <w:rtl w:val="0"/>
        </w:rPr>
        <w:t xml:space="preserve"> stratified data splits [REF]. Adherence to the Transparent Reporting of a multivariable prediction model for Individual Prognosis or Diagnosis (TRIPOD) statement </w:t>
      </w:r>
      <w:r w:rsidDel="00000000" w:rsidR="00000000" w:rsidRPr="00000000">
        <w:rPr>
          <w:rFonts w:ascii="EB Garamond" w:cs="EB Garamond" w:eastAsia="EB Garamond" w:hAnsi="EB Garamond"/>
          <w:b w:val="1"/>
          <w:bCs w:val="1"/>
          <w:sz w:val="24"/>
          <w:szCs w:val="24"/>
          <w:rtl w:val="0"/>
        </w:rPr>
        <w:t xml:space="preserve">will ensure</w:t>
      </w:r>
      <w:r w:rsidDel="00000000" w:rsidR="00000000" w:rsidRPr="00000000">
        <w:rPr>
          <w:rFonts w:ascii="EB Garamond" w:cs="EB Garamond" w:eastAsia="EB Garamond" w:hAnsi="EB Garamond"/>
          <w:sz w:val="24"/>
          <w:szCs w:val="24"/>
          <w:rtl w:val="0"/>
        </w:rPr>
        <w:t xml:space="preserve"> the reporting rigor necessary for constructing a transparent evidence pipeline suitable for institutional decision support [REF]. Future technical execution </w:t>
      </w:r>
      <w:r w:rsidDel="00000000" w:rsidR="00000000" w:rsidRPr="00000000">
        <w:rPr>
          <w:rFonts w:ascii="EB Garamond" w:cs="EB Garamond" w:eastAsia="EB Garamond" w:hAnsi="EB Garamond"/>
          <w:b w:val="1"/>
          <w:bCs w:val="1"/>
          <w:sz w:val="24"/>
          <w:szCs w:val="24"/>
          <w:rtl w:val="0"/>
        </w:rPr>
        <w:t xml:space="preserve">will incorporate</w:t>
      </w:r>
      <w:r w:rsidDel="00000000" w:rsidR="00000000" w:rsidRPr="00000000">
        <w:rPr>
          <w:rFonts w:ascii="EB Garamond" w:cs="EB Garamond" w:eastAsia="EB Garamond" w:hAnsi="EB Garamond"/>
          <w:sz w:val="24"/>
          <w:szCs w:val="24"/>
          <w:rtl w:val="0"/>
        </w:rPr>
        <w:t xml:space="preserve"> model-agnostic explainability mechanisms to provide interpretable justifications for indicated risk scores [REF]. This roadmap establishes the technical foundation for non-clinical interventions in academic support environments [REF].</w:t>
      </w:r>
    </w:p>
    <w:p w:rsidR="00000000" w:rsidDel="00000000" w:rsidP="00000000" w:rsidRDefault="00000000" w:rsidRPr="00000000" w14:paraId="00000070">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71">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72">
      <w:pPr>
        <w:spacing w:after="240" w:before="240" w:lineRule="auto"/>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3.2 Study Population and Sampling Plan</w:t>
      </w:r>
    </w:p>
    <w:p w:rsidR="00000000" w:rsidDel="00000000" w:rsidP="00000000" w:rsidRDefault="00000000" w:rsidRPr="00000000" w14:paraId="00000073">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target population </w:t>
      </w:r>
      <w:r w:rsidDel="00000000" w:rsidR="00000000" w:rsidRPr="00000000">
        <w:rPr>
          <w:rFonts w:ascii="EB Garamond" w:cs="EB Garamond" w:eastAsia="EB Garamond" w:hAnsi="EB Garamond"/>
          <w:b w:val="1"/>
          <w:bCs w:val="1"/>
          <w:sz w:val="24"/>
          <w:szCs w:val="24"/>
          <w:rtl w:val="0"/>
        </w:rPr>
        <w:t xml:space="preserve">will comprise</w:t>
      </w:r>
      <w:r w:rsidDel="00000000" w:rsidR="00000000" w:rsidRPr="00000000">
        <w:rPr>
          <w:rFonts w:ascii="EB Garamond" w:cs="EB Garamond" w:eastAsia="EB Garamond" w:hAnsi="EB Garamond"/>
          <w:sz w:val="24"/>
          <w:szCs w:val="24"/>
          <w:rtl w:val="0"/>
        </w:rPr>
        <w:t xml:space="preserve"> university students currently navigating the transition from higher education to professional employment [REF]. Inclusion criteria </w:t>
      </w:r>
      <w:r w:rsidDel="00000000" w:rsidR="00000000" w:rsidRPr="00000000">
        <w:rPr>
          <w:rFonts w:ascii="EB Garamond" w:cs="EB Garamond" w:eastAsia="EB Garamond" w:hAnsi="EB Garamond"/>
          <w:b w:val="1"/>
          <w:bCs w:val="1"/>
          <w:sz w:val="24"/>
          <w:szCs w:val="24"/>
          <w:rtl w:val="0"/>
        </w:rPr>
        <w:t xml:space="preserve">will require</w:t>
      </w:r>
      <w:r w:rsidDel="00000000" w:rsidR="00000000" w:rsidRPr="00000000">
        <w:rPr>
          <w:rFonts w:ascii="EB Garamond" w:cs="EB Garamond" w:eastAsia="EB Garamond" w:hAnsi="EB Garamond"/>
          <w:sz w:val="24"/>
          <w:szCs w:val="24"/>
          <w:rtl w:val="0"/>
        </w:rPr>
        <w:t xml:space="preserve"> participants to be final-year undergraduates or recent graduates actively engaged in job-seeking activities [REF]. This cohort, often termed university students in the school-to-work transition, represents a demographic susceptible to the strain of constructing an occupational identity during labor market uncertainty [REF]. Exclusion criteria </w:t>
      </w:r>
      <w:r w:rsidDel="00000000" w:rsidR="00000000" w:rsidRPr="00000000">
        <w:rPr>
          <w:rFonts w:ascii="EB Garamond" w:cs="EB Garamond" w:eastAsia="EB Garamond" w:hAnsi="EB Garamond"/>
          <w:b w:val="1"/>
          <w:bCs w:val="1"/>
          <w:sz w:val="24"/>
          <w:szCs w:val="24"/>
          <w:rtl w:val="0"/>
        </w:rPr>
        <w:t xml:space="preserve">will apply</w:t>
      </w:r>
      <w:r w:rsidDel="00000000" w:rsidR="00000000" w:rsidRPr="00000000">
        <w:rPr>
          <w:rFonts w:ascii="EB Garamond" w:cs="EB Garamond" w:eastAsia="EB Garamond" w:hAnsi="EB Garamond"/>
          <w:sz w:val="24"/>
          <w:szCs w:val="24"/>
          <w:rtl w:val="0"/>
        </w:rPr>
        <w:t xml:space="preserve"> to individuals with pre-existing, formally diagnosed clinical disorders or those not available for workforce entry [REF]. These boundaries maintain the project focus on a non-clinical indication system for transition-related psychological vulnerability [REF].</w:t>
      </w:r>
    </w:p>
    <w:p w:rsidR="00000000" w:rsidDel="00000000" w:rsidP="00000000" w:rsidRDefault="00000000" w:rsidRPr="00000000" w14:paraId="00000074">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sampling strategy </w:t>
      </w:r>
      <w:r w:rsidDel="00000000" w:rsidR="00000000" w:rsidRPr="00000000">
        <w:rPr>
          <w:rFonts w:ascii="EB Garamond" w:cs="EB Garamond" w:eastAsia="EB Garamond" w:hAnsi="EB Garamond"/>
          <w:b w:val="1"/>
          <w:bCs w:val="1"/>
          <w:sz w:val="24"/>
          <w:szCs w:val="24"/>
          <w:rtl w:val="0"/>
        </w:rPr>
        <w:t xml:space="preserve">will utilize</w:t>
      </w:r>
      <w:r w:rsidDel="00000000" w:rsidR="00000000" w:rsidRPr="00000000">
        <w:rPr>
          <w:rFonts w:ascii="EB Garamond" w:cs="EB Garamond" w:eastAsia="EB Garamond" w:hAnsi="EB Garamond"/>
          <w:sz w:val="24"/>
          <w:szCs w:val="24"/>
          <w:rtl w:val="0"/>
        </w:rPr>
        <w:t xml:space="preserve"> non-probability convenience recruitment through academic career centers [REF]. To enhance applicability, a stratification plan </w:t>
      </w:r>
      <w:r w:rsidDel="00000000" w:rsidR="00000000" w:rsidRPr="00000000">
        <w:rPr>
          <w:rFonts w:ascii="EB Garamond" w:cs="EB Garamond" w:eastAsia="EB Garamond" w:hAnsi="EB Garamond"/>
          <w:b w:val="1"/>
          <w:bCs w:val="1"/>
          <w:sz w:val="24"/>
          <w:szCs w:val="24"/>
          <w:rtl w:val="0"/>
        </w:rPr>
        <w:t xml:space="preserve">will be executed</w:t>
      </w:r>
      <w:r w:rsidDel="00000000" w:rsidR="00000000" w:rsidRPr="00000000">
        <w:rPr>
          <w:rFonts w:ascii="EB Garamond" w:cs="EB Garamond" w:eastAsia="EB Garamond" w:hAnsi="EB Garamond"/>
          <w:sz w:val="24"/>
          <w:szCs w:val="24"/>
          <w:rtl w:val="0"/>
        </w:rPr>
        <w:t xml:space="preserve"> based on degree type and gender to mirror the broader university population [REF]. This design choice addresses demographic biases frequently identified in screening research [REF].</w:t>
      </w:r>
    </w:p>
    <w:p w:rsidR="00000000" w:rsidDel="00000000" w:rsidP="00000000" w:rsidRDefault="00000000" w:rsidRPr="00000000" w14:paraId="00000075">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Determining the minimum sample size (</w:t>
      </w:r>
      <w:hyperlink r:id="rId41">
        <w:r w:rsidDel="00000000" w:rsidR="00000000" w:rsidRPr="00000000">
          <w:rPr>
            <w:rFonts w:ascii="EB Garamond" w:cs="EB Garamond" w:eastAsia="EB Garamond" w:hAnsi="EB Garamond"/>
            <w:sz w:val="24"/>
            <w:szCs w:val="24"/>
          </w:rPr>
          <w:drawing>
            <wp:inline distB="19050" distT="19050" distL="19050" distR="19050">
              <wp:extent cx="76200" cy="76200"/>
              <wp:effectExtent b="0" l="0" r="0" t="0"/>
              <wp:docPr id="46" name="image39.png"/>
              <a:graphic>
                <a:graphicData uri="http://schemas.openxmlformats.org/drawingml/2006/picture">
                  <pic:pic>
                    <pic:nvPicPr>
                      <pic:cNvPr id="0" name="image39.png"/>
                      <pic:cNvPicPr preferRelativeResize="0"/>
                    </pic:nvPicPr>
                    <pic:blipFill>
                      <a:blip r:embed="rId42"/>
                      <a:srcRect b="0" l="0" r="0" t="0"/>
                      <a:stretch>
                        <a:fillRect/>
                      </a:stretch>
                    </pic:blipFill>
                    <pic:spPr>
                      <a:xfrm>
                        <a:off x="0" y="0"/>
                        <a:ext cx="76200" cy="76200"/>
                      </a:xfrm>
                      <a:prstGeom prst="rect"/>
                      <a:ln/>
                    </pic:spPr>
                  </pic:pic>
                </a:graphicData>
              </a:graphic>
            </wp:inline>
          </w:drawing>
        </w:r>
      </w:hyperlink>
      <w:r w:rsidDel="00000000" w:rsidR="00000000" w:rsidRPr="00000000">
        <w:rPr>
          <w:rFonts w:ascii="EB Garamond" w:cs="EB Garamond" w:eastAsia="EB Garamond" w:hAnsi="EB Garamond"/>
          <w:sz w:val="24"/>
          <w:szCs w:val="24"/>
          <w:rtl w:val="0"/>
        </w:rPr>
        <w:t xml:space="preserve">) </w:t>
      </w:r>
      <w:r w:rsidDel="00000000" w:rsidR="00000000" w:rsidRPr="00000000">
        <w:rPr>
          <w:rFonts w:ascii="EB Garamond" w:cs="EB Garamond" w:eastAsia="EB Garamond" w:hAnsi="EB Garamond"/>
          <w:b w:val="1"/>
          <w:bCs w:val="1"/>
          <w:sz w:val="24"/>
          <w:szCs w:val="24"/>
          <w:rtl w:val="0"/>
        </w:rPr>
        <w:t xml:space="preserve">will depend</w:t>
      </w:r>
      <w:r w:rsidDel="00000000" w:rsidR="00000000" w:rsidRPr="00000000">
        <w:rPr>
          <w:rFonts w:ascii="EB Garamond" w:cs="EB Garamond" w:eastAsia="EB Garamond" w:hAnsi="EB Garamond"/>
          <w:sz w:val="24"/>
          <w:szCs w:val="24"/>
          <w:rtl w:val="0"/>
        </w:rPr>
        <w:t xml:space="preserve"> on the requirements of supervised machine learning (</w:t>
      </w:r>
      <w:hyperlink r:id="rId43">
        <w:r w:rsidDel="00000000" w:rsidR="00000000" w:rsidRPr="00000000">
          <w:rPr>
            <w:rFonts w:ascii="EB Garamond" w:cs="EB Garamond" w:eastAsia="EB Garamond" w:hAnsi="EB Garamond"/>
            <w:sz w:val="24"/>
            <w:szCs w:val="24"/>
          </w:rPr>
          <w:drawing>
            <wp:inline distB="19050" distT="19050" distL="19050" distR="19050">
              <wp:extent cx="381000" cy="114300"/>
              <wp:effectExtent b="0" l="0" r="0" t="0"/>
              <wp:docPr id="2"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381000" cy="114300"/>
                      </a:xfrm>
                      <a:prstGeom prst="rect"/>
                      <a:ln/>
                    </pic:spPr>
                  </pic:pic>
                </a:graphicData>
              </a:graphic>
            </wp:inline>
          </w:drawing>
        </w:r>
      </w:hyperlink>
      <w:r w:rsidDel="00000000" w:rsidR="00000000" w:rsidRPr="00000000">
        <w:rPr>
          <w:rFonts w:ascii="EB Garamond" w:cs="EB Garamond" w:eastAsia="EB Garamond" w:hAnsi="EB Garamond"/>
          <w:sz w:val="24"/>
          <w:szCs w:val="24"/>
          <w:rtl w:val="0"/>
        </w:rPr>
        <w:t xml:space="preserve">) baselines [REF]. The methodology </w:t>
      </w:r>
      <w:r w:rsidDel="00000000" w:rsidR="00000000" w:rsidRPr="00000000">
        <w:rPr>
          <w:rFonts w:ascii="EB Garamond" w:cs="EB Garamond" w:eastAsia="EB Garamond" w:hAnsi="EB Garamond"/>
          <w:b w:val="1"/>
          <w:bCs w:val="1"/>
          <w:sz w:val="24"/>
          <w:szCs w:val="24"/>
          <w:rtl w:val="0"/>
        </w:rPr>
        <w:t xml:space="preserve">will prioritize</w:t>
      </w:r>
      <w:r w:rsidDel="00000000" w:rsidR="00000000" w:rsidRPr="00000000">
        <w:rPr>
          <w:rFonts w:ascii="EB Garamond" w:cs="EB Garamond" w:eastAsia="EB Garamond" w:hAnsi="EB Garamond"/>
          <w:sz w:val="24"/>
          <w:szCs w:val="24"/>
          <w:rtl w:val="0"/>
        </w:rPr>
        <w:t xml:space="preserve"> collecting sufficient data to support the training of high-dimensional feature vectors (</w:t>
      </w:r>
      <w:hyperlink r:id="rId44">
        <w:r w:rsidDel="00000000" w:rsidR="00000000" w:rsidRPr="00000000">
          <w:rPr>
            <w:rFonts w:ascii="EB Garamond" w:cs="EB Garamond" w:eastAsia="EB Garamond" w:hAnsi="EB Garamond"/>
            <w:sz w:val="24"/>
            <w:szCs w:val="24"/>
          </w:rPr>
          <w:drawing>
            <wp:inline distB="19050" distT="19050" distL="19050" distR="19050">
              <wp:extent cx="482600" cy="152400"/>
              <wp:effectExtent b="0" l="0" r="0" t="0"/>
              <wp:docPr id="19" name="image34.png"/>
              <a:graphic>
                <a:graphicData uri="http://schemas.openxmlformats.org/drawingml/2006/picture">
                  <pic:pic>
                    <pic:nvPicPr>
                      <pic:cNvPr id="0" name="image34.png"/>
                      <pic:cNvPicPr preferRelativeResize="0"/>
                    </pic:nvPicPr>
                    <pic:blipFill>
                      <a:blip r:embed="rId7"/>
                      <a:srcRect b="0" l="0" r="0" t="0"/>
                      <a:stretch>
                        <a:fillRect/>
                      </a:stretch>
                    </pic:blipFill>
                    <pic:spPr>
                      <a:xfrm>
                        <a:off x="0" y="0"/>
                        <a:ext cx="482600" cy="152400"/>
                      </a:xfrm>
                      <a:prstGeom prst="rect"/>
                      <a:ln/>
                    </pic:spPr>
                  </pic:pic>
                </a:graphicData>
              </a:graphic>
            </wp:inline>
          </w:drawing>
        </w:r>
      </w:hyperlink>
      <w:r w:rsidDel="00000000" w:rsidR="00000000" w:rsidRPr="00000000">
        <w:rPr>
          <w:rFonts w:ascii="EB Garamond" w:cs="EB Garamond" w:eastAsia="EB Garamond" w:hAnsi="EB Garamond"/>
          <w:sz w:val="24"/>
          <w:szCs w:val="24"/>
          <w:rtl w:val="0"/>
        </w:rPr>
        <w:t xml:space="preserve">) [REF]. Specifically, recruitment </w:t>
      </w:r>
      <w:r w:rsidDel="00000000" w:rsidR="00000000" w:rsidRPr="00000000">
        <w:rPr>
          <w:rFonts w:ascii="EB Garamond" w:cs="EB Garamond" w:eastAsia="EB Garamond" w:hAnsi="EB Garamond"/>
          <w:b w:val="1"/>
          <w:bCs w:val="1"/>
          <w:sz w:val="24"/>
          <w:szCs w:val="24"/>
          <w:rtl w:val="0"/>
        </w:rPr>
        <w:t xml:space="preserve">will aim</w:t>
      </w:r>
      <w:r w:rsidDel="00000000" w:rsidR="00000000" w:rsidRPr="00000000">
        <w:rPr>
          <w:rFonts w:ascii="EB Garamond" w:cs="EB Garamond" w:eastAsia="EB Garamond" w:hAnsi="EB Garamond"/>
          <w:sz w:val="24"/>
          <w:szCs w:val="24"/>
          <w:rtl w:val="0"/>
        </w:rPr>
        <w:t xml:space="preserve"> to provide enough minority class representations for severe anxiety and depression categories to mitigate class imbalance distortion [REF]. Implementing validation protocols like cross-validation </w:t>
      </w:r>
      <w:r w:rsidDel="00000000" w:rsidR="00000000" w:rsidRPr="00000000">
        <w:rPr>
          <w:rFonts w:ascii="EB Garamond" w:cs="EB Garamond" w:eastAsia="EB Garamond" w:hAnsi="EB Garamond"/>
          <w:b w:val="1"/>
          <w:bCs w:val="1"/>
          <w:sz w:val="24"/>
          <w:szCs w:val="24"/>
          <w:rtl w:val="0"/>
        </w:rPr>
        <w:t xml:space="preserve">will necessitate</w:t>
      </w:r>
      <w:r w:rsidDel="00000000" w:rsidR="00000000" w:rsidRPr="00000000">
        <w:rPr>
          <w:rFonts w:ascii="EB Garamond" w:cs="EB Garamond" w:eastAsia="EB Garamond" w:hAnsi="EB Garamond"/>
          <w:sz w:val="24"/>
          <w:szCs w:val="24"/>
          <w:rtl w:val="0"/>
        </w:rPr>
        <w:t xml:space="preserve"> a volume of participants that allows for stable estimation of macro-F1 and sensitivity performance [REF]. Rigorous documentation of these selection procedures </w:t>
      </w:r>
      <w:r w:rsidDel="00000000" w:rsidR="00000000" w:rsidRPr="00000000">
        <w:rPr>
          <w:rFonts w:ascii="EB Garamond" w:cs="EB Garamond" w:eastAsia="EB Garamond" w:hAnsi="EB Garamond"/>
          <w:b w:val="1"/>
          <w:bCs w:val="1"/>
          <w:sz w:val="24"/>
          <w:szCs w:val="24"/>
          <w:rtl w:val="0"/>
        </w:rPr>
        <w:t xml:space="preserve">will follow</w:t>
      </w:r>
      <w:r w:rsidDel="00000000" w:rsidR="00000000" w:rsidRPr="00000000">
        <w:rPr>
          <w:rFonts w:ascii="EB Garamond" w:cs="EB Garamond" w:eastAsia="EB Garamond" w:hAnsi="EB Garamond"/>
          <w:sz w:val="24"/>
          <w:szCs w:val="24"/>
          <w:rtl w:val="0"/>
        </w:rPr>
        <w:t xml:space="preserve"> PROBAST standards to ensure transparency and minimize risk of bias [REF].</w:t>
      </w:r>
    </w:p>
    <w:p w:rsidR="00000000" w:rsidDel="00000000" w:rsidP="00000000" w:rsidRDefault="00000000" w:rsidRPr="00000000" w14:paraId="00000076">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77">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78">
      <w:pPr>
        <w:spacing w:after="240" w:before="240" w:lineRule="auto"/>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3.3 Variables and Measurement Instruments</w:t>
      </w:r>
    </w:p>
    <w:p w:rsidR="00000000" w:rsidDel="00000000" w:rsidP="00000000" w:rsidRDefault="00000000" w:rsidRPr="00000000" w14:paraId="00000079">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dependent variables (</w:t>
      </w:r>
      <w:hyperlink r:id="rId45">
        <w:r w:rsidDel="00000000" w:rsidR="00000000" w:rsidRPr="00000000">
          <w:rPr>
            <w:rFonts w:ascii="EB Garamond" w:cs="EB Garamond" w:eastAsia="EB Garamond" w:hAnsi="EB Garamond"/>
            <w:sz w:val="24"/>
            <w:szCs w:val="24"/>
          </w:rPr>
          <w:drawing>
            <wp:inline distB="19050" distT="19050" distL="19050" distR="19050">
              <wp:extent cx="76200" cy="114300"/>
              <wp:effectExtent b="0" l="0" r="0" t="0"/>
              <wp:docPr id="23"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76200" cy="114300"/>
                      </a:xfrm>
                      <a:prstGeom prst="rect"/>
                      <a:ln/>
                    </pic:spPr>
                  </pic:pic>
                </a:graphicData>
              </a:graphic>
            </wp:inline>
          </w:drawing>
        </w:r>
      </w:hyperlink>
      <w:r w:rsidDel="00000000" w:rsidR="00000000" w:rsidRPr="00000000">
        <w:rPr>
          <w:rFonts w:ascii="EB Garamond" w:cs="EB Garamond" w:eastAsia="EB Garamond" w:hAnsi="EB Garamond"/>
          <w:sz w:val="24"/>
          <w:szCs w:val="24"/>
          <w:rtl w:val="0"/>
        </w:rPr>
        <w:t xml:space="preserve">) represent </w:t>
      </w:r>
      <w:r w:rsidDel="00000000" w:rsidR="00000000" w:rsidRPr="00000000">
        <w:rPr>
          <w:rFonts w:ascii="EB Garamond" w:cs="EB Garamond" w:eastAsia="EB Garamond" w:hAnsi="EB Garamond"/>
          <w:b w:val="1"/>
          <w:bCs w:val="1"/>
          <w:sz w:val="24"/>
          <w:szCs w:val="24"/>
          <w:rtl w:val="0"/>
        </w:rPr>
        <w:t xml:space="preserve">binary or ordinal risk indicators</w:t>
      </w:r>
      <w:r w:rsidDel="00000000" w:rsidR="00000000" w:rsidRPr="00000000">
        <w:rPr>
          <w:rFonts w:ascii="EB Garamond" w:cs="EB Garamond" w:eastAsia="EB Garamond" w:hAnsi="EB Garamond"/>
          <w:sz w:val="24"/>
          <w:szCs w:val="24"/>
          <w:rtl w:val="0"/>
        </w:rPr>
        <w:t xml:space="preserve"> derived from standardized psychometric tools [REF]. Depressive symptom severity is quantified using the </w:t>
      </w:r>
      <w:r w:rsidDel="00000000" w:rsidR="00000000" w:rsidRPr="00000000">
        <w:rPr>
          <w:rFonts w:ascii="EB Garamond" w:cs="EB Garamond" w:eastAsia="EB Garamond" w:hAnsi="EB Garamond"/>
          <w:b w:val="1"/>
          <w:bCs w:val="1"/>
          <w:sz w:val="24"/>
          <w:szCs w:val="24"/>
          <w:rtl w:val="0"/>
        </w:rPr>
        <w:t xml:space="preserve">PHQ-9 screening tool</w:t>
      </w:r>
      <w:r w:rsidDel="00000000" w:rsidR="00000000" w:rsidRPr="00000000">
        <w:rPr>
          <w:rFonts w:ascii="EB Garamond" w:cs="EB Garamond" w:eastAsia="EB Garamond" w:hAnsi="EB Garamond"/>
          <w:sz w:val="24"/>
          <w:szCs w:val="24"/>
          <w:rtl w:val="0"/>
        </w:rPr>
        <w:t xml:space="preserve">, which evaluates the frequency of specific symptoms over a 14-day interval [REF]. Each of the nine entries is scored on a 0–3 Likert scale, resulting in a total range of 0 to 27 [REF]. A threshold of 10 or greater identifies high-risk states with a documented sensitivity of 88% [REF]. Anxiety indication is operationalized through the </w:t>
      </w:r>
      <w:r w:rsidDel="00000000" w:rsidR="00000000" w:rsidRPr="00000000">
        <w:rPr>
          <w:rFonts w:ascii="EB Garamond" w:cs="EB Garamond" w:eastAsia="EB Garamond" w:hAnsi="EB Garamond"/>
          <w:b w:val="1"/>
          <w:bCs w:val="1"/>
          <w:sz w:val="24"/>
          <w:szCs w:val="24"/>
          <w:rtl w:val="0"/>
        </w:rPr>
        <w:t xml:space="preserve">GAD-7 anxiety scale</w:t>
      </w:r>
      <w:r w:rsidDel="00000000" w:rsidR="00000000" w:rsidRPr="00000000">
        <w:rPr>
          <w:rFonts w:ascii="EB Garamond" w:cs="EB Garamond" w:eastAsia="EB Garamond" w:hAnsi="EB Garamond"/>
          <w:sz w:val="24"/>
          <w:szCs w:val="24"/>
          <w:rtl w:val="0"/>
        </w:rPr>
        <w:t xml:space="preserve"> [REF]. This instrument utilizes seven items to produce an aggregate score between 0 and 21 [REF]. For classification purposes, a cut-point of 10 or higher designates the probable risk class, while tiers of 5, 10, and 15 represent mild, moderate, and severe risk levels [REF].</w:t>
      </w:r>
    </w:p>
    <w:p w:rsidR="00000000" w:rsidDel="00000000" w:rsidP="00000000" w:rsidRDefault="00000000" w:rsidRPr="00000000" w14:paraId="0000007A">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Predictor feature vectors (</w:t>
      </w:r>
      <w:hyperlink r:id="rId46">
        <w:r w:rsidDel="00000000" w:rsidR="00000000" w:rsidRPr="00000000">
          <w:rPr>
            <w:rFonts w:ascii="EB Garamond" w:cs="EB Garamond" w:eastAsia="EB Garamond" w:hAnsi="EB Garamond"/>
            <w:sz w:val="24"/>
            <w:szCs w:val="24"/>
          </w:rPr>
          <w:drawing>
            <wp:inline distB="19050" distT="19050" distL="19050" distR="19050">
              <wp:extent cx="76200" cy="76200"/>
              <wp:effectExtent b="0" l="0" r="0" t="0"/>
              <wp:docPr id="6" name="image6.png"/>
              <a:graphic>
                <a:graphicData uri="http://schemas.openxmlformats.org/drawingml/2006/picture">
                  <pic:pic>
                    <pic:nvPicPr>
                      <pic:cNvPr id="0" name="image6.png"/>
                      <pic:cNvPicPr preferRelativeResize="0"/>
                    </pic:nvPicPr>
                    <pic:blipFill>
                      <a:blip r:embed="rId47"/>
                      <a:srcRect b="0" l="0" r="0" t="0"/>
                      <a:stretch>
                        <a:fillRect/>
                      </a:stretch>
                    </pic:blipFill>
                    <pic:spPr>
                      <a:xfrm>
                        <a:off x="0" y="0"/>
                        <a:ext cx="76200" cy="76200"/>
                      </a:xfrm>
                      <a:prstGeom prst="rect"/>
                      <a:ln/>
                    </pic:spPr>
                  </pic:pic>
                </a:graphicData>
              </a:graphic>
            </wp:inline>
          </w:drawing>
        </w:r>
      </w:hyperlink>
      <w:r w:rsidDel="00000000" w:rsidR="00000000" w:rsidRPr="00000000">
        <w:rPr>
          <w:rFonts w:ascii="EB Garamond" w:cs="EB Garamond" w:eastAsia="EB Garamond" w:hAnsi="EB Garamond"/>
          <w:sz w:val="24"/>
          <w:szCs w:val="24"/>
          <w:rtl w:val="0"/>
        </w:rPr>
        <w:t xml:space="preserve">) are organized into three groups to provide multimodal context [REF]. The </w:t>
      </w:r>
      <w:r w:rsidDel="00000000" w:rsidR="00000000" w:rsidRPr="00000000">
        <w:rPr>
          <w:rFonts w:ascii="EB Garamond" w:cs="EB Garamond" w:eastAsia="EB Garamond" w:hAnsi="EB Garamond"/>
          <w:b w:val="1"/>
          <w:bCs w:val="1"/>
          <w:sz w:val="24"/>
          <w:szCs w:val="24"/>
          <w:rtl w:val="0"/>
        </w:rPr>
        <w:t xml:space="preserve">self-report group</w:t>
      </w:r>
      <w:r w:rsidDel="00000000" w:rsidR="00000000" w:rsidRPr="00000000">
        <w:rPr>
          <w:rFonts w:ascii="EB Garamond" w:cs="EB Garamond" w:eastAsia="EB Garamond" w:hAnsi="EB Garamond"/>
          <w:sz w:val="24"/>
          <w:szCs w:val="24"/>
          <w:rtl w:val="0"/>
        </w:rPr>
        <w:t xml:space="preserve"> incorporates individual Likert-item responses as ordinal features for the model [REF]. The </w:t>
      </w:r>
      <w:r w:rsidDel="00000000" w:rsidR="00000000" w:rsidRPr="00000000">
        <w:rPr>
          <w:rFonts w:ascii="EB Garamond" w:cs="EB Garamond" w:eastAsia="EB Garamond" w:hAnsi="EB Garamond"/>
          <w:b w:val="1"/>
          <w:bCs w:val="1"/>
          <w:sz w:val="24"/>
          <w:szCs w:val="24"/>
          <w:rtl w:val="0"/>
        </w:rPr>
        <w:t xml:space="preserve">social support group</w:t>
      </w:r>
      <w:r w:rsidDel="00000000" w:rsidR="00000000" w:rsidRPr="00000000">
        <w:rPr>
          <w:rFonts w:ascii="EB Garamond" w:cs="EB Garamond" w:eastAsia="EB Garamond" w:hAnsi="EB Garamond"/>
          <w:sz w:val="24"/>
          <w:szCs w:val="24"/>
          <w:rtl w:val="0"/>
        </w:rPr>
        <w:t xml:space="preserve"> utilizes the </w:t>
      </w:r>
      <w:r w:rsidDel="00000000" w:rsidR="00000000" w:rsidRPr="00000000">
        <w:rPr>
          <w:rFonts w:ascii="EB Garamond" w:cs="EB Garamond" w:eastAsia="EB Garamond" w:hAnsi="EB Garamond"/>
          <w:b w:val="1"/>
          <w:bCs w:val="1"/>
          <w:sz w:val="24"/>
          <w:szCs w:val="24"/>
          <w:rtl w:val="0"/>
        </w:rPr>
        <w:t xml:space="preserve">MSPSS multi-dimensional scale</w:t>
      </w:r>
      <w:r w:rsidDel="00000000" w:rsidR="00000000" w:rsidRPr="00000000">
        <w:rPr>
          <w:rFonts w:ascii="EB Garamond" w:cs="EB Garamond" w:eastAsia="EB Garamond" w:hAnsi="EB Garamond"/>
          <w:sz w:val="24"/>
          <w:szCs w:val="24"/>
          <w:rtl w:val="0"/>
        </w:rPr>
        <w:t xml:space="preserve"> to quantify external protective resources [REF]. This 12-item measure evaluates subjective adequacy across three independent subscales: family, friends, and significant others [REF]. Items are recorded on a 1–7 scale, and subscale totals function as continuous predictors within the supervised learning baselines [REF].</w:t>
      </w:r>
    </w:p>
    <w:p w:rsidR="00000000" w:rsidDel="00000000" w:rsidP="00000000" w:rsidRDefault="00000000" w:rsidRPr="00000000" w14:paraId="0000007B">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w:t>
      </w:r>
      <w:r w:rsidDel="00000000" w:rsidR="00000000" w:rsidRPr="00000000">
        <w:rPr>
          <w:rFonts w:ascii="EB Garamond" w:cs="EB Garamond" w:eastAsia="EB Garamond" w:hAnsi="EB Garamond"/>
          <w:b w:val="1"/>
          <w:bCs w:val="1"/>
          <w:sz w:val="24"/>
          <w:szCs w:val="24"/>
          <w:rtl w:val="0"/>
        </w:rPr>
        <w:t xml:space="preserve">job-search behavioral group</w:t>
      </w:r>
      <w:r w:rsidDel="00000000" w:rsidR="00000000" w:rsidRPr="00000000">
        <w:rPr>
          <w:rFonts w:ascii="EB Garamond" w:cs="EB Garamond" w:eastAsia="EB Garamond" w:hAnsi="EB Garamond"/>
          <w:sz w:val="24"/>
          <w:szCs w:val="24"/>
          <w:rtl w:val="0"/>
        </w:rPr>
        <w:t xml:space="preserve"> operationalizes activity patterns during the employment transition [REF]. </w:t>
      </w:r>
      <w:r w:rsidDel="00000000" w:rsidR="00000000" w:rsidRPr="00000000">
        <w:rPr>
          <w:rFonts w:ascii="EB Garamond" w:cs="EB Garamond" w:eastAsia="EB Garamond" w:hAnsi="EB Garamond"/>
          <w:b w:val="1"/>
          <w:bCs w:val="1"/>
          <w:sz w:val="24"/>
          <w:szCs w:val="24"/>
          <w:rtl w:val="0"/>
        </w:rPr>
        <w:t xml:space="preserve">Intensity of searching</w:t>
      </w:r>
      <w:r w:rsidDel="00000000" w:rsidR="00000000" w:rsidRPr="00000000">
        <w:rPr>
          <w:rFonts w:ascii="EB Garamond" w:cs="EB Garamond" w:eastAsia="EB Garamond" w:hAnsi="EB Garamond"/>
          <w:sz w:val="24"/>
          <w:szCs w:val="24"/>
          <w:rtl w:val="0"/>
        </w:rPr>
        <w:t xml:space="preserve"> reflects the degree of engagement in job-seeking activities, often measured by the frequency of application submissions or active contacts [REF]. </w:t>
      </w:r>
      <w:r w:rsidDel="00000000" w:rsidR="00000000" w:rsidRPr="00000000">
        <w:rPr>
          <w:rFonts w:ascii="EB Garamond" w:cs="EB Garamond" w:eastAsia="EB Garamond" w:hAnsi="EB Garamond"/>
          <w:b w:val="1"/>
          <w:bCs w:val="1"/>
          <w:sz w:val="24"/>
          <w:szCs w:val="24"/>
          <w:rtl w:val="0"/>
        </w:rPr>
        <w:t xml:space="preserve">Search planfulness</w:t>
      </w:r>
      <w:r w:rsidDel="00000000" w:rsidR="00000000" w:rsidRPr="00000000">
        <w:rPr>
          <w:rFonts w:ascii="EB Garamond" w:cs="EB Garamond" w:eastAsia="EB Garamond" w:hAnsi="EB Garamond"/>
          <w:sz w:val="24"/>
          <w:szCs w:val="24"/>
          <w:rtl w:val="0"/>
        </w:rPr>
        <w:t xml:space="preserve"> defines the strategic orientation of the seeker [REF]. It is categorized into </w:t>
      </w:r>
      <w:r w:rsidDel="00000000" w:rsidR="00000000" w:rsidRPr="00000000">
        <w:rPr>
          <w:rFonts w:ascii="EB Garamond" w:cs="EB Garamond" w:eastAsia="EB Garamond" w:hAnsi="EB Garamond"/>
          <w:b w:val="1"/>
          <w:bCs w:val="1"/>
          <w:sz w:val="24"/>
          <w:szCs w:val="24"/>
          <w:rtl w:val="0"/>
        </w:rPr>
        <w:t xml:space="preserve">focused searches</w:t>
      </w:r>
      <w:r w:rsidDel="00000000" w:rsidR="00000000" w:rsidRPr="00000000">
        <w:rPr>
          <w:rFonts w:ascii="EB Garamond" w:cs="EB Garamond" w:eastAsia="EB Garamond" w:hAnsi="EB Garamond"/>
          <w:sz w:val="24"/>
          <w:szCs w:val="24"/>
          <w:rtl w:val="0"/>
        </w:rPr>
        <w:t xml:space="preserve"> with specific objectives and </w:t>
      </w:r>
      <w:r w:rsidDel="00000000" w:rsidR="00000000" w:rsidRPr="00000000">
        <w:rPr>
          <w:rFonts w:ascii="EB Garamond" w:cs="EB Garamond" w:eastAsia="EB Garamond" w:hAnsi="EB Garamond"/>
          <w:b w:val="1"/>
          <w:bCs w:val="1"/>
          <w:sz w:val="24"/>
          <w:szCs w:val="24"/>
          <w:rtl w:val="0"/>
        </w:rPr>
        <w:t xml:space="preserve">haphazard searches</w:t>
      </w:r>
      <w:r w:rsidDel="00000000" w:rsidR="00000000" w:rsidRPr="00000000">
        <w:rPr>
          <w:rFonts w:ascii="EB Garamond" w:cs="EB Garamond" w:eastAsia="EB Garamond" w:hAnsi="EB Garamond"/>
          <w:sz w:val="24"/>
          <w:szCs w:val="24"/>
          <w:rtl w:val="0"/>
        </w:rPr>
        <w:t xml:space="preserve"> which represent planless behavioral patterns [REF]. </w:t>
      </w:r>
      <w:r w:rsidDel="00000000" w:rsidR="00000000" w:rsidRPr="00000000">
        <w:rPr>
          <w:rFonts w:ascii="EB Garamond" w:cs="EB Garamond" w:eastAsia="EB Garamond" w:hAnsi="EB Garamond"/>
          <w:b w:val="1"/>
          <w:bCs w:val="1"/>
          <w:sz w:val="24"/>
          <w:szCs w:val="24"/>
          <w:rtl w:val="0"/>
        </w:rPr>
        <w:t xml:space="preserve">Rejection load</w:t>
      </w:r>
      <w:r w:rsidDel="00000000" w:rsidR="00000000" w:rsidRPr="00000000">
        <w:rPr>
          <w:rFonts w:ascii="EB Garamond" w:cs="EB Garamond" w:eastAsia="EB Garamond" w:hAnsi="EB Garamond"/>
          <w:sz w:val="24"/>
          <w:szCs w:val="24"/>
          <w:rtl w:val="0"/>
        </w:rPr>
        <w:t xml:space="preserve"> is defined as the total volume of negative responses received by the student [REF]. This variable serves as a primary behavioral stressor associated with the </w:t>
      </w:r>
      <w:r w:rsidDel="00000000" w:rsidR="00000000" w:rsidRPr="00000000">
        <w:rPr>
          <w:rFonts w:ascii="EB Garamond" w:cs="EB Garamond" w:eastAsia="EB Garamond" w:hAnsi="EB Garamond"/>
          <w:b w:val="1"/>
          <w:bCs w:val="1"/>
          <w:sz w:val="24"/>
          <w:szCs w:val="24"/>
          <w:rtl w:val="0"/>
        </w:rPr>
        <w:t xml:space="preserve">current risk state</w:t>
      </w:r>
      <w:r w:rsidDel="00000000" w:rsidR="00000000" w:rsidRPr="00000000">
        <w:rPr>
          <w:rFonts w:ascii="EB Garamond" w:cs="EB Garamond" w:eastAsia="EB Garamond" w:hAnsi="EB Garamond"/>
          <w:sz w:val="24"/>
          <w:szCs w:val="24"/>
          <w:rtl w:val="0"/>
        </w:rPr>
        <w:t xml:space="preserve"> [REF].</w:t>
      </w:r>
    </w:p>
    <w:p w:rsidR="00000000" w:rsidDel="00000000" w:rsidP="00000000" w:rsidRDefault="00000000" w:rsidRPr="00000000" w14:paraId="0000007C">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For modeling readiness, data types are assigned based on their distribution properties [REF]. Psychometric totals and social support sub-scores function as </w:t>
      </w:r>
      <w:r w:rsidDel="00000000" w:rsidR="00000000" w:rsidRPr="00000000">
        <w:rPr>
          <w:rFonts w:ascii="EB Garamond" w:cs="EB Garamond" w:eastAsia="EB Garamond" w:hAnsi="EB Garamond"/>
          <w:b w:val="1"/>
          <w:bCs w:val="1"/>
          <w:sz w:val="24"/>
          <w:szCs w:val="24"/>
          <w:rtl w:val="0"/>
        </w:rPr>
        <w:t xml:space="preserve">continuous variables</w:t>
      </w:r>
      <w:r w:rsidDel="00000000" w:rsidR="00000000" w:rsidRPr="00000000">
        <w:rPr>
          <w:rFonts w:ascii="EB Garamond" w:cs="EB Garamond" w:eastAsia="EB Garamond" w:hAnsi="EB Garamond"/>
          <w:sz w:val="24"/>
          <w:szCs w:val="24"/>
          <w:rtl w:val="0"/>
        </w:rPr>
        <w:t xml:space="preserve"> [REF]. Individual scale responses are treated as </w:t>
      </w:r>
      <w:r w:rsidDel="00000000" w:rsidR="00000000" w:rsidRPr="00000000">
        <w:rPr>
          <w:rFonts w:ascii="EB Garamond" w:cs="EB Garamond" w:eastAsia="EB Garamond" w:hAnsi="EB Garamond"/>
          <w:b w:val="1"/>
          <w:bCs w:val="1"/>
          <w:sz w:val="24"/>
          <w:szCs w:val="24"/>
          <w:rtl w:val="0"/>
        </w:rPr>
        <w:t xml:space="preserve">ordinal data</w:t>
      </w:r>
      <w:r w:rsidDel="00000000" w:rsidR="00000000" w:rsidRPr="00000000">
        <w:rPr>
          <w:rFonts w:ascii="EB Garamond" w:cs="EB Garamond" w:eastAsia="EB Garamond" w:hAnsi="EB Garamond"/>
          <w:sz w:val="24"/>
          <w:szCs w:val="24"/>
          <w:rtl w:val="0"/>
        </w:rPr>
        <w:t xml:space="preserve"> to preserve relative intensity [REF]. Risk targets are transformed into </w:t>
      </w:r>
      <w:r w:rsidDel="00000000" w:rsidR="00000000" w:rsidRPr="00000000">
        <w:rPr>
          <w:rFonts w:ascii="EB Garamond" w:cs="EB Garamond" w:eastAsia="EB Garamond" w:hAnsi="EB Garamond"/>
          <w:b w:val="1"/>
          <w:bCs w:val="1"/>
          <w:sz w:val="24"/>
          <w:szCs w:val="24"/>
          <w:rtl w:val="0"/>
        </w:rPr>
        <w:t xml:space="preserve">categorical labels</w:t>
      </w:r>
      <w:r w:rsidDel="00000000" w:rsidR="00000000" w:rsidRPr="00000000">
        <w:rPr>
          <w:rFonts w:ascii="EB Garamond" w:cs="EB Garamond" w:eastAsia="EB Garamond" w:hAnsi="EB Garamond"/>
          <w:sz w:val="24"/>
          <w:szCs w:val="24"/>
          <w:rtl w:val="0"/>
        </w:rPr>
        <w:t xml:space="preserve"> (</w:t>
      </w:r>
      <w:hyperlink r:id="rId48">
        <w:r w:rsidDel="00000000" w:rsidR="00000000" w:rsidRPr="00000000">
          <w:rPr>
            <w:rFonts w:ascii="EB Garamond" w:cs="EB Garamond" w:eastAsia="EB Garamond" w:hAnsi="EB Garamond"/>
            <w:sz w:val="24"/>
            <w:szCs w:val="24"/>
          </w:rPr>
          <w:drawing>
            <wp:inline distB="19050" distT="19050" distL="19050" distR="19050">
              <wp:extent cx="520700" cy="139700"/>
              <wp:effectExtent b="0" l="0" r="0" t="0"/>
              <wp:docPr id="8" name="image5.png"/>
              <a:graphic>
                <a:graphicData uri="http://schemas.openxmlformats.org/drawingml/2006/picture">
                  <pic:pic>
                    <pic:nvPicPr>
                      <pic:cNvPr id="0" name="image5.png"/>
                      <pic:cNvPicPr preferRelativeResize="0"/>
                    </pic:nvPicPr>
                    <pic:blipFill>
                      <a:blip r:embed="rId49"/>
                      <a:srcRect b="0" l="0" r="0" t="0"/>
                      <a:stretch>
                        <a:fillRect/>
                      </a:stretch>
                    </pic:blipFill>
                    <pic:spPr>
                      <a:xfrm>
                        <a:off x="0" y="0"/>
                        <a:ext cx="520700" cy="139700"/>
                      </a:xfrm>
                      <a:prstGeom prst="rect"/>
                      <a:ln/>
                    </pic:spPr>
                  </pic:pic>
                </a:graphicData>
              </a:graphic>
            </wp:inline>
          </w:drawing>
        </w:r>
      </w:hyperlink>
      <w:r w:rsidDel="00000000" w:rsidR="00000000" w:rsidRPr="00000000">
        <w:rPr>
          <w:rFonts w:ascii="EB Garamond" w:cs="EB Garamond" w:eastAsia="EB Garamond" w:hAnsi="EB Garamond"/>
          <w:sz w:val="24"/>
          <w:szCs w:val="24"/>
          <w:rtl w:val="0"/>
        </w:rPr>
        <w:t xml:space="preserve">) to enable binary classification and probability estimation (</w:t>
      </w:r>
      <w:hyperlink r:id="rId50">
        <w:r w:rsidDel="00000000" w:rsidR="00000000" w:rsidRPr="00000000">
          <w:rPr>
            <w:rFonts w:ascii="EB Garamond" w:cs="EB Garamond" w:eastAsia="EB Garamond" w:hAnsi="EB Garamond"/>
            <w:sz w:val="24"/>
            <w:szCs w:val="24"/>
          </w:rPr>
          <w:drawing>
            <wp:inline distB="19050" distT="19050" distL="19050" distR="19050">
              <wp:extent cx="457200" cy="165100"/>
              <wp:effectExtent b="0" l="0" r="0" t="0"/>
              <wp:docPr id="18" name="image8.png"/>
              <a:graphic>
                <a:graphicData uri="http://schemas.openxmlformats.org/drawingml/2006/picture">
                  <pic:pic>
                    <pic:nvPicPr>
                      <pic:cNvPr id="0" name="image8.png"/>
                      <pic:cNvPicPr preferRelativeResize="0"/>
                    </pic:nvPicPr>
                    <pic:blipFill>
                      <a:blip r:embed="rId51"/>
                      <a:srcRect b="0" l="0" r="0" t="0"/>
                      <a:stretch>
                        <a:fillRect/>
                      </a:stretch>
                    </pic:blipFill>
                    <pic:spPr>
                      <a:xfrm>
                        <a:off x="0" y="0"/>
                        <a:ext cx="457200" cy="165100"/>
                      </a:xfrm>
                      <a:prstGeom prst="rect"/>
                      <a:ln/>
                    </pic:spPr>
                  </pic:pic>
                </a:graphicData>
              </a:graphic>
            </wp:inline>
          </w:drawing>
        </w:r>
      </w:hyperlink>
      <w:r w:rsidDel="00000000" w:rsidR="00000000" w:rsidRPr="00000000">
        <w:rPr>
          <w:rFonts w:ascii="EB Garamond" w:cs="EB Garamond" w:eastAsia="EB Garamond" w:hAnsi="EB Garamond"/>
          <w:sz w:val="24"/>
          <w:szCs w:val="24"/>
          <w:rtl w:val="0"/>
        </w:rPr>
        <w:t xml:space="preserve">) [REF]. This taxonomy ensures the modularity and reproducibility required for student support decision systems [REF].</w:t>
      </w:r>
    </w:p>
    <w:p w:rsidR="00000000" w:rsidDel="00000000" w:rsidP="00000000" w:rsidRDefault="00000000" w:rsidRPr="00000000" w14:paraId="0000007D">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7E">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7F">
      <w:pPr>
        <w:spacing w:after="240" w:before="240" w:lineRule="auto"/>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3.4 Data Collection Procedure (Planned)</w:t>
      </w:r>
    </w:p>
    <w:p w:rsidR="00000000" w:rsidDel="00000000" w:rsidP="00000000" w:rsidRDefault="00000000" w:rsidRPr="00000000" w14:paraId="00000080">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digital enrollment process </w:t>
      </w:r>
      <w:r w:rsidDel="00000000" w:rsidR="00000000" w:rsidRPr="00000000">
        <w:rPr>
          <w:rFonts w:ascii="EB Garamond" w:cs="EB Garamond" w:eastAsia="EB Garamond" w:hAnsi="EB Garamond"/>
          <w:b w:val="1"/>
          <w:bCs w:val="1"/>
          <w:sz w:val="24"/>
          <w:szCs w:val="24"/>
          <w:rtl w:val="0"/>
        </w:rPr>
        <w:t xml:space="preserve">will begin</w:t>
      </w:r>
      <w:r w:rsidDel="00000000" w:rsidR="00000000" w:rsidRPr="00000000">
        <w:rPr>
          <w:rFonts w:ascii="EB Garamond" w:cs="EB Garamond" w:eastAsia="EB Garamond" w:hAnsi="EB Garamond"/>
          <w:sz w:val="24"/>
          <w:szCs w:val="24"/>
          <w:rtl w:val="0"/>
        </w:rPr>
        <w:t xml:space="preserve"> with a mandatory informed consent module where participants receive detailed briefings on data confidentiality and their right to withdraw [REF]. Following acceptance, a structured survey workflow </w:t>
      </w:r>
      <w:r w:rsidDel="00000000" w:rsidR="00000000" w:rsidRPr="00000000">
        <w:rPr>
          <w:rFonts w:ascii="EB Garamond" w:cs="EB Garamond" w:eastAsia="EB Garamond" w:hAnsi="EB Garamond"/>
          <w:b w:val="1"/>
          <w:bCs w:val="1"/>
          <w:sz w:val="24"/>
          <w:szCs w:val="24"/>
          <w:rtl w:val="0"/>
        </w:rPr>
        <w:t xml:space="preserve">will be administered</w:t>
      </w:r>
      <w:r w:rsidDel="00000000" w:rsidR="00000000" w:rsidRPr="00000000">
        <w:rPr>
          <w:rFonts w:ascii="EB Garamond" w:cs="EB Garamond" w:eastAsia="EB Garamond" w:hAnsi="EB Garamond"/>
          <w:sz w:val="24"/>
          <w:szCs w:val="24"/>
          <w:rtl w:val="0"/>
        </w:rPr>
        <w:t xml:space="preserve"> through a secure web-based interface [REF]. This questionnaire sequence </w:t>
      </w:r>
      <w:r w:rsidDel="00000000" w:rsidR="00000000" w:rsidRPr="00000000">
        <w:rPr>
          <w:rFonts w:ascii="EB Garamond" w:cs="EB Garamond" w:eastAsia="EB Garamond" w:hAnsi="EB Garamond"/>
          <w:b w:val="1"/>
          <w:bCs w:val="1"/>
          <w:sz w:val="24"/>
          <w:szCs w:val="24"/>
          <w:rtl w:val="0"/>
        </w:rPr>
        <w:t xml:space="preserve">will first elicit</w:t>
      </w:r>
      <w:r w:rsidDel="00000000" w:rsidR="00000000" w:rsidRPr="00000000">
        <w:rPr>
          <w:rFonts w:ascii="EB Garamond" w:cs="EB Garamond" w:eastAsia="EB Garamond" w:hAnsi="EB Garamond"/>
          <w:sz w:val="24"/>
          <w:szCs w:val="24"/>
          <w:rtl w:val="0"/>
        </w:rPr>
        <w:t xml:space="preserve"> demographic information and objective job-search indicators, such as application frequency and the volume of received rejections [REF]. Subsequently, the system </w:t>
      </w:r>
      <w:r w:rsidDel="00000000" w:rsidR="00000000" w:rsidRPr="00000000">
        <w:rPr>
          <w:rFonts w:ascii="EB Garamond" w:cs="EB Garamond" w:eastAsia="EB Garamond" w:hAnsi="EB Garamond"/>
          <w:b w:val="1"/>
          <w:bCs w:val="1"/>
          <w:sz w:val="24"/>
          <w:szCs w:val="24"/>
          <w:rtl w:val="0"/>
        </w:rPr>
        <w:t xml:space="preserve">will present</w:t>
      </w:r>
      <w:r w:rsidDel="00000000" w:rsidR="00000000" w:rsidRPr="00000000">
        <w:rPr>
          <w:rFonts w:ascii="EB Garamond" w:cs="EB Garamond" w:eastAsia="EB Garamond" w:hAnsi="EB Garamond"/>
          <w:sz w:val="24"/>
          <w:szCs w:val="24"/>
          <w:rtl w:val="0"/>
        </w:rPr>
        <w:t xml:space="preserve"> the MSPSS modules to evaluate social buffering resources, concluding with the PHQ-9 and GAD-7 psychometric instruments to determine the </w:t>
      </w:r>
      <w:r w:rsidDel="00000000" w:rsidR="00000000" w:rsidRPr="00000000">
        <w:rPr>
          <w:rFonts w:ascii="EB Garamond" w:cs="EB Garamond" w:eastAsia="EB Garamond" w:hAnsi="EB Garamond"/>
          <w:b w:val="1"/>
          <w:bCs w:val="1"/>
          <w:sz w:val="24"/>
          <w:szCs w:val="24"/>
          <w:rtl w:val="0"/>
        </w:rPr>
        <w:t xml:space="preserve">current risk state</w:t>
      </w:r>
      <w:r w:rsidDel="00000000" w:rsidR="00000000" w:rsidRPr="00000000">
        <w:rPr>
          <w:rFonts w:ascii="EB Garamond" w:cs="EB Garamond" w:eastAsia="EB Garamond" w:hAnsi="EB Garamond"/>
          <w:sz w:val="24"/>
          <w:szCs w:val="24"/>
          <w:rtl w:val="0"/>
        </w:rPr>
        <w:t xml:space="preserve"> [REF].</w:t>
      </w:r>
    </w:p>
    <w:p w:rsidR="00000000" w:rsidDel="00000000" w:rsidP="00000000" w:rsidRDefault="00000000" w:rsidRPr="00000000" w14:paraId="00000081">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Technical quality controls </w:t>
      </w:r>
      <w:r w:rsidDel="00000000" w:rsidR="00000000" w:rsidRPr="00000000">
        <w:rPr>
          <w:rFonts w:ascii="EB Garamond" w:cs="EB Garamond" w:eastAsia="EB Garamond" w:hAnsi="EB Garamond"/>
          <w:b w:val="1"/>
          <w:bCs w:val="1"/>
          <w:sz w:val="24"/>
          <w:szCs w:val="24"/>
          <w:rtl w:val="0"/>
        </w:rPr>
        <w:t xml:space="preserve">will be integrated</w:t>
      </w:r>
      <w:r w:rsidDel="00000000" w:rsidR="00000000" w:rsidRPr="00000000">
        <w:rPr>
          <w:rFonts w:ascii="EB Garamond" w:cs="EB Garamond" w:eastAsia="EB Garamond" w:hAnsi="EB Garamond"/>
          <w:sz w:val="24"/>
          <w:szCs w:val="24"/>
          <w:rtl w:val="0"/>
        </w:rPr>
        <w:t xml:space="preserve"> to minimize the reporting deficiencies common in prediction model development [REF]. The interface </w:t>
      </w:r>
      <w:r w:rsidDel="00000000" w:rsidR="00000000" w:rsidRPr="00000000">
        <w:rPr>
          <w:rFonts w:ascii="EB Garamond" w:cs="EB Garamond" w:eastAsia="EB Garamond" w:hAnsi="EB Garamond"/>
          <w:b w:val="1"/>
          <w:bCs w:val="1"/>
          <w:sz w:val="24"/>
          <w:szCs w:val="24"/>
          <w:rtl w:val="0"/>
        </w:rPr>
        <w:t xml:space="preserve">will require</w:t>
      </w:r>
      <w:r w:rsidDel="00000000" w:rsidR="00000000" w:rsidRPr="00000000">
        <w:rPr>
          <w:rFonts w:ascii="EB Garamond" w:cs="EB Garamond" w:eastAsia="EB Garamond" w:hAnsi="EB Garamond"/>
          <w:sz w:val="24"/>
          <w:szCs w:val="24"/>
          <w:rtl w:val="0"/>
        </w:rPr>
        <w:t xml:space="preserve"> the completion of all data fields to eliminate missing values, while duplicate submission screening </w:t>
      </w:r>
      <w:r w:rsidDel="00000000" w:rsidR="00000000" w:rsidRPr="00000000">
        <w:rPr>
          <w:rFonts w:ascii="EB Garamond" w:cs="EB Garamond" w:eastAsia="EB Garamond" w:hAnsi="EB Garamond"/>
          <w:b w:val="1"/>
          <w:bCs w:val="1"/>
          <w:sz w:val="24"/>
          <w:szCs w:val="24"/>
          <w:rtl w:val="0"/>
        </w:rPr>
        <w:t xml:space="preserve">will utilize</w:t>
      </w:r>
      <w:r w:rsidDel="00000000" w:rsidR="00000000" w:rsidRPr="00000000">
        <w:rPr>
          <w:rFonts w:ascii="EB Garamond" w:cs="EB Garamond" w:eastAsia="EB Garamond" w:hAnsi="EB Garamond"/>
          <w:sz w:val="24"/>
          <w:szCs w:val="24"/>
          <w:rtl w:val="0"/>
        </w:rPr>
        <w:t xml:space="preserve"> unique hashed identifiers [REF]. Embedded attention checks </w:t>
      </w:r>
      <w:r w:rsidDel="00000000" w:rsidR="00000000" w:rsidRPr="00000000">
        <w:rPr>
          <w:rFonts w:ascii="EB Garamond" w:cs="EB Garamond" w:eastAsia="EB Garamond" w:hAnsi="EB Garamond"/>
          <w:b w:val="1"/>
          <w:bCs w:val="1"/>
          <w:sz w:val="24"/>
          <w:szCs w:val="24"/>
          <w:rtl w:val="0"/>
        </w:rPr>
        <w:t xml:space="preserve">will serve</w:t>
      </w:r>
      <w:r w:rsidDel="00000000" w:rsidR="00000000" w:rsidRPr="00000000">
        <w:rPr>
          <w:rFonts w:ascii="EB Garamond" w:cs="EB Garamond" w:eastAsia="EB Garamond" w:hAnsi="EB Garamond"/>
          <w:sz w:val="24"/>
          <w:szCs w:val="24"/>
          <w:rtl w:val="0"/>
        </w:rPr>
        <w:t xml:space="preserve"> to verify respondent engagement during the completion of psychometric blocks [REF]. All collected signals </w:t>
      </w:r>
      <w:r w:rsidDel="00000000" w:rsidR="00000000" w:rsidRPr="00000000">
        <w:rPr>
          <w:rFonts w:ascii="EB Garamond" w:cs="EB Garamond" w:eastAsia="EB Garamond" w:hAnsi="EB Garamond"/>
          <w:b w:val="1"/>
          <w:bCs w:val="1"/>
          <w:sz w:val="24"/>
          <w:szCs w:val="24"/>
          <w:rtl w:val="0"/>
        </w:rPr>
        <w:t xml:space="preserve">will undergo</w:t>
      </w:r>
      <w:r w:rsidDel="00000000" w:rsidR="00000000" w:rsidRPr="00000000">
        <w:rPr>
          <w:rFonts w:ascii="EB Garamond" w:cs="EB Garamond" w:eastAsia="EB Garamond" w:hAnsi="EB Garamond"/>
          <w:sz w:val="24"/>
          <w:szCs w:val="24"/>
          <w:rtl w:val="0"/>
        </w:rPr>
        <w:t xml:space="preserve"> an automated anonymization process, substituting identifiable attributes with generic tokens before storage on encrypted institutional servers [REF].</w:t>
      </w:r>
    </w:p>
    <w:p w:rsidR="00000000" w:rsidDel="00000000" w:rsidP="00000000" w:rsidRDefault="00000000" w:rsidRPr="00000000" w14:paraId="00000082">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Phased execution </w:t>
      </w:r>
      <w:r w:rsidDel="00000000" w:rsidR="00000000" w:rsidRPr="00000000">
        <w:rPr>
          <w:rFonts w:ascii="EB Garamond" w:cs="EB Garamond" w:eastAsia="EB Garamond" w:hAnsi="EB Garamond"/>
          <w:b w:val="1"/>
          <w:bCs w:val="1"/>
          <w:sz w:val="24"/>
          <w:szCs w:val="24"/>
          <w:rtl w:val="0"/>
        </w:rPr>
        <w:t xml:space="preserve">will ensure</w:t>
      </w:r>
      <w:r w:rsidDel="00000000" w:rsidR="00000000" w:rsidRPr="00000000">
        <w:rPr>
          <w:rFonts w:ascii="EB Garamond" w:cs="EB Garamond" w:eastAsia="EB Garamond" w:hAnsi="EB Garamond"/>
          <w:sz w:val="24"/>
          <w:szCs w:val="24"/>
          <w:rtl w:val="0"/>
        </w:rPr>
        <w:t xml:space="preserve"> the validity of the data gathering instruments [REF]. An initial pilot phase </w:t>
      </w:r>
      <w:r w:rsidDel="00000000" w:rsidR="00000000" w:rsidRPr="00000000">
        <w:rPr>
          <w:rFonts w:ascii="EB Garamond" w:cs="EB Garamond" w:eastAsia="EB Garamond" w:hAnsi="EB Garamond"/>
          <w:b w:val="1"/>
          <w:bCs w:val="1"/>
          <w:sz w:val="24"/>
          <w:szCs w:val="24"/>
          <w:rtl w:val="0"/>
        </w:rPr>
        <w:t xml:space="preserve">will involve</w:t>
      </w:r>
      <w:r w:rsidDel="00000000" w:rsidR="00000000" w:rsidRPr="00000000">
        <w:rPr>
          <w:rFonts w:ascii="EB Garamond" w:cs="EB Garamond" w:eastAsia="EB Garamond" w:hAnsi="EB Garamond"/>
          <w:sz w:val="24"/>
          <w:szCs w:val="24"/>
          <w:rtl w:val="0"/>
        </w:rPr>
        <w:t xml:space="preserve"> a small student cohort to test the clarity of behavioral quantification metrics and system stability [REF]. Feedback from this pilot </w:t>
      </w:r>
      <w:r w:rsidDel="00000000" w:rsidR="00000000" w:rsidRPr="00000000">
        <w:rPr>
          <w:rFonts w:ascii="EB Garamond" w:cs="EB Garamond" w:eastAsia="EB Garamond" w:hAnsi="EB Garamond"/>
          <w:b w:val="1"/>
          <w:bCs w:val="1"/>
          <w:sz w:val="24"/>
          <w:szCs w:val="24"/>
          <w:rtl w:val="0"/>
        </w:rPr>
        <w:t xml:space="preserve">will inform</w:t>
      </w:r>
      <w:r w:rsidDel="00000000" w:rsidR="00000000" w:rsidRPr="00000000">
        <w:rPr>
          <w:rFonts w:ascii="EB Garamond" w:cs="EB Garamond" w:eastAsia="EB Garamond" w:hAnsi="EB Garamond"/>
          <w:sz w:val="24"/>
          <w:szCs w:val="24"/>
          <w:rtl w:val="0"/>
        </w:rPr>
        <w:t xml:space="preserve"> necessary interface adjustments before transitioning to the primary data collection phase [REF]. This phased data collection process will provide the multi-source feature vectors (</w:t>
      </w:r>
      <w:hyperlink r:id="rId52">
        <w:r w:rsidDel="00000000" w:rsidR="00000000" w:rsidRPr="00000000">
          <w:rPr>
            <w:rFonts w:ascii="EB Garamond" w:cs="EB Garamond" w:eastAsia="EB Garamond" w:hAnsi="EB Garamond"/>
            <w:sz w:val="24"/>
            <w:szCs w:val="24"/>
          </w:rPr>
          <w:drawing>
            <wp:inline distB="19050" distT="19050" distL="19050" distR="19050">
              <wp:extent cx="482600" cy="152400"/>
              <wp:effectExtent b="0" l="0" r="0" t="0"/>
              <wp:docPr id="25"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482600" cy="152400"/>
                      </a:xfrm>
                      <a:prstGeom prst="rect"/>
                      <a:ln/>
                    </pic:spPr>
                  </pic:pic>
                </a:graphicData>
              </a:graphic>
            </wp:inline>
          </w:drawing>
        </w:r>
      </w:hyperlink>
      <w:r w:rsidDel="00000000" w:rsidR="00000000" w:rsidRPr="00000000">
        <w:rPr>
          <w:rFonts w:ascii="EB Garamond" w:cs="EB Garamond" w:eastAsia="EB Garamond" w:hAnsi="EB Garamond"/>
          <w:sz w:val="24"/>
          <w:szCs w:val="24"/>
          <w:rtl w:val="0"/>
        </w:rPr>
        <w:t xml:space="preserve">) required for subsequent model development and validation [REF].</w:t>
      </w:r>
    </w:p>
    <w:p w:rsidR="00000000" w:rsidDel="00000000" w:rsidP="00000000" w:rsidRDefault="00000000" w:rsidRPr="00000000" w14:paraId="00000083">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84">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85">
      <w:pPr>
        <w:spacing w:after="240" w:before="240" w:lineRule="auto"/>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3.5 Data Preprocessing and Feature Engineering (Planned)</w:t>
      </w:r>
    </w:p>
    <w:p w:rsidR="00000000" w:rsidDel="00000000" w:rsidP="00000000" w:rsidRDefault="00000000" w:rsidRPr="00000000" w14:paraId="00000086">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transformation of raw multimodal signals into a modeling-ready format </w:t>
      </w:r>
      <w:r w:rsidDel="00000000" w:rsidR="00000000" w:rsidRPr="00000000">
        <w:rPr>
          <w:rFonts w:ascii="EB Garamond" w:cs="EB Garamond" w:eastAsia="EB Garamond" w:hAnsi="EB Garamond"/>
          <w:b w:val="1"/>
          <w:bCs w:val="1"/>
          <w:sz w:val="24"/>
          <w:szCs w:val="24"/>
          <w:rtl w:val="0"/>
        </w:rPr>
        <w:t xml:space="preserve">will follow</w:t>
      </w:r>
      <w:r w:rsidDel="00000000" w:rsidR="00000000" w:rsidRPr="00000000">
        <w:rPr>
          <w:rFonts w:ascii="EB Garamond" w:cs="EB Garamond" w:eastAsia="EB Garamond" w:hAnsi="EB Garamond"/>
          <w:sz w:val="24"/>
          <w:szCs w:val="24"/>
          <w:rtl w:val="0"/>
        </w:rPr>
        <w:t xml:space="preserve"> a reproducible pipeline,. Initial cleaning </w:t>
      </w:r>
      <w:r w:rsidDel="00000000" w:rsidR="00000000" w:rsidRPr="00000000">
        <w:rPr>
          <w:rFonts w:ascii="EB Garamond" w:cs="EB Garamond" w:eastAsia="EB Garamond" w:hAnsi="EB Garamond"/>
          <w:b w:val="1"/>
          <w:bCs w:val="1"/>
          <w:sz w:val="24"/>
          <w:szCs w:val="24"/>
          <w:rtl w:val="0"/>
        </w:rPr>
        <w:t xml:space="preserve">will address</w:t>
      </w:r>
      <w:r w:rsidDel="00000000" w:rsidR="00000000" w:rsidRPr="00000000">
        <w:rPr>
          <w:rFonts w:ascii="EB Garamond" w:cs="EB Garamond" w:eastAsia="EB Garamond" w:hAnsi="EB Garamond"/>
          <w:sz w:val="24"/>
          <w:szCs w:val="24"/>
          <w:rtl w:val="0"/>
        </w:rPr>
        <w:t xml:space="preserve"> missing data, which represents a frequent source of bias in prediction model studies. Because the digital interface enforces mandatory fields, missingness is expected to be minimal; however, any residual null values </w:t>
      </w:r>
      <w:r w:rsidDel="00000000" w:rsidR="00000000" w:rsidRPr="00000000">
        <w:rPr>
          <w:rFonts w:ascii="EB Garamond" w:cs="EB Garamond" w:eastAsia="EB Garamond" w:hAnsi="EB Garamond"/>
          <w:b w:val="1"/>
          <w:bCs w:val="1"/>
          <w:sz w:val="24"/>
          <w:szCs w:val="24"/>
          <w:rtl w:val="0"/>
        </w:rPr>
        <w:t xml:space="preserve">will be managed</w:t>
      </w:r>
      <w:r w:rsidDel="00000000" w:rsidR="00000000" w:rsidRPr="00000000">
        <w:rPr>
          <w:rFonts w:ascii="EB Garamond" w:cs="EB Garamond" w:eastAsia="EB Garamond" w:hAnsi="EB Garamond"/>
          <w:sz w:val="24"/>
          <w:szCs w:val="24"/>
          <w:rtl w:val="0"/>
        </w:rPr>
        <w:t xml:space="preserve"> through median imputation [REF]. To prevent train-test leakage, the system </w:t>
      </w:r>
      <w:r w:rsidDel="00000000" w:rsidR="00000000" w:rsidRPr="00000000">
        <w:rPr>
          <w:rFonts w:ascii="EB Garamond" w:cs="EB Garamond" w:eastAsia="EB Garamond" w:hAnsi="EB Garamond"/>
          <w:b w:val="1"/>
          <w:bCs w:val="1"/>
          <w:sz w:val="24"/>
          <w:szCs w:val="24"/>
          <w:rtl w:val="0"/>
        </w:rPr>
        <w:t xml:space="preserve">will split</w:t>
      </w:r>
      <w:r w:rsidDel="00000000" w:rsidR="00000000" w:rsidRPr="00000000">
        <w:rPr>
          <w:rFonts w:ascii="EB Garamond" w:cs="EB Garamond" w:eastAsia="EB Garamond" w:hAnsi="EB Garamond"/>
          <w:sz w:val="24"/>
          <w:szCs w:val="24"/>
          <w:rtl w:val="0"/>
        </w:rPr>
        <w:t xml:space="preserve"> the data before performing scaling or imputation operations [REF].</w:t>
      </w:r>
    </w:p>
    <w:p w:rsidR="00000000" w:rsidDel="00000000" w:rsidP="00000000" w:rsidRDefault="00000000" w:rsidRPr="00000000" w14:paraId="00000087">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Multimodal feature engineering </w:t>
      </w:r>
      <w:r w:rsidDel="00000000" w:rsidR="00000000" w:rsidRPr="00000000">
        <w:rPr>
          <w:rFonts w:ascii="EB Garamond" w:cs="EB Garamond" w:eastAsia="EB Garamond" w:hAnsi="EB Garamond"/>
          <w:b w:val="1"/>
          <w:bCs w:val="1"/>
          <w:sz w:val="24"/>
          <w:szCs w:val="24"/>
          <w:rtl w:val="0"/>
        </w:rPr>
        <w:t xml:space="preserve">will synthesize</w:t>
      </w:r>
      <w:r w:rsidDel="00000000" w:rsidR="00000000" w:rsidRPr="00000000">
        <w:rPr>
          <w:rFonts w:ascii="EB Garamond" w:cs="EB Garamond" w:eastAsia="EB Garamond" w:hAnsi="EB Garamond"/>
          <w:sz w:val="24"/>
          <w:szCs w:val="24"/>
          <w:rtl w:val="0"/>
        </w:rPr>
        <w:t xml:space="preserve"> diverse inputs into a unified vector </w:t>
      </w:r>
      <w:hyperlink r:id="rId53">
        <w:r w:rsidDel="00000000" w:rsidR="00000000" w:rsidRPr="00000000">
          <w:rPr>
            <w:rFonts w:ascii="EB Garamond" w:cs="EB Garamond" w:eastAsia="EB Garamond" w:hAnsi="EB Garamond"/>
            <w:sz w:val="24"/>
            <w:szCs w:val="24"/>
          </w:rPr>
          <w:drawing>
            <wp:inline distB="19050" distT="19050" distL="19050" distR="19050">
              <wp:extent cx="482600" cy="152400"/>
              <wp:effectExtent b="0" l="0" r="0" t="0"/>
              <wp:docPr id="15" name="image33.png"/>
              <a:graphic>
                <a:graphicData uri="http://schemas.openxmlformats.org/drawingml/2006/picture">
                  <pic:pic>
                    <pic:nvPicPr>
                      <pic:cNvPr id="0" name="image33.png"/>
                      <pic:cNvPicPr preferRelativeResize="0"/>
                    </pic:nvPicPr>
                    <pic:blipFill>
                      <a:blip r:embed="rId7"/>
                      <a:srcRect b="0" l="0" r="0" t="0"/>
                      <a:stretch>
                        <a:fillRect/>
                      </a:stretch>
                    </pic:blipFill>
                    <pic:spPr>
                      <a:xfrm>
                        <a:off x="0" y="0"/>
                        <a:ext cx="482600" cy="152400"/>
                      </a:xfrm>
                      <a:prstGeom prst="rect"/>
                      <a:ln/>
                    </pic:spPr>
                  </pic:pic>
                </a:graphicData>
              </a:graphic>
            </wp:inline>
          </w:drawing>
        </w:r>
      </w:hyperlink>
      <w:r w:rsidDel="00000000" w:rsidR="00000000" w:rsidRPr="00000000">
        <w:rPr>
          <w:rFonts w:ascii="EB Garamond" w:cs="EB Garamond" w:eastAsia="EB Garamond" w:hAnsi="EB Garamond"/>
          <w:sz w:val="24"/>
          <w:szCs w:val="24"/>
          <w:rtl w:val="0"/>
        </w:rPr>
        <w:t xml:space="preserve"> [REF]. In this formal notation, </w:t>
      </w:r>
      <w:hyperlink r:id="rId54">
        <w:r w:rsidDel="00000000" w:rsidR="00000000" w:rsidRPr="00000000">
          <w:rPr>
            <w:rFonts w:ascii="EB Garamond" w:cs="EB Garamond" w:eastAsia="EB Garamond" w:hAnsi="EB Garamond"/>
            <w:sz w:val="24"/>
            <w:szCs w:val="24"/>
          </w:rPr>
          <w:drawing>
            <wp:inline distB="19050" distT="19050" distL="19050" distR="19050">
              <wp:extent cx="76200" cy="114300"/>
              <wp:effectExtent b="0" l="0" r="0" t="0"/>
              <wp:docPr id="11" name="image3.png"/>
              <a:graphic>
                <a:graphicData uri="http://schemas.openxmlformats.org/drawingml/2006/picture">
                  <pic:pic>
                    <pic:nvPicPr>
                      <pic:cNvPr id="0" name="image3.png"/>
                      <pic:cNvPicPr preferRelativeResize="0"/>
                    </pic:nvPicPr>
                    <pic:blipFill>
                      <a:blip r:embed="rId55"/>
                      <a:srcRect b="0" l="0" r="0" t="0"/>
                      <a:stretch>
                        <a:fillRect/>
                      </a:stretch>
                    </pic:blipFill>
                    <pic:spPr>
                      <a:xfrm>
                        <a:off x="0" y="0"/>
                        <a:ext cx="76200" cy="114300"/>
                      </a:xfrm>
                      <a:prstGeom prst="rect"/>
                      <a:ln/>
                    </pic:spPr>
                  </pic:pic>
                </a:graphicData>
              </a:graphic>
            </wp:inline>
          </w:drawing>
        </w:r>
      </w:hyperlink>
      <w:r w:rsidDel="00000000" w:rsidR="00000000" w:rsidRPr="00000000">
        <w:rPr>
          <w:rFonts w:ascii="EB Garamond" w:cs="EB Garamond" w:eastAsia="EB Garamond" w:hAnsi="EB Garamond"/>
          <w:sz w:val="24"/>
          <w:szCs w:val="24"/>
          <w:rtl w:val="0"/>
        </w:rPr>
        <w:t xml:space="preserve"> corresponds to the total dimensionality of integrated psychometric, social, and behavioral attributes [REF]. Categorical signals, including binary indicators of job-search planfulness, </w:t>
      </w:r>
      <w:r w:rsidDel="00000000" w:rsidR="00000000" w:rsidRPr="00000000">
        <w:rPr>
          <w:rFonts w:ascii="EB Garamond" w:cs="EB Garamond" w:eastAsia="EB Garamond" w:hAnsi="EB Garamond"/>
          <w:b w:val="1"/>
          <w:bCs w:val="1"/>
          <w:sz w:val="24"/>
          <w:szCs w:val="24"/>
          <w:rtl w:val="0"/>
        </w:rPr>
        <w:t xml:space="preserve">will be transformed</w:t>
      </w:r>
      <w:r w:rsidDel="00000000" w:rsidR="00000000" w:rsidRPr="00000000">
        <w:rPr>
          <w:rFonts w:ascii="EB Garamond" w:cs="EB Garamond" w:eastAsia="EB Garamond" w:hAnsi="EB Garamond"/>
          <w:sz w:val="24"/>
          <w:szCs w:val="24"/>
          <w:rtl w:val="0"/>
        </w:rPr>
        <w:t xml:space="preserve"> using one-hot encoding [REF]. Continuous variables, such as aggregate MSPSS subscale scores and application frequencies, </w:t>
      </w:r>
      <w:r w:rsidDel="00000000" w:rsidR="00000000" w:rsidRPr="00000000">
        <w:rPr>
          <w:rFonts w:ascii="EB Garamond" w:cs="EB Garamond" w:eastAsia="EB Garamond" w:hAnsi="EB Garamond"/>
          <w:b w:val="1"/>
          <w:bCs w:val="1"/>
          <w:sz w:val="24"/>
          <w:szCs w:val="24"/>
          <w:rtl w:val="0"/>
        </w:rPr>
        <w:t xml:space="preserve">will undergo</w:t>
      </w:r>
      <w:r w:rsidDel="00000000" w:rsidR="00000000" w:rsidRPr="00000000">
        <w:rPr>
          <w:rFonts w:ascii="EB Garamond" w:cs="EB Garamond" w:eastAsia="EB Garamond" w:hAnsi="EB Garamond"/>
          <w:sz w:val="24"/>
          <w:szCs w:val="24"/>
          <w:rtl w:val="0"/>
        </w:rPr>
        <w:t xml:space="preserve"> z-score standardization [REF]. This ensures that feature scales remain consistent, preventing variables with larger numeric ranges from dominating the objective function [REF].</w:t>
      </w:r>
    </w:p>
    <w:p w:rsidR="00000000" w:rsidDel="00000000" w:rsidP="00000000" w:rsidRDefault="00000000" w:rsidRPr="00000000" w14:paraId="00000088">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Handling statistical outliers remains a priority for maintaining model stability. The pipeline </w:t>
      </w:r>
      <w:r w:rsidDel="00000000" w:rsidR="00000000" w:rsidRPr="00000000">
        <w:rPr>
          <w:rFonts w:ascii="EB Garamond" w:cs="EB Garamond" w:eastAsia="EB Garamond" w:hAnsi="EB Garamond"/>
          <w:b w:val="1"/>
          <w:bCs w:val="1"/>
          <w:sz w:val="24"/>
          <w:szCs w:val="24"/>
          <w:rtl w:val="0"/>
        </w:rPr>
        <w:t xml:space="preserve">will identify</w:t>
      </w:r>
      <w:r w:rsidDel="00000000" w:rsidR="00000000" w:rsidRPr="00000000">
        <w:rPr>
          <w:rFonts w:ascii="EB Garamond" w:cs="EB Garamond" w:eastAsia="EB Garamond" w:hAnsi="EB Garamond"/>
          <w:sz w:val="24"/>
          <w:szCs w:val="24"/>
          <w:rtl w:val="0"/>
        </w:rPr>
        <w:t xml:space="preserve"> extreme values in behavioral metrics through the interquartile range method [REF]. These outliers </w:t>
      </w:r>
      <w:r w:rsidDel="00000000" w:rsidR="00000000" w:rsidRPr="00000000">
        <w:rPr>
          <w:rFonts w:ascii="EB Garamond" w:cs="EB Garamond" w:eastAsia="EB Garamond" w:hAnsi="EB Garamond"/>
          <w:b w:val="1"/>
          <w:bCs w:val="1"/>
          <w:sz w:val="24"/>
          <w:szCs w:val="24"/>
          <w:rtl w:val="0"/>
        </w:rPr>
        <w:t xml:space="preserve">will be winsorized</w:t>
      </w:r>
      <w:r w:rsidDel="00000000" w:rsidR="00000000" w:rsidRPr="00000000">
        <w:rPr>
          <w:rFonts w:ascii="EB Garamond" w:cs="EB Garamond" w:eastAsia="EB Garamond" w:hAnsi="EB Garamond"/>
          <w:sz w:val="24"/>
          <w:szCs w:val="24"/>
          <w:rtl w:val="0"/>
        </w:rPr>
        <w:t xml:space="preserve"> to the 5th and 95th percentiles to mitigate distortion while preserving the overall sample size [REF].</w:t>
      </w:r>
    </w:p>
    <w:p w:rsidR="00000000" w:rsidDel="00000000" w:rsidP="00000000" w:rsidRDefault="00000000" w:rsidRPr="00000000" w14:paraId="00000089">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Significant class imbalances often characterize mental health datasets where high-risk individuals represented by </w:t>
      </w:r>
      <w:hyperlink r:id="rId56">
        <w:r w:rsidDel="00000000" w:rsidR="00000000" w:rsidRPr="00000000">
          <w:rPr>
            <w:rFonts w:ascii="EB Garamond" w:cs="EB Garamond" w:eastAsia="EB Garamond" w:hAnsi="EB Garamond"/>
            <w:sz w:val="24"/>
            <w:szCs w:val="24"/>
          </w:rPr>
          <w:drawing>
            <wp:inline distB="19050" distT="19050" distL="19050" distR="19050">
              <wp:extent cx="381000" cy="139700"/>
              <wp:effectExtent b="0" l="0" r="0" t="0"/>
              <wp:docPr id="36" name="image43.png"/>
              <a:graphic>
                <a:graphicData uri="http://schemas.openxmlformats.org/drawingml/2006/picture">
                  <pic:pic>
                    <pic:nvPicPr>
                      <pic:cNvPr id="0" name="image43.png"/>
                      <pic:cNvPicPr preferRelativeResize="0"/>
                    </pic:nvPicPr>
                    <pic:blipFill>
                      <a:blip r:embed="rId57"/>
                      <a:srcRect b="0" l="0" r="0" t="0"/>
                      <a:stretch>
                        <a:fillRect/>
                      </a:stretch>
                    </pic:blipFill>
                    <pic:spPr>
                      <a:xfrm>
                        <a:off x="0" y="0"/>
                        <a:ext cx="381000" cy="139700"/>
                      </a:xfrm>
                      <a:prstGeom prst="rect"/>
                      <a:ln/>
                    </pic:spPr>
                  </pic:pic>
                </a:graphicData>
              </a:graphic>
            </wp:inline>
          </w:drawing>
        </w:r>
      </w:hyperlink>
      <w:r w:rsidDel="00000000" w:rsidR="00000000" w:rsidRPr="00000000">
        <w:rPr>
          <w:rFonts w:ascii="EB Garamond" w:cs="EB Garamond" w:eastAsia="EB Garamond" w:hAnsi="EB Garamond"/>
          <w:sz w:val="24"/>
          <w:szCs w:val="24"/>
          <w:rtl w:val="0"/>
        </w:rPr>
        <w:t xml:space="preserve"> form a minority. The design </w:t>
      </w:r>
      <w:r w:rsidDel="00000000" w:rsidR="00000000" w:rsidRPr="00000000">
        <w:rPr>
          <w:rFonts w:ascii="EB Garamond" w:cs="EB Garamond" w:eastAsia="EB Garamond" w:hAnsi="EB Garamond"/>
          <w:b w:val="1"/>
          <w:bCs w:val="1"/>
          <w:sz w:val="24"/>
          <w:szCs w:val="24"/>
          <w:rtl w:val="0"/>
        </w:rPr>
        <w:t xml:space="preserve">will implement</w:t>
      </w:r>
      <w:r w:rsidDel="00000000" w:rsidR="00000000" w:rsidRPr="00000000">
        <w:rPr>
          <w:rFonts w:ascii="EB Garamond" w:cs="EB Garamond" w:eastAsia="EB Garamond" w:hAnsi="EB Garamond"/>
          <w:sz w:val="24"/>
          <w:szCs w:val="24"/>
          <w:rtl w:val="0"/>
        </w:rPr>
        <w:t xml:space="preserve"> Synthetic Minority Over-sampling Technique (SMOTE) to generate synthetic examples for the risk-indicated class [REF]. Alternatively, cost-sensitive learning </w:t>
      </w:r>
      <w:r w:rsidDel="00000000" w:rsidR="00000000" w:rsidRPr="00000000">
        <w:rPr>
          <w:rFonts w:ascii="EB Garamond" w:cs="EB Garamond" w:eastAsia="EB Garamond" w:hAnsi="EB Garamond"/>
          <w:b w:val="1"/>
          <w:bCs w:val="1"/>
          <w:sz w:val="24"/>
          <w:szCs w:val="24"/>
          <w:rtl w:val="0"/>
        </w:rPr>
        <w:t xml:space="preserve">will be evaluated</w:t>
      </w:r>
      <w:r w:rsidDel="00000000" w:rsidR="00000000" w:rsidRPr="00000000">
        <w:rPr>
          <w:rFonts w:ascii="EB Garamond" w:cs="EB Garamond" w:eastAsia="EB Garamond" w:hAnsi="EB Garamond"/>
          <w:sz w:val="24"/>
          <w:szCs w:val="24"/>
          <w:rtl w:val="0"/>
        </w:rPr>
        <w:t xml:space="preserve"> by assigning inverse-frequency weights to the loss function [REF]. Choosing between these strategies </w:t>
      </w:r>
      <w:r w:rsidDel="00000000" w:rsidR="00000000" w:rsidRPr="00000000">
        <w:rPr>
          <w:rFonts w:ascii="EB Garamond" w:cs="EB Garamond" w:eastAsia="EB Garamond" w:hAnsi="EB Garamond"/>
          <w:b w:val="1"/>
          <w:bCs w:val="1"/>
          <w:sz w:val="24"/>
          <w:szCs w:val="24"/>
          <w:rtl w:val="0"/>
        </w:rPr>
        <w:t xml:space="preserve">will depend</w:t>
      </w:r>
      <w:r w:rsidDel="00000000" w:rsidR="00000000" w:rsidRPr="00000000">
        <w:rPr>
          <w:rFonts w:ascii="EB Garamond" w:cs="EB Garamond" w:eastAsia="EB Garamond" w:hAnsi="EB Garamond"/>
          <w:sz w:val="24"/>
          <w:szCs w:val="24"/>
          <w:rtl w:val="0"/>
        </w:rPr>
        <w:t xml:space="preserve"> on initial distribution metrics observed during the pilot phase [REF]. Adherence to these systematic steps </w:t>
      </w:r>
      <w:r w:rsidDel="00000000" w:rsidR="00000000" w:rsidRPr="00000000">
        <w:rPr>
          <w:rFonts w:ascii="EB Garamond" w:cs="EB Garamond" w:eastAsia="EB Garamond" w:hAnsi="EB Garamond"/>
          <w:b w:val="1"/>
          <w:bCs w:val="1"/>
          <w:sz w:val="24"/>
          <w:szCs w:val="24"/>
          <w:rtl w:val="0"/>
        </w:rPr>
        <w:t xml:space="preserve">will facilitate</w:t>
      </w:r>
      <w:r w:rsidDel="00000000" w:rsidR="00000000" w:rsidRPr="00000000">
        <w:rPr>
          <w:rFonts w:ascii="EB Garamond" w:cs="EB Garamond" w:eastAsia="EB Garamond" w:hAnsi="EB Garamond"/>
          <w:sz w:val="24"/>
          <w:szCs w:val="24"/>
          <w:rtl w:val="0"/>
        </w:rPr>
        <w:t xml:space="preserve"> the reporting transparency mandated by TRIPOD standards. This structured approach ensures that the resulting early indication framework remains technically sound for diverse academic environments [REF].</w:t>
      </w:r>
    </w:p>
    <w:p w:rsidR="00000000" w:rsidDel="00000000" w:rsidP="00000000" w:rsidRDefault="00000000" w:rsidRPr="00000000" w14:paraId="0000008A">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8B">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8C">
      <w:pPr>
        <w:spacing w:after="240" w:before="240" w:lineRule="auto"/>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3.6 Modeling Strategy and Baselines (Planned)</w:t>
      </w:r>
    </w:p>
    <w:p w:rsidR="00000000" w:rsidDel="00000000" w:rsidP="00000000" w:rsidRDefault="00000000" w:rsidRPr="00000000" w14:paraId="0000008D">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planned modeling phase </w:t>
      </w:r>
      <w:r w:rsidDel="00000000" w:rsidR="00000000" w:rsidRPr="00000000">
        <w:rPr>
          <w:rFonts w:ascii="EB Garamond" w:cs="EB Garamond" w:eastAsia="EB Garamond" w:hAnsi="EB Garamond"/>
          <w:b w:val="1"/>
          <w:bCs w:val="1"/>
          <w:sz w:val="24"/>
          <w:szCs w:val="24"/>
          <w:rtl w:val="0"/>
        </w:rPr>
        <w:t xml:space="preserve">will implement</w:t>
      </w:r>
      <w:r w:rsidDel="00000000" w:rsidR="00000000" w:rsidRPr="00000000">
        <w:rPr>
          <w:rFonts w:ascii="EB Garamond" w:cs="EB Garamond" w:eastAsia="EB Garamond" w:hAnsi="EB Garamond"/>
          <w:sz w:val="24"/>
          <w:szCs w:val="24"/>
          <w:rtl w:val="0"/>
        </w:rPr>
        <w:t xml:space="preserve"> a suite of supervised learning baselines to map integrated feature vectors to psychological risk categories [REF]. Baseline selection </w:t>
      </w:r>
      <w:r w:rsidDel="00000000" w:rsidR="00000000" w:rsidRPr="00000000">
        <w:rPr>
          <w:rFonts w:ascii="EB Garamond" w:cs="EB Garamond" w:eastAsia="EB Garamond" w:hAnsi="EB Garamond"/>
          <w:b w:val="1"/>
          <w:bCs w:val="1"/>
          <w:sz w:val="24"/>
          <w:szCs w:val="24"/>
          <w:rtl w:val="0"/>
        </w:rPr>
        <w:t xml:space="preserve">will prioritize</w:t>
      </w:r>
      <w:r w:rsidDel="00000000" w:rsidR="00000000" w:rsidRPr="00000000">
        <w:rPr>
          <w:rFonts w:ascii="EB Garamond" w:cs="EB Garamond" w:eastAsia="EB Garamond" w:hAnsi="EB Garamond"/>
          <w:sz w:val="24"/>
          <w:szCs w:val="24"/>
          <w:rtl w:val="0"/>
        </w:rPr>
        <w:t xml:space="preserve"> established algorithms known for effective performance in high-dimensional mental health classification, specifically </w:t>
      </w:r>
      <w:r w:rsidDel="00000000" w:rsidR="00000000" w:rsidRPr="00000000">
        <w:rPr>
          <w:rFonts w:ascii="EB Garamond" w:cs="EB Garamond" w:eastAsia="EB Garamond" w:hAnsi="EB Garamond"/>
          <w:b w:val="1"/>
          <w:bCs w:val="1"/>
          <w:sz w:val="24"/>
          <w:szCs w:val="24"/>
          <w:rtl w:val="0"/>
        </w:rPr>
        <w:t xml:space="preserve">logistic regression</w:t>
      </w:r>
      <w:r w:rsidDel="00000000" w:rsidR="00000000" w:rsidRPr="00000000">
        <w:rPr>
          <w:rFonts w:ascii="EB Garamond" w:cs="EB Garamond" w:eastAsia="EB Garamond" w:hAnsi="EB Garamond"/>
          <w:sz w:val="24"/>
          <w:szCs w:val="24"/>
          <w:rtl w:val="0"/>
        </w:rPr>
        <w:t xml:space="preserve">, </w:t>
      </w:r>
      <w:r w:rsidDel="00000000" w:rsidR="00000000" w:rsidRPr="00000000">
        <w:rPr>
          <w:rFonts w:ascii="EB Garamond" w:cs="EB Garamond" w:eastAsia="EB Garamond" w:hAnsi="EB Garamond"/>
          <w:b w:val="1"/>
          <w:bCs w:val="1"/>
          <w:sz w:val="24"/>
          <w:szCs w:val="24"/>
          <w:rtl w:val="0"/>
        </w:rPr>
        <w:t xml:space="preserve">support vector machines (SVM)</w:t>
      </w:r>
      <w:r w:rsidDel="00000000" w:rsidR="00000000" w:rsidRPr="00000000">
        <w:rPr>
          <w:rFonts w:ascii="EB Garamond" w:cs="EB Garamond" w:eastAsia="EB Garamond" w:hAnsi="EB Garamond"/>
          <w:sz w:val="24"/>
          <w:szCs w:val="24"/>
          <w:rtl w:val="0"/>
        </w:rPr>
        <w:t xml:space="preserve">, </w:t>
      </w:r>
      <w:r w:rsidDel="00000000" w:rsidR="00000000" w:rsidRPr="00000000">
        <w:rPr>
          <w:rFonts w:ascii="EB Garamond" w:cs="EB Garamond" w:eastAsia="EB Garamond" w:hAnsi="EB Garamond"/>
          <w:b w:val="1"/>
          <w:bCs w:val="1"/>
          <w:sz w:val="24"/>
          <w:szCs w:val="24"/>
          <w:rtl w:val="0"/>
        </w:rPr>
        <w:t xml:space="preserve">random forests</w:t>
      </w:r>
      <w:r w:rsidDel="00000000" w:rsidR="00000000" w:rsidRPr="00000000">
        <w:rPr>
          <w:rFonts w:ascii="EB Garamond" w:cs="EB Garamond" w:eastAsia="EB Garamond" w:hAnsi="EB Garamond"/>
          <w:sz w:val="24"/>
          <w:szCs w:val="24"/>
          <w:rtl w:val="0"/>
        </w:rPr>
        <w:t xml:space="preserve">, and </w:t>
      </w:r>
      <w:r w:rsidDel="00000000" w:rsidR="00000000" w:rsidRPr="00000000">
        <w:rPr>
          <w:rFonts w:ascii="EB Garamond" w:cs="EB Garamond" w:eastAsia="EB Garamond" w:hAnsi="EB Garamond"/>
          <w:b w:val="1"/>
          <w:bCs w:val="1"/>
          <w:sz w:val="24"/>
          <w:szCs w:val="24"/>
          <w:rtl w:val="0"/>
        </w:rPr>
        <w:t xml:space="preserve">extreme gradient boosting (XGBoost)</w:t>
      </w:r>
      <w:r w:rsidDel="00000000" w:rsidR="00000000" w:rsidRPr="00000000">
        <w:rPr>
          <w:rFonts w:ascii="EB Garamond" w:cs="EB Garamond" w:eastAsia="EB Garamond" w:hAnsi="EB Garamond"/>
          <w:sz w:val="24"/>
          <w:szCs w:val="24"/>
          <w:rtl w:val="0"/>
        </w:rPr>
        <w:t xml:space="preserve"> [REF], [REF]. These models </w:t>
      </w:r>
      <w:r w:rsidDel="00000000" w:rsidR="00000000" w:rsidRPr="00000000">
        <w:rPr>
          <w:rFonts w:ascii="EB Garamond" w:cs="EB Garamond" w:eastAsia="EB Garamond" w:hAnsi="EB Garamond"/>
          <w:b w:val="1"/>
          <w:bCs w:val="1"/>
          <w:sz w:val="24"/>
          <w:szCs w:val="24"/>
          <w:rtl w:val="0"/>
        </w:rPr>
        <w:t xml:space="preserve">will be configured</w:t>
      </w:r>
      <w:r w:rsidDel="00000000" w:rsidR="00000000" w:rsidRPr="00000000">
        <w:rPr>
          <w:rFonts w:ascii="EB Garamond" w:cs="EB Garamond" w:eastAsia="EB Garamond" w:hAnsi="EB Garamond"/>
          <w:sz w:val="24"/>
          <w:szCs w:val="24"/>
          <w:rtl w:val="0"/>
        </w:rPr>
        <w:t xml:space="preserve"> to execute a joint risk detection strategy [REF]. This approach acknowledges evidence that anxiety and depression often present as comorbid but mathematically distinct dimensions [REF], [REF].</w:t>
      </w:r>
    </w:p>
    <w:p w:rsidR="00000000" w:rsidDel="00000000" w:rsidP="00000000" w:rsidRDefault="00000000" w:rsidRPr="00000000" w14:paraId="0000008E">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system architecture </w:t>
      </w:r>
      <w:r w:rsidDel="00000000" w:rsidR="00000000" w:rsidRPr="00000000">
        <w:rPr>
          <w:rFonts w:ascii="EB Garamond" w:cs="EB Garamond" w:eastAsia="EB Garamond" w:hAnsi="EB Garamond"/>
          <w:b w:val="1"/>
          <w:bCs w:val="1"/>
          <w:sz w:val="24"/>
          <w:szCs w:val="24"/>
          <w:rtl w:val="0"/>
        </w:rPr>
        <w:t xml:space="preserve">will treat</w:t>
      </w:r>
      <w:r w:rsidDel="00000000" w:rsidR="00000000" w:rsidRPr="00000000">
        <w:rPr>
          <w:rFonts w:ascii="EB Garamond" w:cs="EB Garamond" w:eastAsia="EB Garamond" w:hAnsi="EB Garamond"/>
          <w:sz w:val="24"/>
          <w:szCs w:val="24"/>
          <w:rtl w:val="0"/>
        </w:rPr>
        <w:t xml:space="preserve"> the outcome as a structured multi-label target </w:t>
      </w:r>
      <w:hyperlink r:id="rId58">
        <w:r w:rsidDel="00000000" w:rsidR="00000000" w:rsidRPr="00000000">
          <w:rPr>
            <w:rFonts w:ascii="EB Garamond" w:cs="EB Garamond" w:eastAsia="EB Garamond" w:hAnsi="EB Garamond"/>
            <w:sz w:val="24"/>
            <w:szCs w:val="24"/>
          </w:rPr>
          <w:drawing>
            <wp:inline distB="19050" distT="19050" distL="19050" distR="19050">
              <wp:extent cx="584200" cy="177800"/>
              <wp:effectExtent b="0" l="0" r="0" t="0"/>
              <wp:docPr id="33" name="image41.png"/>
              <a:graphic>
                <a:graphicData uri="http://schemas.openxmlformats.org/drawingml/2006/picture">
                  <pic:pic>
                    <pic:nvPicPr>
                      <pic:cNvPr id="0" name="image41.png"/>
                      <pic:cNvPicPr preferRelativeResize="0"/>
                    </pic:nvPicPr>
                    <pic:blipFill>
                      <a:blip r:embed="rId59"/>
                      <a:srcRect b="0" l="0" r="0" t="0"/>
                      <a:stretch>
                        <a:fillRect/>
                      </a:stretch>
                    </pic:blipFill>
                    <pic:spPr>
                      <a:xfrm>
                        <a:off x="0" y="0"/>
                        <a:ext cx="584200" cy="177800"/>
                      </a:xfrm>
                      <a:prstGeom prst="rect"/>
                      <a:ln/>
                    </pic:spPr>
                  </pic:pic>
                </a:graphicData>
              </a:graphic>
            </wp:inline>
          </w:drawing>
        </w:r>
      </w:hyperlink>
      <w:r w:rsidDel="00000000" w:rsidR="00000000" w:rsidRPr="00000000">
        <w:rPr>
          <w:rFonts w:ascii="EB Garamond" w:cs="EB Garamond" w:eastAsia="EB Garamond" w:hAnsi="EB Garamond"/>
          <w:sz w:val="24"/>
          <w:szCs w:val="24"/>
          <w:rtl w:val="0"/>
        </w:rPr>
        <w:t xml:space="preserve"> to capture overlapping symptom patterns during job search transitions [REF]. Model selection </w:t>
      </w:r>
      <w:r w:rsidDel="00000000" w:rsidR="00000000" w:rsidRPr="00000000">
        <w:rPr>
          <w:rFonts w:ascii="EB Garamond" w:cs="EB Garamond" w:eastAsia="EB Garamond" w:hAnsi="EB Garamond"/>
          <w:b w:val="1"/>
          <w:bCs w:val="1"/>
          <w:sz w:val="24"/>
          <w:szCs w:val="24"/>
          <w:rtl w:val="0"/>
        </w:rPr>
        <w:t xml:space="preserve">will follow</w:t>
      </w:r>
      <w:r w:rsidDel="00000000" w:rsidR="00000000" w:rsidRPr="00000000">
        <w:rPr>
          <w:rFonts w:ascii="EB Garamond" w:cs="EB Garamond" w:eastAsia="EB Garamond" w:hAnsi="EB Garamond"/>
          <w:sz w:val="24"/>
          <w:szCs w:val="24"/>
          <w:rtl w:val="0"/>
        </w:rPr>
        <w:t xml:space="preserve"> an iterative protocol where classification stability is estimated through stratified </w:t>
      </w:r>
      <w:hyperlink r:id="rId60">
        <w:r w:rsidDel="00000000" w:rsidR="00000000" w:rsidRPr="00000000">
          <w:rPr>
            <w:rFonts w:ascii="EB Garamond" w:cs="EB Garamond" w:eastAsia="EB Garamond" w:hAnsi="EB Garamond"/>
            <w:sz w:val="24"/>
            <w:szCs w:val="24"/>
          </w:rPr>
          <w:drawing>
            <wp:inline distB="19050" distT="19050" distL="19050" distR="19050">
              <wp:extent cx="76200" cy="114300"/>
              <wp:effectExtent b="0" l="0" r="0" t="0"/>
              <wp:docPr id="12" name="image4.png"/>
              <a:graphic>
                <a:graphicData uri="http://schemas.openxmlformats.org/drawingml/2006/picture">
                  <pic:pic>
                    <pic:nvPicPr>
                      <pic:cNvPr id="0" name="image4.png"/>
                      <pic:cNvPicPr preferRelativeResize="0"/>
                    </pic:nvPicPr>
                    <pic:blipFill>
                      <a:blip r:embed="rId61"/>
                      <a:srcRect b="0" l="0" r="0" t="0"/>
                      <a:stretch>
                        <a:fillRect/>
                      </a:stretch>
                    </pic:blipFill>
                    <pic:spPr>
                      <a:xfrm>
                        <a:off x="0" y="0"/>
                        <a:ext cx="76200" cy="114300"/>
                      </a:xfrm>
                      <a:prstGeom prst="rect"/>
                      <a:ln/>
                    </pic:spPr>
                  </pic:pic>
                </a:graphicData>
              </a:graphic>
            </wp:inline>
          </w:drawing>
        </w:r>
      </w:hyperlink>
      <w:r w:rsidDel="00000000" w:rsidR="00000000" w:rsidRPr="00000000">
        <w:rPr>
          <w:rFonts w:ascii="EB Garamond" w:cs="EB Garamond" w:eastAsia="EB Garamond" w:hAnsi="EB Garamond"/>
          <w:sz w:val="24"/>
          <w:szCs w:val="24"/>
          <w:rtl w:val="0"/>
        </w:rPr>
        <w:t xml:space="preserve">-fold cross-validation to minimize optimism bias [REF]. Conceptual hyperparameter tuning </w:t>
      </w:r>
      <w:r w:rsidDel="00000000" w:rsidR="00000000" w:rsidRPr="00000000">
        <w:rPr>
          <w:rFonts w:ascii="EB Garamond" w:cs="EB Garamond" w:eastAsia="EB Garamond" w:hAnsi="EB Garamond"/>
          <w:b w:val="1"/>
          <w:bCs w:val="1"/>
          <w:sz w:val="24"/>
          <w:szCs w:val="24"/>
          <w:rtl w:val="0"/>
        </w:rPr>
        <w:t xml:space="preserve">will involve</w:t>
      </w:r>
      <w:r w:rsidDel="00000000" w:rsidR="00000000" w:rsidRPr="00000000">
        <w:rPr>
          <w:rFonts w:ascii="EB Garamond" w:cs="EB Garamond" w:eastAsia="EB Garamond" w:hAnsi="EB Garamond"/>
          <w:sz w:val="24"/>
          <w:szCs w:val="24"/>
          <w:rtl w:val="0"/>
        </w:rPr>
        <w:t xml:space="preserve"> systematic grid searches to optimize structural settings, such as tree depth in random forests or regularization strength in linear baselines [REF]. This modular approach </w:t>
      </w:r>
      <w:r w:rsidDel="00000000" w:rsidR="00000000" w:rsidRPr="00000000">
        <w:rPr>
          <w:rFonts w:ascii="EB Garamond" w:cs="EB Garamond" w:eastAsia="EB Garamond" w:hAnsi="EB Garamond"/>
          <w:b w:val="1"/>
          <w:bCs w:val="1"/>
          <w:sz w:val="24"/>
          <w:szCs w:val="24"/>
          <w:rtl w:val="0"/>
        </w:rPr>
        <w:t xml:space="preserve">will facilitate</w:t>
      </w:r>
      <w:r w:rsidDel="00000000" w:rsidR="00000000" w:rsidRPr="00000000">
        <w:rPr>
          <w:rFonts w:ascii="EB Garamond" w:cs="EB Garamond" w:eastAsia="EB Garamond" w:hAnsi="EB Garamond"/>
          <w:sz w:val="24"/>
          <w:szCs w:val="24"/>
          <w:rtl w:val="0"/>
        </w:rPr>
        <w:t xml:space="preserve"> the comparison of diverse algorithmic behaviors across identical data splits [REF]. The framework </w:t>
      </w:r>
      <w:r w:rsidDel="00000000" w:rsidR="00000000" w:rsidRPr="00000000">
        <w:rPr>
          <w:rFonts w:ascii="EB Garamond" w:cs="EB Garamond" w:eastAsia="EB Garamond" w:hAnsi="EB Garamond"/>
          <w:b w:val="1"/>
          <w:bCs w:val="1"/>
          <w:sz w:val="24"/>
          <w:szCs w:val="24"/>
          <w:rtl w:val="0"/>
        </w:rPr>
        <w:t xml:space="preserve">will seek</w:t>
      </w:r>
      <w:r w:rsidDel="00000000" w:rsidR="00000000" w:rsidRPr="00000000">
        <w:rPr>
          <w:rFonts w:ascii="EB Garamond" w:cs="EB Garamond" w:eastAsia="EB Garamond" w:hAnsi="EB Garamond"/>
          <w:sz w:val="24"/>
          <w:szCs w:val="24"/>
          <w:rtl w:val="0"/>
        </w:rPr>
        <w:t xml:space="preserve"> to identify the optimal mapping </w:t>
      </w:r>
      <w:hyperlink r:id="rId62">
        <w:r w:rsidDel="00000000" w:rsidR="00000000" w:rsidRPr="00000000">
          <w:rPr>
            <w:rFonts w:ascii="EB Garamond" w:cs="EB Garamond" w:eastAsia="EB Garamond" w:hAnsi="EB Garamond"/>
            <w:sz w:val="24"/>
            <w:szCs w:val="24"/>
          </w:rPr>
          <w:drawing>
            <wp:inline distB="19050" distT="19050" distL="19050" distR="19050">
              <wp:extent cx="711200" cy="165100"/>
              <wp:effectExtent b="0" l="0" r="0" t="0"/>
              <wp:docPr id="28" name="image37.png"/>
              <a:graphic>
                <a:graphicData uri="http://schemas.openxmlformats.org/drawingml/2006/picture">
                  <pic:pic>
                    <pic:nvPicPr>
                      <pic:cNvPr id="0" name="image37.png"/>
                      <pic:cNvPicPr preferRelativeResize="0"/>
                    </pic:nvPicPr>
                    <pic:blipFill>
                      <a:blip r:embed="rId63"/>
                      <a:srcRect b="0" l="0" r="0" t="0"/>
                      <a:stretch>
                        <a:fillRect/>
                      </a:stretch>
                    </pic:blipFill>
                    <pic:spPr>
                      <a:xfrm>
                        <a:off x="0" y="0"/>
                        <a:ext cx="711200" cy="165100"/>
                      </a:xfrm>
                      <a:prstGeom prst="rect"/>
                      <a:ln/>
                    </pic:spPr>
                  </pic:pic>
                </a:graphicData>
              </a:graphic>
            </wp:inline>
          </w:drawing>
        </w:r>
      </w:hyperlink>
      <w:r w:rsidDel="00000000" w:rsidR="00000000" w:rsidRPr="00000000">
        <w:rPr>
          <w:rFonts w:ascii="EB Garamond" w:cs="EB Garamond" w:eastAsia="EB Garamond" w:hAnsi="EB Garamond"/>
          <w:sz w:val="24"/>
          <w:szCs w:val="24"/>
          <w:rtl w:val="0"/>
        </w:rPr>
        <w:t xml:space="preserve"> that maintains high sensitivity for minority risk classes [REF].</w:t>
      </w:r>
    </w:p>
    <w:p w:rsidR="00000000" w:rsidDel="00000000" w:rsidP="00000000" w:rsidRDefault="00000000" w:rsidRPr="00000000" w14:paraId="0000008F">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Technical execution </w:t>
      </w:r>
      <w:r w:rsidDel="00000000" w:rsidR="00000000" w:rsidRPr="00000000">
        <w:rPr>
          <w:rFonts w:ascii="EB Garamond" w:cs="EB Garamond" w:eastAsia="EB Garamond" w:hAnsi="EB Garamond"/>
          <w:b w:val="1"/>
          <w:bCs w:val="1"/>
          <w:sz w:val="24"/>
          <w:szCs w:val="24"/>
          <w:rtl w:val="0"/>
        </w:rPr>
        <w:t xml:space="preserve">will focus</w:t>
      </w:r>
      <w:r w:rsidDel="00000000" w:rsidR="00000000" w:rsidRPr="00000000">
        <w:rPr>
          <w:rFonts w:ascii="EB Garamond" w:cs="EB Garamond" w:eastAsia="EB Garamond" w:hAnsi="EB Garamond"/>
          <w:sz w:val="24"/>
          <w:szCs w:val="24"/>
          <w:rtl w:val="0"/>
        </w:rPr>
        <w:t xml:space="preserve"> on producing a decision-support signal rather than a medical diagnostic tool [REF]. Such automated systems </w:t>
      </w:r>
      <w:r w:rsidDel="00000000" w:rsidR="00000000" w:rsidRPr="00000000">
        <w:rPr>
          <w:rFonts w:ascii="EB Garamond" w:cs="EB Garamond" w:eastAsia="EB Garamond" w:hAnsi="EB Garamond"/>
          <w:b w:val="1"/>
          <w:bCs w:val="1"/>
          <w:sz w:val="24"/>
          <w:szCs w:val="24"/>
          <w:rtl w:val="0"/>
        </w:rPr>
        <w:t xml:space="preserve">will serve</w:t>
      </w:r>
      <w:r w:rsidDel="00000000" w:rsidR="00000000" w:rsidRPr="00000000">
        <w:rPr>
          <w:rFonts w:ascii="EB Garamond" w:cs="EB Garamond" w:eastAsia="EB Garamond" w:hAnsi="EB Garamond"/>
          <w:sz w:val="24"/>
          <w:szCs w:val="24"/>
          <w:rtl w:val="0"/>
        </w:rPr>
        <w:t xml:space="preserve"> as an early indication layer [REF]. By providing interpretable risk probabilities </w:t>
      </w:r>
      <w:hyperlink r:id="rId64">
        <w:r w:rsidDel="00000000" w:rsidR="00000000" w:rsidRPr="00000000">
          <w:rPr>
            <w:rFonts w:ascii="EB Garamond" w:cs="EB Garamond" w:eastAsia="EB Garamond" w:hAnsi="EB Garamond"/>
            <w:sz w:val="24"/>
            <w:szCs w:val="24"/>
          </w:rPr>
          <w:drawing>
            <wp:inline distB="19050" distT="19050" distL="19050" distR="19050">
              <wp:extent cx="457200" cy="165100"/>
              <wp:effectExtent b="0" l="0" r="0" t="0"/>
              <wp:docPr id="16" name="image2.png"/>
              <a:graphic>
                <a:graphicData uri="http://schemas.openxmlformats.org/drawingml/2006/picture">
                  <pic:pic>
                    <pic:nvPicPr>
                      <pic:cNvPr id="0" name="image2.png"/>
                      <pic:cNvPicPr preferRelativeResize="0"/>
                    </pic:nvPicPr>
                    <pic:blipFill>
                      <a:blip r:embed="rId51"/>
                      <a:srcRect b="0" l="0" r="0" t="0"/>
                      <a:stretch>
                        <a:fillRect/>
                      </a:stretch>
                    </pic:blipFill>
                    <pic:spPr>
                      <a:xfrm>
                        <a:off x="0" y="0"/>
                        <a:ext cx="457200" cy="165100"/>
                      </a:xfrm>
                      <a:prstGeom prst="rect"/>
                      <a:ln/>
                    </pic:spPr>
                  </pic:pic>
                </a:graphicData>
              </a:graphic>
            </wp:inline>
          </w:drawing>
        </w:r>
      </w:hyperlink>
      <w:r w:rsidDel="00000000" w:rsidR="00000000" w:rsidRPr="00000000">
        <w:rPr>
          <w:rFonts w:ascii="EB Garamond" w:cs="EB Garamond" w:eastAsia="EB Garamond" w:hAnsi="EB Garamond"/>
          <w:sz w:val="24"/>
          <w:szCs w:val="24"/>
          <w:rtl w:val="0"/>
        </w:rPr>
        <w:t xml:space="preserve">, the pipeline </w:t>
      </w:r>
      <w:r w:rsidDel="00000000" w:rsidR="00000000" w:rsidRPr="00000000">
        <w:rPr>
          <w:rFonts w:ascii="EB Garamond" w:cs="EB Garamond" w:eastAsia="EB Garamond" w:hAnsi="EB Garamond"/>
          <w:b w:val="1"/>
          <w:bCs w:val="1"/>
          <w:sz w:val="24"/>
          <w:szCs w:val="24"/>
          <w:rtl w:val="0"/>
        </w:rPr>
        <w:t xml:space="preserve">will enable</w:t>
      </w:r>
      <w:r w:rsidDel="00000000" w:rsidR="00000000" w:rsidRPr="00000000">
        <w:rPr>
          <w:rFonts w:ascii="EB Garamond" w:cs="EB Garamond" w:eastAsia="EB Garamond" w:hAnsi="EB Garamond"/>
          <w:sz w:val="24"/>
          <w:szCs w:val="24"/>
          <w:rtl w:val="0"/>
        </w:rPr>
        <w:t xml:space="preserve"> university staff to identify students requiring non-clinical intervention before symptom escalation occurs [REF]. This alignment with software engineering principles ensures that the resulting pipeline is modular, versioned, and suitable for evaluation in real-world academic support settings [REF].</w:t>
      </w:r>
    </w:p>
    <w:p w:rsidR="00000000" w:rsidDel="00000000" w:rsidP="00000000" w:rsidRDefault="00000000" w:rsidRPr="00000000" w14:paraId="00000090">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91">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92">
      <w:pPr>
        <w:spacing w:after="240" w:before="240" w:lineRule="auto"/>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3.7 Evaluation Protocol (Planned)</w:t>
      </w:r>
    </w:p>
    <w:p w:rsidR="00000000" w:rsidDel="00000000" w:rsidP="00000000" w:rsidRDefault="00000000" w:rsidRPr="00000000" w14:paraId="00000093">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assessment phase </w:t>
      </w:r>
      <w:r w:rsidDel="00000000" w:rsidR="00000000" w:rsidRPr="00000000">
        <w:rPr>
          <w:rFonts w:ascii="EB Garamond" w:cs="EB Garamond" w:eastAsia="EB Garamond" w:hAnsi="EB Garamond"/>
          <w:b w:val="1"/>
          <w:bCs w:val="1"/>
          <w:sz w:val="24"/>
          <w:szCs w:val="24"/>
          <w:rtl w:val="0"/>
        </w:rPr>
        <w:t xml:space="preserve">will implement</w:t>
      </w:r>
      <w:r w:rsidDel="00000000" w:rsidR="00000000" w:rsidRPr="00000000">
        <w:rPr>
          <w:rFonts w:ascii="EB Garamond" w:cs="EB Garamond" w:eastAsia="EB Garamond" w:hAnsi="EB Garamond"/>
          <w:sz w:val="24"/>
          <w:szCs w:val="24"/>
          <w:rtl w:val="0"/>
        </w:rPr>
        <w:t xml:space="preserve"> a stratified </w:t>
      </w:r>
      <w:hyperlink r:id="rId65">
        <w:r w:rsidDel="00000000" w:rsidR="00000000" w:rsidRPr="00000000">
          <w:rPr>
            <w:rFonts w:ascii="EB Garamond" w:cs="EB Garamond" w:eastAsia="EB Garamond" w:hAnsi="EB Garamond"/>
            <w:sz w:val="24"/>
            <w:szCs w:val="24"/>
          </w:rPr>
          <w:drawing>
            <wp:inline distB="19050" distT="19050" distL="19050" distR="19050">
              <wp:extent cx="76200" cy="114300"/>
              <wp:effectExtent b="0" l="0" r="0" t="0"/>
              <wp:docPr id="45" name="image35.png"/>
              <a:graphic>
                <a:graphicData uri="http://schemas.openxmlformats.org/drawingml/2006/picture">
                  <pic:pic>
                    <pic:nvPicPr>
                      <pic:cNvPr id="0" name="image35.png"/>
                      <pic:cNvPicPr preferRelativeResize="0"/>
                    </pic:nvPicPr>
                    <pic:blipFill>
                      <a:blip r:embed="rId61"/>
                      <a:srcRect b="0" l="0" r="0" t="0"/>
                      <a:stretch>
                        <a:fillRect/>
                      </a:stretch>
                    </pic:blipFill>
                    <pic:spPr>
                      <a:xfrm>
                        <a:off x="0" y="0"/>
                        <a:ext cx="76200" cy="114300"/>
                      </a:xfrm>
                      <a:prstGeom prst="rect"/>
                      <a:ln/>
                    </pic:spPr>
                  </pic:pic>
                </a:graphicData>
              </a:graphic>
            </wp:inline>
          </w:drawing>
        </w:r>
      </w:hyperlink>
      <w:r w:rsidDel="00000000" w:rsidR="00000000" w:rsidRPr="00000000">
        <w:rPr>
          <w:rFonts w:ascii="EB Garamond" w:cs="EB Garamond" w:eastAsia="EB Garamond" w:hAnsi="EB Garamond"/>
          <w:sz w:val="24"/>
          <w:szCs w:val="24"/>
          <w:rtl w:val="0"/>
        </w:rPr>
        <w:t xml:space="preserve">-fold cross-validation protocol to calculate predictive performance [REF]. This resampling methodology partitions the feature space into </w:t>
      </w:r>
      <w:hyperlink r:id="rId66">
        <w:r w:rsidDel="00000000" w:rsidR="00000000" w:rsidRPr="00000000">
          <w:rPr>
            <w:rFonts w:ascii="EB Garamond" w:cs="EB Garamond" w:eastAsia="EB Garamond" w:hAnsi="EB Garamond"/>
            <w:sz w:val="24"/>
            <w:szCs w:val="24"/>
          </w:rPr>
          <w:drawing>
            <wp:inline distB="19050" distT="19050" distL="19050" distR="19050">
              <wp:extent cx="76200" cy="114300"/>
              <wp:effectExtent b="0" l="0" r="0" t="0"/>
              <wp:docPr id="24" name="image12.png"/>
              <a:graphic>
                <a:graphicData uri="http://schemas.openxmlformats.org/drawingml/2006/picture">
                  <pic:pic>
                    <pic:nvPicPr>
                      <pic:cNvPr id="0" name="image12.png"/>
                      <pic:cNvPicPr preferRelativeResize="0"/>
                    </pic:nvPicPr>
                    <pic:blipFill>
                      <a:blip r:embed="rId61"/>
                      <a:srcRect b="0" l="0" r="0" t="0"/>
                      <a:stretch>
                        <a:fillRect/>
                      </a:stretch>
                    </pic:blipFill>
                    <pic:spPr>
                      <a:xfrm>
                        <a:off x="0" y="0"/>
                        <a:ext cx="76200" cy="114300"/>
                      </a:xfrm>
                      <a:prstGeom prst="rect"/>
                      <a:ln/>
                    </pic:spPr>
                  </pic:pic>
                </a:graphicData>
              </a:graphic>
            </wp:inline>
          </w:drawing>
        </w:r>
      </w:hyperlink>
      <w:r w:rsidDel="00000000" w:rsidR="00000000" w:rsidRPr="00000000">
        <w:rPr>
          <w:rFonts w:ascii="EB Garamond" w:cs="EB Garamond" w:eastAsia="EB Garamond" w:hAnsi="EB Garamond"/>
          <w:sz w:val="24"/>
          <w:szCs w:val="24"/>
          <w:rtl w:val="0"/>
        </w:rPr>
        <w:t xml:space="preserve"> distinct segments while maintaining the frequency of anxiety and depression risk labels [REF]. Internal validation of this nature is mandatory to account for any potential optimism bias in the developed model [REF]. A separate stratified test set </w:t>
      </w:r>
      <w:r w:rsidDel="00000000" w:rsidR="00000000" w:rsidRPr="00000000">
        <w:rPr>
          <w:rFonts w:ascii="EB Garamond" w:cs="EB Garamond" w:eastAsia="EB Garamond" w:hAnsi="EB Garamond"/>
          <w:b w:val="1"/>
          <w:bCs w:val="1"/>
          <w:sz w:val="24"/>
          <w:szCs w:val="24"/>
          <w:rtl w:val="0"/>
        </w:rPr>
        <w:t xml:space="preserve">will be utilized</w:t>
      </w:r>
      <w:r w:rsidDel="00000000" w:rsidR="00000000" w:rsidRPr="00000000">
        <w:rPr>
          <w:rFonts w:ascii="EB Garamond" w:cs="EB Garamond" w:eastAsia="EB Garamond" w:hAnsi="EB Garamond"/>
          <w:sz w:val="24"/>
          <w:szCs w:val="24"/>
          <w:rtl w:val="0"/>
        </w:rPr>
        <w:t xml:space="preserve"> to evaluate model stability on unseen participant data [REF].</w:t>
      </w:r>
    </w:p>
    <w:p w:rsidR="00000000" w:rsidDel="00000000" w:rsidP="00000000" w:rsidRDefault="00000000" w:rsidRPr="00000000" w14:paraId="00000094">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Performance </w:t>
      </w:r>
      <w:r w:rsidDel="00000000" w:rsidR="00000000" w:rsidRPr="00000000">
        <w:rPr>
          <w:rFonts w:ascii="EB Garamond" w:cs="EB Garamond" w:eastAsia="EB Garamond" w:hAnsi="EB Garamond"/>
          <w:b w:val="1"/>
          <w:bCs w:val="1"/>
          <w:sz w:val="24"/>
          <w:szCs w:val="24"/>
          <w:rtl w:val="0"/>
        </w:rPr>
        <w:t xml:space="preserve">will be quantified</w:t>
      </w:r>
      <w:r w:rsidDel="00000000" w:rsidR="00000000" w:rsidRPr="00000000">
        <w:rPr>
          <w:rFonts w:ascii="EB Garamond" w:cs="EB Garamond" w:eastAsia="EB Garamond" w:hAnsi="EB Garamond"/>
          <w:sz w:val="24"/>
          <w:szCs w:val="24"/>
          <w:rtl w:val="0"/>
        </w:rPr>
        <w:t xml:space="preserve"> through </w:t>
      </w:r>
      <w:r w:rsidDel="00000000" w:rsidR="00000000" w:rsidRPr="00000000">
        <w:rPr>
          <w:rFonts w:ascii="EB Garamond" w:cs="EB Garamond" w:eastAsia="EB Garamond" w:hAnsi="EB Garamond"/>
          <w:b w:val="1"/>
          <w:bCs w:val="1"/>
          <w:sz w:val="24"/>
          <w:szCs w:val="24"/>
          <w:rtl w:val="0"/>
        </w:rPr>
        <w:t xml:space="preserve">Precision</w:t>
      </w:r>
      <w:r w:rsidDel="00000000" w:rsidR="00000000" w:rsidRPr="00000000">
        <w:rPr>
          <w:rFonts w:ascii="EB Garamond" w:cs="EB Garamond" w:eastAsia="EB Garamond" w:hAnsi="EB Garamond"/>
          <w:sz w:val="24"/>
          <w:szCs w:val="24"/>
          <w:rtl w:val="0"/>
        </w:rPr>
        <w:t xml:space="preserve">, </w:t>
      </w:r>
      <w:r w:rsidDel="00000000" w:rsidR="00000000" w:rsidRPr="00000000">
        <w:rPr>
          <w:rFonts w:ascii="EB Garamond" w:cs="EB Garamond" w:eastAsia="EB Garamond" w:hAnsi="EB Garamond"/>
          <w:b w:val="1"/>
          <w:bCs w:val="1"/>
          <w:sz w:val="24"/>
          <w:szCs w:val="24"/>
          <w:rtl w:val="0"/>
        </w:rPr>
        <w:t xml:space="preserve">Recall</w:t>
      </w:r>
      <w:r w:rsidDel="00000000" w:rsidR="00000000" w:rsidRPr="00000000">
        <w:rPr>
          <w:rFonts w:ascii="EB Garamond" w:cs="EB Garamond" w:eastAsia="EB Garamond" w:hAnsi="EB Garamond"/>
          <w:sz w:val="24"/>
          <w:szCs w:val="24"/>
          <w:rtl w:val="0"/>
        </w:rPr>
        <w:t xml:space="preserve">, </w:t>
      </w:r>
      <w:r w:rsidDel="00000000" w:rsidR="00000000" w:rsidRPr="00000000">
        <w:rPr>
          <w:rFonts w:ascii="EB Garamond" w:cs="EB Garamond" w:eastAsia="EB Garamond" w:hAnsi="EB Garamond"/>
          <w:b w:val="1"/>
          <w:bCs w:val="1"/>
          <w:sz w:val="24"/>
          <w:szCs w:val="24"/>
          <w:rtl w:val="0"/>
        </w:rPr>
        <w:t xml:space="preserve">Specificity</w:t>
      </w:r>
      <w:r w:rsidDel="00000000" w:rsidR="00000000" w:rsidRPr="00000000">
        <w:rPr>
          <w:rFonts w:ascii="EB Garamond" w:cs="EB Garamond" w:eastAsia="EB Garamond" w:hAnsi="EB Garamond"/>
          <w:sz w:val="24"/>
          <w:szCs w:val="24"/>
          <w:rtl w:val="0"/>
        </w:rPr>
        <w:t xml:space="preserve">, and </w:t>
      </w:r>
      <w:r w:rsidDel="00000000" w:rsidR="00000000" w:rsidRPr="00000000">
        <w:rPr>
          <w:rFonts w:ascii="EB Garamond" w:cs="EB Garamond" w:eastAsia="EB Garamond" w:hAnsi="EB Garamond"/>
          <w:b w:val="1"/>
          <w:bCs w:val="1"/>
          <w:sz w:val="24"/>
          <w:szCs w:val="24"/>
          <w:rtl w:val="0"/>
        </w:rPr>
        <w:t xml:space="preserve">ROC-AUC</w:t>
      </w:r>
      <w:r w:rsidDel="00000000" w:rsidR="00000000" w:rsidRPr="00000000">
        <w:rPr>
          <w:rFonts w:ascii="EB Garamond" w:cs="EB Garamond" w:eastAsia="EB Garamond" w:hAnsi="EB Garamond"/>
          <w:sz w:val="24"/>
          <w:szCs w:val="24"/>
          <w:rtl w:val="0"/>
        </w:rPr>
        <w:t xml:space="preserve"> metrics [REF]. </w:t>
      </w:r>
      <w:r w:rsidDel="00000000" w:rsidR="00000000" w:rsidRPr="00000000">
        <w:rPr>
          <w:rFonts w:ascii="EB Garamond" w:cs="EB Garamond" w:eastAsia="EB Garamond" w:hAnsi="EB Garamond"/>
          <w:b w:val="1"/>
          <w:bCs w:val="1"/>
          <w:sz w:val="24"/>
          <w:szCs w:val="24"/>
          <w:rtl w:val="0"/>
        </w:rPr>
        <w:t xml:space="preserve">Precision</w:t>
      </w:r>
      <w:r w:rsidDel="00000000" w:rsidR="00000000" w:rsidRPr="00000000">
        <w:rPr>
          <w:rFonts w:ascii="EB Garamond" w:cs="EB Garamond" w:eastAsia="EB Garamond" w:hAnsi="EB Garamond"/>
          <w:sz w:val="24"/>
          <w:szCs w:val="24"/>
          <w:rtl w:val="0"/>
        </w:rPr>
        <w:t xml:space="preserve"> identifies the reliability of positive risk indicators, while </w:t>
      </w:r>
      <w:r w:rsidDel="00000000" w:rsidR="00000000" w:rsidRPr="00000000">
        <w:rPr>
          <w:rFonts w:ascii="EB Garamond" w:cs="EB Garamond" w:eastAsia="EB Garamond" w:hAnsi="EB Garamond"/>
          <w:b w:val="1"/>
          <w:bCs w:val="1"/>
          <w:sz w:val="24"/>
          <w:szCs w:val="24"/>
          <w:rtl w:val="0"/>
        </w:rPr>
        <w:t xml:space="preserve">Recall</w:t>
      </w:r>
      <w:r w:rsidDel="00000000" w:rsidR="00000000" w:rsidRPr="00000000">
        <w:rPr>
          <w:rFonts w:ascii="EB Garamond" w:cs="EB Garamond" w:eastAsia="EB Garamond" w:hAnsi="EB Garamond"/>
          <w:sz w:val="24"/>
          <w:szCs w:val="24"/>
          <w:rtl w:val="0"/>
        </w:rPr>
        <w:t xml:space="preserve"> (Sensitivity) assesses the effectiveness of the framework in locating students facing high psychological strain [REF]. </w:t>
      </w:r>
      <w:r w:rsidDel="00000000" w:rsidR="00000000" w:rsidRPr="00000000">
        <w:rPr>
          <w:rFonts w:ascii="EB Garamond" w:cs="EB Garamond" w:eastAsia="EB Garamond" w:hAnsi="EB Garamond"/>
          <w:b w:val="1"/>
          <w:bCs w:val="1"/>
          <w:sz w:val="24"/>
          <w:szCs w:val="24"/>
          <w:rtl w:val="0"/>
        </w:rPr>
        <w:t xml:space="preserve">Specificity</w:t>
      </w:r>
      <w:r w:rsidDel="00000000" w:rsidR="00000000" w:rsidRPr="00000000">
        <w:rPr>
          <w:rFonts w:ascii="EB Garamond" w:cs="EB Garamond" w:eastAsia="EB Garamond" w:hAnsi="EB Garamond"/>
          <w:sz w:val="24"/>
          <w:szCs w:val="24"/>
          <w:rtl w:val="0"/>
        </w:rPr>
        <w:t xml:space="preserve"> evaluates the correct exclusion of low-risk cases to minimize false alarm rates [REF]. The </w:t>
      </w:r>
      <w:r w:rsidDel="00000000" w:rsidR="00000000" w:rsidRPr="00000000">
        <w:rPr>
          <w:rFonts w:ascii="EB Garamond" w:cs="EB Garamond" w:eastAsia="EB Garamond" w:hAnsi="EB Garamond"/>
          <w:b w:val="1"/>
          <w:bCs w:val="1"/>
          <w:sz w:val="24"/>
          <w:szCs w:val="24"/>
          <w:rtl w:val="0"/>
        </w:rPr>
        <w:t xml:space="preserve">ROC-AUC</w:t>
      </w:r>
      <w:r w:rsidDel="00000000" w:rsidR="00000000" w:rsidRPr="00000000">
        <w:rPr>
          <w:rFonts w:ascii="EB Garamond" w:cs="EB Garamond" w:eastAsia="EB Garamond" w:hAnsi="EB Garamond"/>
          <w:sz w:val="24"/>
          <w:szCs w:val="24"/>
          <w:rtl w:val="0"/>
        </w:rPr>
        <w:t xml:space="preserve"> </w:t>
      </w:r>
      <w:r w:rsidDel="00000000" w:rsidR="00000000" w:rsidRPr="00000000">
        <w:rPr>
          <w:rFonts w:ascii="EB Garamond" w:cs="EB Garamond" w:eastAsia="EB Garamond" w:hAnsi="EB Garamond"/>
          <w:b w:val="1"/>
          <w:bCs w:val="1"/>
          <w:sz w:val="24"/>
          <w:szCs w:val="24"/>
          <w:rtl w:val="0"/>
        </w:rPr>
        <w:t xml:space="preserve">will represent</w:t>
      </w:r>
      <w:r w:rsidDel="00000000" w:rsidR="00000000" w:rsidRPr="00000000">
        <w:rPr>
          <w:rFonts w:ascii="EB Garamond" w:cs="EB Garamond" w:eastAsia="EB Garamond" w:hAnsi="EB Garamond"/>
          <w:sz w:val="24"/>
          <w:szCs w:val="24"/>
          <w:rtl w:val="0"/>
        </w:rPr>
        <w:t xml:space="preserve"> the ability of </w:t>
      </w:r>
      <w:hyperlink r:id="rId67">
        <w:r w:rsidDel="00000000" w:rsidR="00000000" w:rsidRPr="00000000">
          <w:rPr>
            <w:rFonts w:ascii="EB Garamond" w:cs="EB Garamond" w:eastAsia="EB Garamond" w:hAnsi="EB Garamond"/>
            <w:sz w:val="24"/>
            <w:szCs w:val="24"/>
          </w:rPr>
          <w:drawing>
            <wp:inline distB="19050" distT="19050" distL="19050" distR="19050">
              <wp:extent cx="342900" cy="165100"/>
              <wp:effectExtent b="0" l="0" r="0" t="0"/>
              <wp:docPr id="21" name="image40.png"/>
              <a:graphic>
                <a:graphicData uri="http://schemas.openxmlformats.org/drawingml/2006/picture">
                  <pic:pic>
                    <pic:nvPicPr>
                      <pic:cNvPr id="0" name="image40.png"/>
                      <pic:cNvPicPr preferRelativeResize="0"/>
                    </pic:nvPicPr>
                    <pic:blipFill>
                      <a:blip r:embed="rId68"/>
                      <a:srcRect b="0" l="0" r="0" t="0"/>
                      <a:stretch>
                        <a:fillRect/>
                      </a:stretch>
                    </pic:blipFill>
                    <pic:spPr>
                      <a:xfrm>
                        <a:off x="0" y="0"/>
                        <a:ext cx="342900" cy="165100"/>
                      </a:xfrm>
                      <a:prstGeom prst="rect"/>
                      <a:ln/>
                    </pic:spPr>
                  </pic:pic>
                </a:graphicData>
              </a:graphic>
            </wp:inline>
          </w:drawing>
        </w:r>
      </w:hyperlink>
      <w:r w:rsidDel="00000000" w:rsidR="00000000" w:rsidRPr="00000000">
        <w:rPr>
          <w:rFonts w:ascii="EB Garamond" w:cs="EB Garamond" w:eastAsia="EB Garamond" w:hAnsi="EB Garamond"/>
          <w:sz w:val="24"/>
          <w:szCs w:val="24"/>
          <w:rtl w:val="0"/>
        </w:rPr>
        <w:t xml:space="preserve"> to distinguish between categorical risk states across various classification thresholds [REF].</w:t>
      </w:r>
    </w:p>
    <w:p w:rsidR="00000000" w:rsidDel="00000000" w:rsidP="00000000" w:rsidRDefault="00000000" w:rsidRPr="00000000" w14:paraId="00000095">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Because mental health data often exhibit significant class imbalances, the </w:t>
      </w:r>
      <w:r w:rsidDel="00000000" w:rsidR="00000000" w:rsidRPr="00000000">
        <w:rPr>
          <w:rFonts w:ascii="EB Garamond" w:cs="EB Garamond" w:eastAsia="EB Garamond" w:hAnsi="EB Garamond"/>
          <w:b w:val="1"/>
          <w:bCs w:val="1"/>
          <w:sz w:val="24"/>
          <w:szCs w:val="24"/>
          <w:rtl w:val="0"/>
        </w:rPr>
        <w:t xml:space="preserve">macro-F1 score</w:t>
      </w:r>
      <w:r w:rsidDel="00000000" w:rsidR="00000000" w:rsidRPr="00000000">
        <w:rPr>
          <w:rFonts w:ascii="EB Garamond" w:cs="EB Garamond" w:eastAsia="EB Garamond" w:hAnsi="EB Garamond"/>
          <w:sz w:val="24"/>
          <w:szCs w:val="24"/>
          <w:rtl w:val="0"/>
        </w:rPr>
        <w:t xml:space="preserve"> </w:t>
      </w:r>
      <w:r w:rsidDel="00000000" w:rsidR="00000000" w:rsidRPr="00000000">
        <w:rPr>
          <w:rFonts w:ascii="EB Garamond" w:cs="EB Garamond" w:eastAsia="EB Garamond" w:hAnsi="EB Garamond"/>
          <w:b w:val="1"/>
          <w:bCs w:val="1"/>
          <w:sz w:val="24"/>
          <w:szCs w:val="24"/>
          <w:rtl w:val="0"/>
        </w:rPr>
        <w:t xml:space="preserve">will function</w:t>
      </w:r>
      <w:r w:rsidDel="00000000" w:rsidR="00000000" w:rsidRPr="00000000">
        <w:rPr>
          <w:rFonts w:ascii="EB Garamond" w:cs="EB Garamond" w:eastAsia="EB Garamond" w:hAnsi="EB Garamond"/>
          <w:sz w:val="24"/>
          <w:szCs w:val="24"/>
          <w:rtl w:val="0"/>
        </w:rPr>
        <w:t xml:space="preserve"> as the primary indicator of effectiveness [REF]. Accuracy is considered inadequate for imbalanced labels since models may achieve high scores by prioritizing the majority class [REF]. The macro-F1 ensures that minority high-risk classes are weighted appropriately during evaluation by providing a harmonic mean of precision and recall [REF].</w:t>
      </w:r>
    </w:p>
    <w:p w:rsidR="00000000" w:rsidDel="00000000" w:rsidP="00000000" w:rsidRDefault="00000000" w:rsidRPr="00000000" w14:paraId="00000096">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Transparent reporting </w:t>
      </w:r>
      <w:r w:rsidDel="00000000" w:rsidR="00000000" w:rsidRPr="00000000">
        <w:rPr>
          <w:rFonts w:ascii="EB Garamond" w:cs="EB Garamond" w:eastAsia="EB Garamond" w:hAnsi="EB Garamond"/>
          <w:b w:val="1"/>
          <w:bCs w:val="1"/>
          <w:sz w:val="24"/>
          <w:szCs w:val="24"/>
          <w:rtl w:val="0"/>
        </w:rPr>
        <w:t xml:space="preserve">will follow</w:t>
      </w:r>
      <w:r w:rsidDel="00000000" w:rsidR="00000000" w:rsidRPr="00000000">
        <w:rPr>
          <w:rFonts w:ascii="EB Garamond" w:cs="EB Garamond" w:eastAsia="EB Garamond" w:hAnsi="EB Garamond"/>
          <w:sz w:val="24"/>
          <w:szCs w:val="24"/>
          <w:rtl w:val="0"/>
        </w:rPr>
        <w:t xml:space="preserve"> the </w:t>
      </w:r>
      <w:r w:rsidDel="00000000" w:rsidR="00000000" w:rsidRPr="00000000">
        <w:rPr>
          <w:rFonts w:ascii="EB Garamond" w:cs="EB Garamond" w:eastAsia="EB Garamond" w:hAnsi="EB Garamond"/>
          <w:b w:val="1"/>
          <w:bCs w:val="1"/>
          <w:sz w:val="24"/>
          <w:szCs w:val="24"/>
          <w:rtl w:val="0"/>
        </w:rPr>
        <w:t xml:space="preserve">TRIPOD Statement</w:t>
      </w:r>
      <w:r w:rsidDel="00000000" w:rsidR="00000000" w:rsidRPr="00000000">
        <w:rPr>
          <w:rFonts w:ascii="EB Garamond" w:cs="EB Garamond" w:eastAsia="EB Garamond" w:hAnsi="EB Garamond"/>
          <w:sz w:val="24"/>
          <w:szCs w:val="24"/>
          <w:rtl w:val="0"/>
        </w:rPr>
        <w:t xml:space="preserve"> to ensure experimental steps remain replicable [REF]. Providing point estimates and 95% confidence intervals for all performance measures </w:t>
      </w:r>
      <w:r w:rsidDel="00000000" w:rsidR="00000000" w:rsidRPr="00000000">
        <w:rPr>
          <w:rFonts w:ascii="EB Garamond" w:cs="EB Garamond" w:eastAsia="EB Garamond" w:hAnsi="EB Garamond"/>
          <w:b w:val="1"/>
          <w:bCs w:val="1"/>
          <w:sz w:val="24"/>
          <w:szCs w:val="24"/>
          <w:rtl w:val="0"/>
        </w:rPr>
        <w:t xml:space="preserve">will enhance</w:t>
      </w:r>
      <w:r w:rsidDel="00000000" w:rsidR="00000000" w:rsidRPr="00000000">
        <w:rPr>
          <w:rFonts w:ascii="EB Garamond" w:cs="EB Garamond" w:eastAsia="EB Garamond" w:hAnsi="EB Garamond"/>
          <w:sz w:val="24"/>
          <w:szCs w:val="24"/>
          <w:rtl w:val="0"/>
        </w:rPr>
        <w:t xml:space="preserve"> the evidentiary value of the decision-support signals [REF]. This evaluation rigor ensures that the resulting early indication framework remains technically sound for institutional deployment in student support environments [REF].</w:t>
      </w:r>
    </w:p>
    <w:p w:rsidR="00000000" w:rsidDel="00000000" w:rsidP="00000000" w:rsidRDefault="00000000" w:rsidRPr="00000000" w14:paraId="00000097">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98">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99">
      <w:pPr>
        <w:spacing w:after="240" w:before="240" w:lineRule="auto"/>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3.8 Explainability and Error Analysis Plan</w:t>
      </w:r>
    </w:p>
    <w:p w:rsidR="00000000" w:rsidDel="00000000" w:rsidP="00000000" w:rsidRDefault="00000000" w:rsidRPr="00000000" w14:paraId="0000009A">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system architecture </w:t>
      </w:r>
      <w:r w:rsidDel="00000000" w:rsidR="00000000" w:rsidRPr="00000000">
        <w:rPr>
          <w:rFonts w:ascii="EB Garamond" w:cs="EB Garamond" w:eastAsia="EB Garamond" w:hAnsi="EB Garamond"/>
          <w:b w:val="1"/>
          <w:bCs w:val="1"/>
          <w:sz w:val="24"/>
          <w:szCs w:val="24"/>
          <w:rtl w:val="0"/>
        </w:rPr>
        <w:t xml:space="preserve">will incorporate</w:t>
      </w:r>
      <w:r w:rsidDel="00000000" w:rsidR="00000000" w:rsidRPr="00000000">
        <w:rPr>
          <w:rFonts w:ascii="EB Garamond" w:cs="EB Garamond" w:eastAsia="EB Garamond" w:hAnsi="EB Garamond"/>
          <w:sz w:val="24"/>
          <w:szCs w:val="24"/>
          <w:rtl w:val="0"/>
        </w:rPr>
        <w:t xml:space="preserve"> model-agnostic explainability mechanisms to mitigate the opaque nature of complex supervised learning baselines [REF]. Future analyses </w:t>
      </w:r>
      <w:r w:rsidDel="00000000" w:rsidR="00000000" w:rsidRPr="00000000">
        <w:rPr>
          <w:rFonts w:ascii="EB Garamond" w:cs="EB Garamond" w:eastAsia="EB Garamond" w:hAnsi="EB Garamond"/>
          <w:b w:val="1"/>
          <w:bCs w:val="1"/>
          <w:sz w:val="24"/>
          <w:szCs w:val="24"/>
          <w:rtl w:val="0"/>
        </w:rPr>
        <w:t xml:space="preserve">will utilize</w:t>
      </w:r>
      <w:r w:rsidDel="00000000" w:rsidR="00000000" w:rsidRPr="00000000">
        <w:rPr>
          <w:rFonts w:ascii="EB Garamond" w:cs="EB Garamond" w:eastAsia="EB Garamond" w:hAnsi="EB Garamond"/>
          <w:sz w:val="24"/>
          <w:szCs w:val="24"/>
          <w:rtl w:val="0"/>
        </w:rPr>
        <w:t xml:space="preserve"> SHAP (Shapley Additive Explanations) values to provide a global interpretation of the multimodal feature space [REF]. This procedure </w:t>
      </w:r>
      <w:r w:rsidDel="00000000" w:rsidR="00000000" w:rsidRPr="00000000">
        <w:rPr>
          <w:rFonts w:ascii="EB Garamond" w:cs="EB Garamond" w:eastAsia="EB Garamond" w:hAnsi="EB Garamond"/>
          <w:b w:val="1"/>
          <w:bCs w:val="1"/>
          <w:sz w:val="24"/>
          <w:szCs w:val="24"/>
          <w:rtl w:val="0"/>
        </w:rPr>
        <w:t xml:space="preserve">will identify</w:t>
      </w:r>
      <w:r w:rsidDel="00000000" w:rsidR="00000000" w:rsidRPr="00000000">
        <w:rPr>
          <w:rFonts w:ascii="EB Garamond" w:cs="EB Garamond" w:eastAsia="EB Garamond" w:hAnsi="EB Garamond"/>
          <w:sz w:val="24"/>
          <w:szCs w:val="24"/>
          <w:rtl w:val="0"/>
        </w:rPr>
        <w:t xml:space="preserve"> the relative contribution of psychometric, social, and behavioral indicators across the entire participant cohort [REF]. Specifically, global SHAP summaries </w:t>
      </w:r>
      <w:r w:rsidDel="00000000" w:rsidR="00000000" w:rsidRPr="00000000">
        <w:rPr>
          <w:rFonts w:ascii="EB Garamond" w:cs="EB Garamond" w:eastAsia="EB Garamond" w:hAnsi="EB Garamond"/>
          <w:b w:val="1"/>
          <w:bCs w:val="1"/>
          <w:sz w:val="24"/>
          <w:szCs w:val="24"/>
          <w:rtl w:val="0"/>
        </w:rPr>
        <w:t xml:space="preserve">will reveal</w:t>
      </w:r>
      <w:r w:rsidDel="00000000" w:rsidR="00000000" w:rsidRPr="00000000">
        <w:rPr>
          <w:rFonts w:ascii="EB Garamond" w:cs="EB Garamond" w:eastAsia="EB Garamond" w:hAnsi="EB Garamond"/>
          <w:sz w:val="24"/>
          <w:szCs w:val="24"/>
          <w:rtl w:val="0"/>
        </w:rPr>
        <w:t xml:space="preserve"> which job-search stressors or social buffering metrics maintain the strongest predictive associations with anxiety and depression risk states [REF]. Local interpretation </w:t>
      </w:r>
      <w:r w:rsidDel="00000000" w:rsidR="00000000" w:rsidRPr="00000000">
        <w:rPr>
          <w:rFonts w:ascii="EB Garamond" w:cs="EB Garamond" w:eastAsia="EB Garamond" w:hAnsi="EB Garamond"/>
          <w:b w:val="1"/>
          <w:bCs w:val="1"/>
          <w:sz w:val="24"/>
          <w:szCs w:val="24"/>
          <w:rtl w:val="0"/>
        </w:rPr>
        <w:t xml:space="preserve">will be executed</w:t>
      </w:r>
      <w:r w:rsidDel="00000000" w:rsidR="00000000" w:rsidRPr="00000000">
        <w:rPr>
          <w:rFonts w:ascii="EB Garamond" w:cs="EB Garamond" w:eastAsia="EB Garamond" w:hAnsi="EB Garamond"/>
          <w:sz w:val="24"/>
          <w:szCs w:val="24"/>
          <w:rtl w:val="0"/>
        </w:rPr>
        <w:t xml:space="preserve"> to generate justifications for individual risk scores, explaining how specific patterns—such as high rejection load or low search planfulness—influence a student's specific probability estimation </w:t>
      </w:r>
      <w:hyperlink r:id="rId69">
        <w:r w:rsidDel="00000000" w:rsidR="00000000" w:rsidRPr="00000000">
          <w:rPr>
            <w:rFonts w:ascii="EB Garamond" w:cs="EB Garamond" w:eastAsia="EB Garamond" w:hAnsi="EB Garamond"/>
            <w:sz w:val="24"/>
            <w:szCs w:val="24"/>
          </w:rPr>
          <w:drawing>
            <wp:inline distB="19050" distT="19050" distL="19050" distR="19050">
              <wp:extent cx="457200" cy="165100"/>
              <wp:effectExtent b="0" l="0" r="0" t="0"/>
              <wp:docPr id="1" name="image7.png"/>
              <a:graphic>
                <a:graphicData uri="http://schemas.openxmlformats.org/drawingml/2006/picture">
                  <pic:pic>
                    <pic:nvPicPr>
                      <pic:cNvPr id="0" name="image7.png"/>
                      <pic:cNvPicPr preferRelativeResize="0"/>
                    </pic:nvPicPr>
                    <pic:blipFill>
                      <a:blip r:embed="rId51"/>
                      <a:srcRect b="0" l="0" r="0" t="0"/>
                      <a:stretch>
                        <a:fillRect/>
                      </a:stretch>
                    </pic:blipFill>
                    <pic:spPr>
                      <a:xfrm>
                        <a:off x="0" y="0"/>
                        <a:ext cx="457200" cy="165100"/>
                      </a:xfrm>
                      <a:prstGeom prst="rect"/>
                      <a:ln/>
                    </pic:spPr>
                  </pic:pic>
                </a:graphicData>
              </a:graphic>
            </wp:inline>
          </w:drawing>
        </w:r>
      </w:hyperlink>
      <w:r w:rsidDel="00000000" w:rsidR="00000000" w:rsidRPr="00000000">
        <w:rPr>
          <w:rFonts w:ascii="EB Garamond" w:cs="EB Garamond" w:eastAsia="EB Garamond" w:hAnsi="EB Garamond"/>
          <w:sz w:val="24"/>
          <w:szCs w:val="24"/>
          <w:rtl w:val="0"/>
        </w:rPr>
        <w:t xml:space="preserve"> [REF].</w:t>
      </w:r>
    </w:p>
    <w:p w:rsidR="00000000" w:rsidDel="00000000" w:rsidP="00000000" w:rsidRDefault="00000000" w:rsidRPr="00000000" w14:paraId="0000009B">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Systematic error analysis </w:t>
      </w:r>
      <w:r w:rsidDel="00000000" w:rsidR="00000000" w:rsidRPr="00000000">
        <w:rPr>
          <w:rFonts w:ascii="EB Garamond" w:cs="EB Garamond" w:eastAsia="EB Garamond" w:hAnsi="EB Garamond"/>
          <w:b w:val="1"/>
          <w:bCs w:val="1"/>
          <w:sz w:val="24"/>
          <w:szCs w:val="24"/>
          <w:rtl w:val="0"/>
        </w:rPr>
        <w:t xml:space="preserve">will follow</w:t>
      </w:r>
      <w:r w:rsidDel="00000000" w:rsidR="00000000" w:rsidRPr="00000000">
        <w:rPr>
          <w:rFonts w:ascii="EB Garamond" w:cs="EB Garamond" w:eastAsia="EB Garamond" w:hAnsi="EB Garamond"/>
          <w:sz w:val="24"/>
          <w:szCs w:val="24"/>
          <w:rtl w:val="0"/>
        </w:rPr>
        <w:t xml:space="preserve"> a confusion-matrix-driven approach to assess classification reliability [REF]. The evaluation </w:t>
      </w:r>
      <w:r w:rsidDel="00000000" w:rsidR="00000000" w:rsidRPr="00000000">
        <w:rPr>
          <w:rFonts w:ascii="EB Garamond" w:cs="EB Garamond" w:eastAsia="EB Garamond" w:hAnsi="EB Garamond"/>
          <w:b w:val="1"/>
          <w:bCs w:val="1"/>
          <w:sz w:val="24"/>
          <w:szCs w:val="24"/>
          <w:rtl w:val="0"/>
        </w:rPr>
        <w:t xml:space="preserve">will prioritize</w:t>
      </w:r>
      <w:r w:rsidDel="00000000" w:rsidR="00000000" w:rsidRPr="00000000">
        <w:rPr>
          <w:rFonts w:ascii="EB Garamond" w:cs="EB Garamond" w:eastAsia="EB Garamond" w:hAnsi="EB Garamond"/>
          <w:sz w:val="24"/>
          <w:szCs w:val="24"/>
          <w:rtl w:val="0"/>
        </w:rPr>
        <w:t xml:space="preserve"> the investigation of false negative (FN) instances, which represent high-risk individuals the model failed to detect [REF]. Because missed risk constitutes a significant safety concern in student screening, the research </w:t>
      </w:r>
      <w:r w:rsidDel="00000000" w:rsidR="00000000" w:rsidRPr="00000000">
        <w:rPr>
          <w:rFonts w:ascii="EB Garamond" w:cs="EB Garamond" w:eastAsia="EB Garamond" w:hAnsi="EB Garamond"/>
          <w:b w:val="1"/>
          <w:bCs w:val="1"/>
          <w:sz w:val="24"/>
          <w:szCs w:val="24"/>
          <w:rtl w:val="0"/>
        </w:rPr>
        <w:t xml:space="preserve">will analyze</w:t>
      </w:r>
      <w:r w:rsidDel="00000000" w:rsidR="00000000" w:rsidRPr="00000000">
        <w:rPr>
          <w:rFonts w:ascii="EB Garamond" w:cs="EB Garamond" w:eastAsia="EB Garamond" w:hAnsi="EB Garamond"/>
          <w:sz w:val="24"/>
          <w:szCs w:val="24"/>
          <w:rtl w:val="0"/>
        </w:rPr>
        <w:t xml:space="preserve"> feature distributions within the FN group to identify systematic signal deficiencies [REF]. These interpretable outputs </w:t>
      </w:r>
      <w:r w:rsidDel="00000000" w:rsidR="00000000" w:rsidRPr="00000000">
        <w:rPr>
          <w:rFonts w:ascii="EB Garamond" w:cs="EB Garamond" w:eastAsia="EB Garamond" w:hAnsi="EB Garamond"/>
          <w:b w:val="1"/>
          <w:bCs w:val="1"/>
          <w:sz w:val="24"/>
          <w:szCs w:val="24"/>
          <w:rtl w:val="0"/>
        </w:rPr>
        <w:t xml:space="preserve">will facilitate</w:t>
      </w:r>
      <w:r w:rsidDel="00000000" w:rsidR="00000000" w:rsidRPr="00000000">
        <w:rPr>
          <w:rFonts w:ascii="EB Garamond" w:cs="EB Garamond" w:eastAsia="EB Garamond" w:hAnsi="EB Garamond"/>
          <w:sz w:val="24"/>
          <w:szCs w:val="24"/>
          <w:rtl w:val="0"/>
        </w:rPr>
        <w:t xml:space="preserve"> the prioritization of non-clinical interventions [REF]. By mapping indicated risk back to specific stressors or resource deficits identified through local explanations, academic career centers </w:t>
      </w:r>
      <w:r w:rsidDel="00000000" w:rsidR="00000000" w:rsidRPr="00000000">
        <w:rPr>
          <w:rFonts w:ascii="EB Garamond" w:cs="EB Garamond" w:eastAsia="EB Garamond" w:hAnsi="EB Garamond"/>
          <w:b w:val="1"/>
          <w:bCs w:val="1"/>
          <w:sz w:val="24"/>
          <w:szCs w:val="24"/>
          <w:rtl w:val="0"/>
        </w:rPr>
        <w:t xml:space="preserve">can allocate</w:t>
      </w:r>
      <w:r w:rsidDel="00000000" w:rsidR="00000000" w:rsidRPr="00000000">
        <w:rPr>
          <w:rFonts w:ascii="EB Garamond" w:cs="EB Garamond" w:eastAsia="EB Garamond" w:hAnsi="EB Garamond"/>
          <w:sz w:val="24"/>
          <w:szCs w:val="24"/>
          <w:rtl w:val="0"/>
        </w:rPr>
        <w:t xml:space="preserve"> support resources more effectively [REF]. This structured evidentiary pipeline </w:t>
      </w:r>
      <w:r w:rsidDel="00000000" w:rsidR="00000000" w:rsidRPr="00000000">
        <w:rPr>
          <w:rFonts w:ascii="EB Garamond" w:cs="EB Garamond" w:eastAsia="EB Garamond" w:hAnsi="EB Garamond"/>
          <w:b w:val="1"/>
          <w:bCs w:val="1"/>
          <w:sz w:val="24"/>
          <w:szCs w:val="24"/>
          <w:rtl w:val="0"/>
        </w:rPr>
        <w:t xml:space="preserve">ensures</w:t>
      </w:r>
      <w:r w:rsidDel="00000000" w:rsidR="00000000" w:rsidRPr="00000000">
        <w:rPr>
          <w:rFonts w:ascii="EB Garamond" w:cs="EB Garamond" w:eastAsia="EB Garamond" w:hAnsi="EB Garamond"/>
          <w:sz w:val="24"/>
          <w:szCs w:val="24"/>
          <w:rtl w:val="0"/>
        </w:rPr>
        <w:t xml:space="preserve"> that risk indication results function as actionable decision-support signals rather than uninterpretable numeric values [REF].</w:t>
      </w:r>
    </w:p>
    <w:p w:rsidR="00000000" w:rsidDel="00000000" w:rsidP="00000000" w:rsidRDefault="00000000" w:rsidRPr="00000000" w14:paraId="0000009C">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9D">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9E">
      <w:pPr>
        <w:spacing w:after="240" w:before="240" w:lineRule="auto"/>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3.9 Ethical Considerations</w:t>
      </w:r>
    </w:p>
    <w:p w:rsidR="00000000" w:rsidDel="00000000" w:rsidP="00000000" w:rsidRDefault="00000000" w:rsidRPr="00000000" w14:paraId="0000009F">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research protocol </w:t>
      </w:r>
      <w:r w:rsidDel="00000000" w:rsidR="00000000" w:rsidRPr="00000000">
        <w:rPr>
          <w:rFonts w:ascii="EB Garamond" w:cs="EB Garamond" w:eastAsia="EB Garamond" w:hAnsi="EB Garamond"/>
          <w:b w:val="1"/>
          <w:bCs w:val="1"/>
          <w:sz w:val="24"/>
          <w:szCs w:val="24"/>
          <w:rtl w:val="0"/>
        </w:rPr>
        <w:t xml:space="preserve">will prioritize</w:t>
      </w:r>
      <w:r w:rsidDel="00000000" w:rsidR="00000000" w:rsidRPr="00000000">
        <w:rPr>
          <w:rFonts w:ascii="EB Garamond" w:cs="EB Garamond" w:eastAsia="EB Garamond" w:hAnsi="EB Garamond"/>
          <w:sz w:val="24"/>
          <w:szCs w:val="24"/>
          <w:rtl w:val="0"/>
        </w:rPr>
        <w:t xml:space="preserve"> participant autonomy through a structured digital consent module [REF]. Individuals </w:t>
      </w:r>
      <w:r w:rsidDel="00000000" w:rsidR="00000000" w:rsidRPr="00000000">
        <w:rPr>
          <w:rFonts w:ascii="EB Garamond" w:cs="EB Garamond" w:eastAsia="EB Garamond" w:hAnsi="EB Garamond"/>
          <w:b w:val="1"/>
          <w:bCs w:val="1"/>
          <w:sz w:val="24"/>
          <w:szCs w:val="24"/>
          <w:rtl w:val="0"/>
        </w:rPr>
        <w:t xml:space="preserve">will receive</w:t>
      </w:r>
      <w:r w:rsidDel="00000000" w:rsidR="00000000" w:rsidRPr="00000000">
        <w:rPr>
          <w:rFonts w:ascii="EB Garamond" w:cs="EB Garamond" w:eastAsia="EB Garamond" w:hAnsi="EB Garamond"/>
          <w:sz w:val="24"/>
          <w:szCs w:val="24"/>
          <w:rtl w:val="0"/>
        </w:rPr>
        <w:t xml:space="preserve"> clear notifications that the system provides </w:t>
      </w:r>
      <w:r w:rsidDel="00000000" w:rsidR="00000000" w:rsidRPr="00000000">
        <w:rPr>
          <w:rFonts w:ascii="EB Garamond" w:cs="EB Garamond" w:eastAsia="EB Garamond" w:hAnsi="EB Garamond"/>
          <w:b w:val="1"/>
          <w:bCs w:val="1"/>
          <w:sz w:val="24"/>
          <w:szCs w:val="24"/>
          <w:rtl w:val="0"/>
        </w:rPr>
        <w:t xml:space="preserve">non-clinical indication support</w:t>
      </w:r>
      <w:r w:rsidDel="00000000" w:rsidR="00000000" w:rsidRPr="00000000">
        <w:rPr>
          <w:rFonts w:ascii="EB Garamond" w:cs="EB Garamond" w:eastAsia="EB Garamond" w:hAnsi="EB Garamond"/>
          <w:sz w:val="24"/>
          <w:szCs w:val="24"/>
          <w:rtl w:val="0"/>
        </w:rPr>
        <w:t xml:space="preserve"> rather than formal medical diagnosis [REF]. This distinction ensures that students recognize model outputs as early decision-support signals [REF]. Every participant retains the absolute right to </w:t>
      </w:r>
      <w:r w:rsidDel="00000000" w:rsidR="00000000" w:rsidRPr="00000000">
        <w:rPr>
          <w:rFonts w:ascii="EB Garamond" w:cs="EB Garamond" w:eastAsia="EB Garamond" w:hAnsi="EB Garamond"/>
          <w:b w:val="1"/>
          <w:bCs w:val="1"/>
          <w:sz w:val="24"/>
          <w:szCs w:val="24"/>
          <w:rtl w:val="0"/>
        </w:rPr>
        <w:t xml:space="preserve">terminate engagement</w:t>
      </w:r>
      <w:r w:rsidDel="00000000" w:rsidR="00000000" w:rsidRPr="00000000">
        <w:rPr>
          <w:rFonts w:ascii="EB Garamond" w:cs="EB Garamond" w:eastAsia="EB Garamond" w:hAnsi="EB Garamond"/>
          <w:sz w:val="24"/>
          <w:szCs w:val="24"/>
          <w:rtl w:val="0"/>
        </w:rPr>
        <w:t xml:space="preserve"> or withdraw their data at any phase without penalty [REF]. Data management procedures </w:t>
      </w:r>
      <w:r w:rsidDel="00000000" w:rsidR="00000000" w:rsidRPr="00000000">
        <w:rPr>
          <w:rFonts w:ascii="EB Garamond" w:cs="EB Garamond" w:eastAsia="EB Garamond" w:hAnsi="EB Garamond"/>
          <w:b w:val="1"/>
          <w:bCs w:val="1"/>
          <w:sz w:val="24"/>
          <w:szCs w:val="24"/>
          <w:rtl w:val="0"/>
        </w:rPr>
        <w:t xml:space="preserve">will implement</w:t>
      </w:r>
      <w:r w:rsidDel="00000000" w:rsidR="00000000" w:rsidRPr="00000000">
        <w:rPr>
          <w:rFonts w:ascii="EB Garamond" w:cs="EB Garamond" w:eastAsia="EB Garamond" w:hAnsi="EB Garamond"/>
          <w:sz w:val="24"/>
          <w:szCs w:val="24"/>
          <w:rtl w:val="0"/>
        </w:rPr>
        <w:t xml:space="preserve"> automated anonymization by substituting identifiable attributes using generic tokens before transfer to encrypted institutional servers [REF]. To ensure privacy, the technical architecture </w:t>
      </w:r>
      <w:r w:rsidDel="00000000" w:rsidR="00000000" w:rsidRPr="00000000">
        <w:rPr>
          <w:rFonts w:ascii="EB Garamond" w:cs="EB Garamond" w:eastAsia="EB Garamond" w:hAnsi="EB Garamond"/>
          <w:b w:val="1"/>
          <w:bCs w:val="1"/>
          <w:sz w:val="24"/>
          <w:szCs w:val="24"/>
          <w:rtl w:val="0"/>
        </w:rPr>
        <w:t xml:space="preserve">will strictly adhere</w:t>
      </w:r>
      <w:r w:rsidDel="00000000" w:rsidR="00000000" w:rsidRPr="00000000">
        <w:rPr>
          <w:rFonts w:ascii="EB Garamond" w:cs="EB Garamond" w:eastAsia="EB Garamond" w:hAnsi="EB Garamond"/>
          <w:sz w:val="24"/>
          <w:szCs w:val="24"/>
          <w:rtl w:val="0"/>
        </w:rPr>
        <w:t xml:space="preserve"> to data minimization principles, capturing only those multimodal signals required for determining the </w:t>
      </w:r>
      <w:r w:rsidDel="00000000" w:rsidR="00000000" w:rsidRPr="00000000">
        <w:rPr>
          <w:rFonts w:ascii="EB Garamond" w:cs="EB Garamond" w:eastAsia="EB Garamond" w:hAnsi="EB Garamond"/>
          <w:b w:val="1"/>
          <w:bCs w:val="1"/>
          <w:sz w:val="24"/>
          <w:szCs w:val="24"/>
          <w:rtl w:val="0"/>
        </w:rPr>
        <w:t xml:space="preserve">current risk state</w:t>
      </w:r>
      <w:r w:rsidDel="00000000" w:rsidR="00000000" w:rsidRPr="00000000">
        <w:rPr>
          <w:rFonts w:ascii="EB Garamond" w:cs="EB Garamond" w:eastAsia="EB Garamond" w:hAnsi="EB Garamond"/>
          <w:sz w:val="24"/>
          <w:szCs w:val="24"/>
          <w:rtl w:val="0"/>
        </w:rPr>
        <w:t xml:space="preserve"> [REF].</w:t>
      </w:r>
    </w:p>
    <w:p w:rsidR="00000000" w:rsidDel="00000000" w:rsidP="00000000" w:rsidRDefault="00000000" w:rsidRPr="00000000" w14:paraId="000000A0">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Harm mitigation represents a core operational requirement for sensitive screening tasks [REF]. If the classification pipeline (</w:t>
      </w:r>
      <w:hyperlink r:id="rId70">
        <w:r w:rsidDel="00000000" w:rsidR="00000000" w:rsidRPr="00000000">
          <w:rPr>
            <w:rFonts w:ascii="EB Garamond" w:cs="EB Garamond" w:eastAsia="EB Garamond" w:hAnsi="EB Garamond"/>
            <w:sz w:val="24"/>
            <w:szCs w:val="24"/>
          </w:rPr>
          <w:drawing>
            <wp:inline distB="19050" distT="19050" distL="19050" distR="19050">
              <wp:extent cx="342900" cy="165100"/>
              <wp:effectExtent b="0" l="0" r="0" t="0"/>
              <wp:docPr id="5" name="image42.png"/>
              <a:graphic>
                <a:graphicData uri="http://schemas.openxmlformats.org/drawingml/2006/picture">
                  <pic:pic>
                    <pic:nvPicPr>
                      <pic:cNvPr id="0" name="image42.png"/>
                      <pic:cNvPicPr preferRelativeResize="0"/>
                    </pic:nvPicPr>
                    <pic:blipFill>
                      <a:blip r:embed="rId68"/>
                      <a:srcRect b="0" l="0" r="0" t="0"/>
                      <a:stretch>
                        <a:fillRect/>
                      </a:stretch>
                    </pic:blipFill>
                    <pic:spPr>
                      <a:xfrm>
                        <a:off x="0" y="0"/>
                        <a:ext cx="342900" cy="165100"/>
                      </a:xfrm>
                      <a:prstGeom prst="rect"/>
                      <a:ln/>
                    </pic:spPr>
                  </pic:pic>
                </a:graphicData>
              </a:graphic>
            </wp:inline>
          </w:drawing>
        </w:r>
      </w:hyperlink>
      <w:r w:rsidDel="00000000" w:rsidR="00000000" w:rsidRPr="00000000">
        <w:rPr>
          <w:rFonts w:ascii="EB Garamond" w:cs="EB Garamond" w:eastAsia="EB Garamond" w:hAnsi="EB Garamond"/>
          <w:sz w:val="24"/>
          <w:szCs w:val="24"/>
          <w:rtl w:val="0"/>
        </w:rPr>
        <w:t xml:space="preserve">) detects a high probability of severe psychological distress (</w:t>
      </w:r>
      <w:hyperlink r:id="rId71">
        <w:r w:rsidDel="00000000" w:rsidR="00000000" w:rsidRPr="00000000">
          <w:rPr>
            <w:rFonts w:ascii="EB Garamond" w:cs="EB Garamond" w:eastAsia="EB Garamond" w:hAnsi="EB Garamond"/>
            <w:sz w:val="24"/>
            <w:szCs w:val="24"/>
          </w:rPr>
          <w:drawing>
            <wp:inline distB="19050" distT="19050" distL="19050" distR="19050">
              <wp:extent cx="381000" cy="139700"/>
              <wp:effectExtent b="0" l="0" r="0" t="0"/>
              <wp:docPr id="20" name="image31.png"/>
              <a:graphic>
                <a:graphicData uri="http://schemas.openxmlformats.org/drawingml/2006/picture">
                  <pic:pic>
                    <pic:nvPicPr>
                      <pic:cNvPr id="0" name="image31.png"/>
                      <pic:cNvPicPr preferRelativeResize="0"/>
                    </pic:nvPicPr>
                    <pic:blipFill>
                      <a:blip r:embed="rId57"/>
                      <a:srcRect b="0" l="0" r="0" t="0"/>
                      <a:stretch>
                        <a:fillRect/>
                      </a:stretch>
                    </pic:blipFill>
                    <pic:spPr>
                      <a:xfrm>
                        <a:off x="0" y="0"/>
                        <a:ext cx="381000" cy="139700"/>
                      </a:xfrm>
                      <a:prstGeom prst="rect"/>
                      <a:ln/>
                    </pic:spPr>
                  </pic:pic>
                </a:graphicData>
              </a:graphic>
            </wp:inline>
          </w:drawing>
        </w:r>
      </w:hyperlink>
      <w:r w:rsidDel="00000000" w:rsidR="00000000" w:rsidRPr="00000000">
        <w:rPr>
          <w:rFonts w:ascii="EB Garamond" w:cs="EB Garamond" w:eastAsia="EB Garamond" w:hAnsi="EB Garamond"/>
          <w:sz w:val="24"/>
          <w:szCs w:val="24"/>
          <w:rtl w:val="0"/>
        </w:rPr>
        <w:t xml:space="preserve">), the user interface </w:t>
      </w:r>
      <w:r w:rsidDel="00000000" w:rsidR="00000000" w:rsidRPr="00000000">
        <w:rPr>
          <w:rFonts w:ascii="EB Garamond" w:cs="EB Garamond" w:eastAsia="EB Garamond" w:hAnsi="EB Garamond"/>
          <w:b w:val="1"/>
          <w:bCs w:val="1"/>
          <w:sz w:val="24"/>
          <w:szCs w:val="24"/>
          <w:rtl w:val="0"/>
        </w:rPr>
        <w:t xml:space="preserve">will automatically trigger</w:t>
      </w:r>
      <w:r w:rsidDel="00000000" w:rsidR="00000000" w:rsidRPr="00000000">
        <w:rPr>
          <w:rFonts w:ascii="EB Garamond" w:cs="EB Garamond" w:eastAsia="EB Garamond" w:hAnsi="EB Garamond"/>
          <w:sz w:val="24"/>
          <w:szCs w:val="24"/>
          <w:rtl w:val="0"/>
        </w:rPr>
        <w:t xml:space="preserve"> standardized referral guidance [REF]. This proactive layer </w:t>
      </w:r>
      <w:r w:rsidDel="00000000" w:rsidR="00000000" w:rsidRPr="00000000">
        <w:rPr>
          <w:rFonts w:ascii="EB Garamond" w:cs="EB Garamond" w:eastAsia="EB Garamond" w:hAnsi="EB Garamond"/>
          <w:b w:val="1"/>
          <w:bCs w:val="1"/>
          <w:sz w:val="24"/>
          <w:szCs w:val="24"/>
          <w:rtl w:val="0"/>
        </w:rPr>
        <w:t xml:space="preserve">will provide</w:t>
      </w:r>
      <w:r w:rsidDel="00000000" w:rsidR="00000000" w:rsidRPr="00000000">
        <w:rPr>
          <w:rFonts w:ascii="EB Garamond" w:cs="EB Garamond" w:eastAsia="EB Garamond" w:hAnsi="EB Garamond"/>
          <w:sz w:val="24"/>
          <w:szCs w:val="24"/>
          <w:rtl w:val="0"/>
        </w:rPr>
        <w:t xml:space="preserve"> contact details for university counseling services and specialized crisis hotlines [REF]. Such mechanisms address deficiencies identified in prior conversational agents that frequently fail to provide practical support during high-risk scenarios [REF]. Adherence to existing guidelines for artificial intelligence application </w:t>
      </w:r>
      <w:r w:rsidDel="00000000" w:rsidR="00000000" w:rsidRPr="00000000">
        <w:rPr>
          <w:rFonts w:ascii="EB Garamond" w:cs="EB Garamond" w:eastAsia="EB Garamond" w:hAnsi="EB Garamond"/>
          <w:b w:val="1"/>
          <w:bCs w:val="1"/>
          <w:sz w:val="24"/>
          <w:szCs w:val="24"/>
          <w:rtl w:val="0"/>
        </w:rPr>
        <w:t xml:space="preserve">will prevent</w:t>
      </w:r>
      <w:r w:rsidDel="00000000" w:rsidR="00000000" w:rsidRPr="00000000">
        <w:rPr>
          <w:rFonts w:ascii="EB Garamond" w:cs="EB Garamond" w:eastAsia="EB Garamond" w:hAnsi="EB Garamond"/>
          <w:sz w:val="24"/>
          <w:szCs w:val="24"/>
          <w:rtl w:val="0"/>
        </w:rPr>
        <w:t xml:space="preserve"> clinical abuse by mandating professional oversight for all risk indicators [REF]. This protocol ensures that algorithmic modeling functions as a responsible evidentiary aid within academic support environments [REF].</w:t>
      </w:r>
    </w:p>
    <w:p w:rsidR="00000000" w:rsidDel="00000000" w:rsidP="00000000" w:rsidRDefault="00000000" w:rsidRPr="00000000" w14:paraId="000000A1">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A2">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A3">
      <w:pPr>
        <w:spacing w:after="240" w:before="240" w:lineRule="auto"/>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3.10 Threats to Validity and Mitigation</w:t>
      </w:r>
    </w:p>
    <w:p w:rsidR="00000000" w:rsidDel="00000000" w:rsidP="00000000" w:rsidRDefault="00000000" w:rsidRPr="00000000" w14:paraId="000000A4">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Internal validity is threatened by </w:t>
      </w:r>
      <w:r w:rsidDel="00000000" w:rsidR="00000000" w:rsidRPr="00000000">
        <w:rPr>
          <w:rFonts w:ascii="EB Garamond" w:cs="EB Garamond" w:eastAsia="EB Garamond" w:hAnsi="EB Garamond"/>
          <w:b w:val="1"/>
          <w:bCs w:val="1"/>
          <w:sz w:val="24"/>
          <w:szCs w:val="24"/>
          <w:rtl w:val="0"/>
        </w:rPr>
        <w:t xml:space="preserve">self-report bias</w:t>
      </w:r>
      <w:r w:rsidDel="00000000" w:rsidR="00000000" w:rsidRPr="00000000">
        <w:rPr>
          <w:rFonts w:ascii="EB Garamond" w:cs="EB Garamond" w:eastAsia="EB Garamond" w:hAnsi="EB Garamond"/>
          <w:sz w:val="24"/>
          <w:szCs w:val="24"/>
          <w:rtl w:val="0"/>
        </w:rPr>
        <w:t xml:space="preserve"> inherent in subjective instruments like the PHQ-9 and GAD-7 [REF]. To mitigate this, the protocol </w:t>
      </w:r>
      <w:r w:rsidDel="00000000" w:rsidR="00000000" w:rsidRPr="00000000">
        <w:rPr>
          <w:rFonts w:ascii="EB Garamond" w:cs="EB Garamond" w:eastAsia="EB Garamond" w:hAnsi="EB Garamond"/>
          <w:b w:val="1"/>
          <w:bCs w:val="1"/>
          <w:sz w:val="24"/>
          <w:szCs w:val="24"/>
          <w:rtl w:val="0"/>
        </w:rPr>
        <w:t xml:space="preserve">will integrate</w:t>
      </w:r>
      <w:r w:rsidDel="00000000" w:rsidR="00000000" w:rsidRPr="00000000">
        <w:rPr>
          <w:rFonts w:ascii="EB Garamond" w:cs="EB Garamond" w:eastAsia="EB Garamond" w:hAnsi="EB Garamond"/>
          <w:sz w:val="24"/>
          <w:szCs w:val="24"/>
          <w:rtl w:val="0"/>
        </w:rPr>
        <w:t xml:space="preserve"> embedded attention checks and objective digital behavioral signals to triangulate psychometric responses [REF]. Construct validity concerns involve the potential misalignment between operational metrics and psychological states [REF]. The design </w:t>
      </w:r>
      <w:r w:rsidDel="00000000" w:rsidR="00000000" w:rsidRPr="00000000">
        <w:rPr>
          <w:rFonts w:ascii="EB Garamond" w:cs="EB Garamond" w:eastAsia="EB Garamond" w:hAnsi="EB Garamond"/>
          <w:b w:val="1"/>
          <w:bCs w:val="1"/>
          <w:sz w:val="24"/>
          <w:szCs w:val="24"/>
          <w:rtl w:val="0"/>
        </w:rPr>
        <w:t xml:space="preserve">will address</w:t>
      </w:r>
      <w:r w:rsidDel="00000000" w:rsidR="00000000" w:rsidRPr="00000000">
        <w:rPr>
          <w:rFonts w:ascii="EB Garamond" w:cs="EB Garamond" w:eastAsia="EB Garamond" w:hAnsi="EB Garamond"/>
          <w:sz w:val="24"/>
          <w:szCs w:val="24"/>
          <w:rtl w:val="0"/>
        </w:rPr>
        <w:t xml:space="preserve"> this by utilizing a fused feature vector </w:t>
      </w:r>
      <w:hyperlink r:id="rId72">
        <w:r w:rsidDel="00000000" w:rsidR="00000000" w:rsidRPr="00000000">
          <w:rPr>
            <w:rFonts w:ascii="EB Garamond" w:cs="EB Garamond" w:eastAsia="EB Garamond" w:hAnsi="EB Garamond"/>
            <w:sz w:val="24"/>
            <w:szCs w:val="24"/>
          </w:rPr>
          <w:drawing>
            <wp:inline distB="19050" distT="19050" distL="19050" distR="19050">
              <wp:extent cx="482600" cy="152400"/>
              <wp:effectExtent b="0" l="0" r="0" t="0"/>
              <wp:docPr id="39" name="image23.png"/>
              <a:graphic>
                <a:graphicData uri="http://schemas.openxmlformats.org/drawingml/2006/picture">
                  <pic:pic>
                    <pic:nvPicPr>
                      <pic:cNvPr id="0" name="image23.png"/>
                      <pic:cNvPicPr preferRelativeResize="0"/>
                    </pic:nvPicPr>
                    <pic:blipFill>
                      <a:blip r:embed="rId7"/>
                      <a:srcRect b="0" l="0" r="0" t="0"/>
                      <a:stretch>
                        <a:fillRect/>
                      </a:stretch>
                    </pic:blipFill>
                    <pic:spPr>
                      <a:xfrm>
                        <a:off x="0" y="0"/>
                        <a:ext cx="482600" cy="152400"/>
                      </a:xfrm>
                      <a:prstGeom prst="rect"/>
                      <a:ln/>
                    </pic:spPr>
                  </pic:pic>
                </a:graphicData>
              </a:graphic>
            </wp:inline>
          </w:drawing>
        </w:r>
      </w:hyperlink>
      <w:r w:rsidDel="00000000" w:rsidR="00000000" w:rsidRPr="00000000">
        <w:rPr>
          <w:rFonts w:ascii="EB Garamond" w:cs="EB Garamond" w:eastAsia="EB Garamond" w:hAnsi="EB Garamond"/>
          <w:sz w:val="24"/>
          <w:szCs w:val="24"/>
          <w:rtl w:val="0"/>
        </w:rPr>
        <w:t xml:space="preserve"> that combines social support constructs with job-seeking intensity [REF].</w:t>
      </w:r>
    </w:p>
    <w:p w:rsidR="00000000" w:rsidDel="00000000" w:rsidP="00000000" w:rsidRDefault="00000000" w:rsidRPr="00000000" w14:paraId="000000A5">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External validity remains a risk due to </w:t>
      </w:r>
      <w:r w:rsidDel="00000000" w:rsidR="00000000" w:rsidRPr="00000000">
        <w:rPr>
          <w:rFonts w:ascii="EB Garamond" w:cs="EB Garamond" w:eastAsia="EB Garamond" w:hAnsi="EB Garamond"/>
          <w:b w:val="1"/>
          <w:bCs w:val="1"/>
          <w:sz w:val="24"/>
          <w:szCs w:val="24"/>
          <w:rtl w:val="0"/>
        </w:rPr>
        <w:t xml:space="preserve">sampling bias</w:t>
      </w:r>
      <w:r w:rsidDel="00000000" w:rsidR="00000000" w:rsidRPr="00000000">
        <w:rPr>
          <w:rFonts w:ascii="EB Garamond" w:cs="EB Garamond" w:eastAsia="EB Garamond" w:hAnsi="EB Garamond"/>
          <w:sz w:val="24"/>
          <w:szCs w:val="24"/>
          <w:rtl w:val="0"/>
        </w:rPr>
        <w:t xml:space="preserve"> from convenience recruitment at career centers [REF]. The study </w:t>
      </w:r>
      <w:r w:rsidDel="00000000" w:rsidR="00000000" w:rsidRPr="00000000">
        <w:rPr>
          <w:rFonts w:ascii="EB Garamond" w:cs="EB Garamond" w:eastAsia="EB Garamond" w:hAnsi="EB Garamond"/>
          <w:b w:val="1"/>
          <w:bCs w:val="1"/>
          <w:sz w:val="24"/>
          <w:szCs w:val="24"/>
          <w:rtl w:val="0"/>
        </w:rPr>
        <w:t xml:space="preserve">will execute</w:t>
      </w:r>
      <w:r w:rsidDel="00000000" w:rsidR="00000000" w:rsidRPr="00000000">
        <w:rPr>
          <w:rFonts w:ascii="EB Garamond" w:cs="EB Garamond" w:eastAsia="EB Garamond" w:hAnsi="EB Garamond"/>
          <w:sz w:val="24"/>
          <w:szCs w:val="24"/>
          <w:rtl w:val="0"/>
        </w:rPr>
        <w:t xml:space="preserve"> a stratification plan based on degree type and gender to ensure the cohort reflects the broader university demographic [REF]. Conclusion validity is threatened by </w:t>
      </w:r>
      <w:r w:rsidDel="00000000" w:rsidR="00000000" w:rsidRPr="00000000">
        <w:rPr>
          <w:rFonts w:ascii="EB Garamond" w:cs="EB Garamond" w:eastAsia="EB Garamond" w:hAnsi="EB Garamond"/>
          <w:b w:val="1"/>
          <w:bCs w:val="1"/>
          <w:sz w:val="24"/>
          <w:szCs w:val="24"/>
          <w:rtl w:val="0"/>
        </w:rPr>
        <w:t xml:space="preserve">overfitting</w:t>
      </w:r>
      <w:r w:rsidDel="00000000" w:rsidR="00000000" w:rsidRPr="00000000">
        <w:rPr>
          <w:rFonts w:ascii="EB Garamond" w:cs="EB Garamond" w:eastAsia="EB Garamond" w:hAnsi="EB Garamond"/>
          <w:sz w:val="24"/>
          <w:szCs w:val="24"/>
          <w:rtl w:val="0"/>
        </w:rPr>
        <w:t xml:space="preserve"> and </w:t>
      </w:r>
      <w:r w:rsidDel="00000000" w:rsidR="00000000" w:rsidRPr="00000000">
        <w:rPr>
          <w:rFonts w:ascii="EB Garamond" w:cs="EB Garamond" w:eastAsia="EB Garamond" w:hAnsi="EB Garamond"/>
          <w:b w:val="1"/>
          <w:bCs w:val="1"/>
          <w:sz w:val="24"/>
          <w:szCs w:val="24"/>
          <w:rtl w:val="0"/>
        </w:rPr>
        <w:t xml:space="preserve">feature leakage</w:t>
      </w:r>
      <w:r w:rsidDel="00000000" w:rsidR="00000000" w:rsidRPr="00000000">
        <w:rPr>
          <w:rFonts w:ascii="EB Garamond" w:cs="EB Garamond" w:eastAsia="EB Garamond" w:hAnsi="EB Garamond"/>
          <w:sz w:val="24"/>
          <w:szCs w:val="24"/>
          <w:rtl w:val="0"/>
        </w:rPr>
        <w:t xml:space="preserve">, which distort performance estimates [REF]. To ensure reproducibility, the system </w:t>
      </w:r>
      <w:r w:rsidDel="00000000" w:rsidR="00000000" w:rsidRPr="00000000">
        <w:rPr>
          <w:rFonts w:ascii="EB Garamond" w:cs="EB Garamond" w:eastAsia="EB Garamond" w:hAnsi="EB Garamond"/>
          <w:b w:val="1"/>
          <w:bCs w:val="1"/>
          <w:sz w:val="24"/>
          <w:szCs w:val="24"/>
          <w:rtl w:val="0"/>
        </w:rPr>
        <w:t xml:space="preserve">will implement</w:t>
      </w:r>
      <w:r w:rsidDel="00000000" w:rsidR="00000000" w:rsidRPr="00000000">
        <w:rPr>
          <w:rFonts w:ascii="EB Garamond" w:cs="EB Garamond" w:eastAsia="EB Garamond" w:hAnsi="EB Garamond"/>
          <w:sz w:val="24"/>
          <w:szCs w:val="24"/>
          <w:rtl w:val="0"/>
        </w:rPr>
        <w:t xml:space="preserve"> a strict temporal data split before any scaling or imputation occurs, preventing train-test leakage [REF]. Algorithmic stability </w:t>
      </w:r>
      <w:r w:rsidDel="00000000" w:rsidR="00000000" w:rsidRPr="00000000">
        <w:rPr>
          <w:rFonts w:ascii="EB Garamond" w:cs="EB Garamond" w:eastAsia="EB Garamond" w:hAnsi="EB Garamond"/>
          <w:b w:val="1"/>
          <w:bCs w:val="1"/>
          <w:sz w:val="24"/>
          <w:szCs w:val="24"/>
          <w:rtl w:val="0"/>
        </w:rPr>
        <w:t xml:space="preserve">will be verified</w:t>
      </w:r>
      <w:r w:rsidDel="00000000" w:rsidR="00000000" w:rsidRPr="00000000">
        <w:rPr>
          <w:rFonts w:ascii="EB Garamond" w:cs="EB Garamond" w:eastAsia="EB Garamond" w:hAnsi="EB Garamond"/>
          <w:sz w:val="24"/>
          <w:szCs w:val="24"/>
          <w:rtl w:val="0"/>
        </w:rPr>
        <w:t xml:space="preserve"> through stratified </w:t>
      </w:r>
      <w:hyperlink r:id="rId73">
        <w:r w:rsidDel="00000000" w:rsidR="00000000" w:rsidRPr="00000000">
          <w:rPr>
            <w:rFonts w:ascii="EB Garamond" w:cs="EB Garamond" w:eastAsia="EB Garamond" w:hAnsi="EB Garamond"/>
            <w:sz w:val="24"/>
            <w:szCs w:val="24"/>
          </w:rPr>
          <w:drawing>
            <wp:inline distB="19050" distT="19050" distL="19050" distR="19050">
              <wp:extent cx="76200" cy="114300"/>
              <wp:effectExtent b="0" l="0" r="0" t="0"/>
              <wp:docPr id="9" name="image11.png"/>
              <a:graphic>
                <a:graphicData uri="http://schemas.openxmlformats.org/drawingml/2006/picture">
                  <pic:pic>
                    <pic:nvPicPr>
                      <pic:cNvPr id="0" name="image11.png"/>
                      <pic:cNvPicPr preferRelativeResize="0"/>
                    </pic:nvPicPr>
                    <pic:blipFill>
                      <a:blip r:embed="rId61"/>
                      <a:srcRect b="0" l="0" r="0" t="0"/>
                      <a:stretch>
                        <a:fillRect/>
                      </a:stretch>
                    </pic:blipFill>
                    <pic:spPr>
                      <a:xfrm>
                        <a:off x="0" y="0"/>
                        <a:ext cx="76200" cy="114300"/>
                      </a:xfrm>
                      <a:prstGeom prst="rect"/>
                      <a:ln/>
                    </pic:spPr>
                  </pic:pic>
                </a:graphicData>
              </a:graphic>
            </wp:inline>
          </w:drawing>
        </w:r>
      </w:hyperlink>
      <w:r w:rsidDel="00000000" w:rsidR="00000000" w:rsidRPr="00000000">
        <w:rPr>
          <w:rFonts w:ascii="EB Garamond" w:cs="EB Garamond" w:eastAsia="EB Garamond" w:hAnsi="EB Garamond"/>
          <w:sz w:val="24"/>
          <w:szCs w:val="24"/>
          <w:rtl w:val="0"/>
        </w:rPr>
        <w:t xml:space="preserve">-fold cross-validation [REF].</w:t>
      </w:r>
    </w:p>
    <w:p w:rsidR="00000000" w:rsidDel="00000000" w:rsidP="00000000" w:rsidRDefault="00000000" w:rsidRPr="00000000" w14:paraId="000000A6">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Finally, </w:t>
      </w:r>
      <w:r w:rsidDel="00000000" w:rsidR="00000000" w:rsidRPr="00000000">
        <w:rPr>
          <w:rFonts w:ascii="EB Garamond" w:cs="EB Garamond" w:eastAsia="EB Garamond" w:hAnsi="EB Garamond"/>
          <w:b w:val="1"/>
          <w:bCs w:val="1"/>
          <w:sz w:val="24"/>
          <w:szCs w:val="24"/>
          <w:rtl w:val="0"/>
        </w:rPr>
        <w:t xml:space="preserve">class imbalance</w:t>
      </w:r>
      <w:r w:rsidDel="00000000" w:rsidR="00000000" w:rsidRPr="00000000">
        <w:rPr>
          <w:rFonts w:ascii="EB Garamond" w:cs="EB Garamond" w:eastAsia="EB Garamond" w:hAnsi="EB Garamond"/>
          <w:sz w:val="24"/>
          <w:szCs w:val="24"/>
          <w:rtl w:val="0"/>
        </w:rPr>
        <w:t xml:space="preserve"> poses a technical barrier, as students in the </w:t>
      </w:r>
      <w:hyperlink r:id="rId74">
        <w:r w:rsidDel="00000000" w:rsidR="00000000" w:rsidRPr="00000000">
          <w:rPr>
            <w:rFonts w:ascii="EB Garamond" w:cs="EB Garamond" w:eastAsia="EB Garamond" w:hAnsi="EB Garamond"/>
            <w:sz w:val="24"/>
            <w:szCs w:val="24"/>
          </w:rPr>
          <w:drawing>
            <wp:inline distB="19050" distT="19050" distL="19050" distR="19050">
              <wp:extent cx="381000" cy="139700"/>
              <wp:effectExtent b="0" l="0" r="0" t="0"/>
              <wp:docPr id="3" name="image32.png"/>
              <a:graphic>
                <a:graphicData uri="http://schemas.openxmlformats.org/drawingml/2006/picture">
                  <pic:pic>
                    <pic:nvPicPr>
                      <pic:cNvPr id="0" name="image32.png"/>
                      <pic:cNvPicPr preferRelativeResize="0"/>
                    </pic:nvPicPr>
                    <pic:blipFill>
                      <a:blip r:embed="rId57"/>
                      <a:srcRect b="0" l="0" r="0" t="0"/>
                      <a:stretch>
                        <a:fillRect/>
                      </a:stretch>
                    </pic:blipFill>
                    <pic:spPr>
                      <a:xfrm>
                        <a:off x="0" y="0"/>
                        <a:ext cx="381000" cy="139700"/>
                      </a:xfrm>
                      <a:prstGeom prst="rect"/>
                      <a:ln/>
                    </pic:spPr>
                  </pic:pic>
                </a:graphicData>
              </a:graphic>
            </wp:inline>
          </w:drawing>
        </w:r>
      </w:hyperlink>
      <w:r w:rsidDel="00000000" w:rsidR="00000000" w:rsidRPr="00000000">
        <w:rPr>
          <w:rFonts w:ascii="EB Garamond" w:cs="EB Garamond" w:eastAsia="EB Garamond" w:hAnsi="EB Garamond"/>
          <w:sz w:val="24"/>
          <w:szCs w:val="24"/>
          <w:rtl w:val="0"/>
        </w:rPr>
        <w:t xml:space="preserve"> risk category typically form a minority group [REF]. The pipeline </w:t>
      </w:r>
      <w:r w:rsidDel="00000000" w:rsidR="00000000" w:rsidRPr="00000000">
        <w:rPr>
          <w:rFonts w:ascii="EB Garamond" w:cs="EB Garamond" w:eastAsia="EB Garamond" w:hAnsi="EB Garamond"/>
          <w:b w:val="1"/>
          <w:bCs w:val="1"/>
          <w:sz w:val="24"/>
          <w:szCs w:val="24"/>
          <w:rtl w:val="0"/>
        </w:rPr>
        <w:t xml:space="preserve">will evaluate</w:t>
      </w:r>
      <w:r w:rsidDel="00000000" w:rsidR="00000000" w:rsidRPr="00000000">
        <w:rPr>
          <w:rFonts w:ascii="EB Garamond" w:cs="EB Garamond" w:eastAsia="EB Garamond" w:hAnsi="EB Garamond"/>
          <w:sz w:val="24"/>
          <w:szCs w:val="24"/>
          <w:rtl w:val="0"/>
        </w:rPr>
        <w:t xml:space="preserve"> the use of Synthetic Minority Over-sampling Technique (SMOTE) or inverse-frequency loss weighting to prevent majority-class dominance [REF]. These systematic actions </w:t>
      </w:r>
      <w:r w:rsidDel="00000000" w:rsidR="00000000" w:rsidRPr="00000000">
        <w:rPr>
          <w:rFonts w:ascii="EB Garamond" w:cs="EB Garamond" w:eastAsia="EB Garamond" w:hAnsi="EB Garamond"/>
          <w:b w:val="1"/>
          <w:bCs w:val="1"/>
          <w:sz w:val="24"/>
          <w:szCs w:val="24"/>
          <w:rtl w:val="0"/>
        </w:rPr>
        <w:t xml:space="preserve">will ensure</w:t>
      </w:r>
      <w:r w:rsidDel="00000000" w:rsidR="00000000" w:rsidRPr="00000000">
        <w:rPr>
          <w:rFonts w:ascii="EB Garamond" w:cs="EB Garamond" w:eastAsia="EB Garamond" w:hAnsi="EB Garamond"/>
          <w:sz w:val="24"/>
          <w:szCs w:val="24"/>
          <w:rtl w:val="0"/>
        </w:rPr>
        <w:t xml:space="preserve"> the detection framework produces stable early indication signals across diverse student populations [REF]. Adherence to TRIPOD reporting standards </w:t>
      </w:r>
      <w:r w:rsidDel="00000000" w:rsidR="00000000" w:rsidRPr="00000000">
        <w:rPr>
          <w:rFonts w:ascii="EB Garamond" w:cs="EB Garamond" w:eastAsia="EB Garamond" w:hAnsi="EB Garamond"/>
          <w:b w:val="1"/>
          <w:bCs w:val="1"/>
          <w:sz w:val="24"/>
          <w:szCs w:val="24"/>
          <w:rtl w:val="0"/>
        </w:rPr>
        <w:t xml:space="preserve">will provide</w:t>
      </w:r>
      <w:r w:rsidDel="00000000" w:rsidR="00000000" w:rsidRPr="00000000">
        <w:rPr>
          <w:rFonts w:ascii="EB Garamond" w:cs="EB Garamond" w:eastAsia="EB Garamond" w:hAnsi="EB Garamond"/>
          <w:sz w:val="24"/>
          <w:szCs w:val="24"/>
          <w:rtl w:val="0"/>
        </w:rPr>
        <w:t xml:space="preserve"> the transparency necessary to identify residual signal deficiencies during error analysis [REF].</w:t>
      </w:r>
    </w:p>
    <w:p w:rsidR="00000000" w:rsidDel="00000000" w:rsidP="00000000" w:rsidRDefault="00000000" w:rsidRPr="00000000" w14:paraId="000000A7">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A8">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A9">
      <w:pPr>
        <w:spacing w:after="240" w:before="240" w:lineRule="auto"/>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3.11 Chapter Summary</w:t>
      </w:r>
    </w:p>
    <w:p w:rsidR="00000000" w:rsidDel="00000000" w:rsidP="00000000" w:rsidRDefault="00000000" w:rsidRPr="00000000" w14:paraId="000000AA">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Chapter three defined the modular engineering protocol for a student-focused </w:t>
      </w:r>
      <w:r w:rsidDel="00000000" w:rsidR="00000000" w:rsidRPr="00000000">
        <w:rPr>
          <w:rFonts w:ascii="EB Garamond" w:cs="EB Garamond" w:eastAsia="EB Garamond" w:hAnsi="EB Garamond"/>
          <w:b w:val="1"/>
          <w:bCs w:val="1"/>
          <w:sz w:val="24"/>
          <w:szCs w:val="24"/>
          <w:rtl w:val="0"/>
        </w:rPr>
        <w:t xml:space="preserve">early indication system</w:t>
      </w:r>
      <w:r w:rsidDel="00000000" w:rsidR="00000000" w:rsidRPr="00000000">
        <w:rPr>
          <w:rFonts w:ascii="EB Garamond" w:cs="EB Garamond" w:eastAsia="EB Garamond" w:hAnsi="EB Garamond"/>
          <w:sz w:val="24"/>
          <w:szCs w:val="24"/>
          <w:rtl w:val="0"/>
        </w:rPr>
        <w:t xml:space="preserve"> [REF]. The design integrates psychometric scores with behavioral attributes to construct a </w:t>
      </w:r>
      <w:r w:rsidDel="00000000" w:rsidR="00000000" w:rsidRPr="00000000">
        <w:rPr>
          <w:rFonts w:ascii="EB Garamond" w:cs="EB Garamond" w:eastAsia="EB Garamond" w:hAnsi="EB Garamond"/>
          <w:b w:val="1"/>
          <w:bCs w:val="1"/>
          <w:sz w:val="24"/>
          <w:szCs w:val="24"/>
          <w:rtl w:val="0"/>
        </w:rPr>
        <w:t xml:space="preserve">unified feature vector</w:t>
      </w:r>
      <w:r w:rsidDel="00000000" w:rsidR="00000000" w:rsidRPr="00000000">
        <w:rPr>
          <w:rFonts w:ascii="EB Garamond" w:cs="EB Garamond" w:eastAsia="EB Garamond" w:hAnsi="EB Garamond"/>
          <w:sz w:val="24"/>
          <w:szCs w:val="24"/>
          <w:rtl w:val="0"/>
        </w:rPr>
        <w:t xml:space="preserve"> </w:t>
      </w:r>
      <w:hyperlink r:id="rId75">
        <w:r w:rsidDel="00000000" w:rsidR="00000000" w:rsidRPr="00000000">
          <w:rPr>
            <w:rFonts w:ascii="EB Garamond" w:cs="EB Garamond" w:eastAsia="EB Garamond" w:hAnsi="EB Garamond"/>
            <w:sz w:val="24"/>
            <w:szCs w:val="24"/>
          </w:rPr>
          <w:drawing>
            <wp:inline distB="19050" distT="19050" distL="19050" distR="19050">
              <wp:extent cx="482600" cy="152400"/>
              <wp:effectExtent b="0" l="0" r="0" t="0"/>
              <wp:docPr id="40" name="image25.png"/>
              <a:graphic>
                <a:graphicData uri="http://schemas.openxmlformats.org/drawingml/2006/picture">
                  <pic:pic>
                    <pic:nvPicPr>
                      <pic:cNvPr id="0" name="image25.png"/>
                      <pic:cNvPicPr preferRelativeResize="0"/>
                    </pic:nvPicPr>
                    <pic:blipFill>
                      <a:blip r:embed="rId7"/>
                      <a:srcRect b="0" l="0" r="0" t="0"/>
                      <a:stretch>
                        <a:fillRect/>
                      </a:stretch>
                    </pic:blipFill>
                    <pic:spPr>
                      <a:xfrm>
                        <a:off x="0" y="0"/>
                        <a:ext cx="482600" cy="152400"/>
                      </a:xfrm>
                      <a:prstGeom prst="rect"/>
                      <a:ln/>
                    </pic:spPr>
                  </pic:pic>
                </a:graphicData>
              </a:graphic>
            </wp:inline>
          </w:drawing>
        </w:r>
      </w:hyperlink>
      <w:r w:rsidDel="00000000" w:rsidR="00000000" w:rsidRPr="00000000">
        <w:rPr>
          <w:rFonts w:ascii="EB Garamond" w:cs="EB Garamond" w:eastAsia="EB Garamond" w:hAnsi="EB Garamond"/>
          <w:sz w:val="24"/>
          <w:szCs w:val="24"/>
          <w:rtl w:val="0"/>
        </w:rPr>
        <w:t xml:space="preserve"> [REF]. </w:t>
      </w:r>
      <w:r w:rsidDel="00000000" w:rsidR="00000000" w:rsidRPr="00000000">
        <w:rPr>
          <w:rFonts w:ascii="EB Garamond" w:cs="EB Garamond" w:eastAsia="EB Garamond" w:hAnsi="EB Garamond"/>
          <w:b w:val="1"/>
          <w:bCs w:val="1"/>
          <w:sz w:val="24"/>
          <w:szCs w:val="24"/>
          <w:rtl w:val="0"/>
        </w:rPr>
        <w:t xml:space="preserve">Reproducibility remains the priority</w:t>
      </w:r>
      <w:r w:rsidDel="00000000" w:rsidR="00000000" w:rsidRPr="00000000">
        <w:rPr>
          <w:rFonts w:ascii="EB Garamond" w:cs="EB Garamond" w:eastAsia="EB Garamond" w:hAnsi="EB Garamond"/>
          <w:sz w:val="24"/>
          <w:szCs w:val="24"/>
          <w:rtl w:val="0"/>
        </w:rPr>
        <w:t xml:space="preserve"> [REF]. Adherence to </w:t>
      </w:r>
      <w:r w:rsidDel="00000000" w:rsidR="00000000" w:rsidRPr="00000000">
        <w:rPr>
          <w:rFonts w:ascii="EB Garamond" w:cs="EB Garamond" w:eastAsia="EB Garamond" w:hAnsi="EB Garamond"/>
          <w:b w:val="1"/>
          <w:bCs w:val="1"/>
          <w:sz w:val="24"/>
          <w:szCs w:val="24"/>
          <w:rtl w:val="0"/>
        </w:rPr>
        <w:t xml:space="preserve">TRIPOD reporting standards</w:t>
      </w:r>
      <w:r w:rsidDel="00000000" w:rsidR="00000000" w:rsidRPr="00000000">
        <w:rPr>
          <w:rFonts w:ascii="EB Garamond" w:cs="EB Garamond" w:eastAsia="EB Garamond" w:hAnsi="EB Garamond"/>
          <w:sz w:val="24"/>
          <w:szCs w:val="24"/>
          <w:rtl w:val="0"/>
        </w:rPr>
        <w:t xml:space="preserve"> and </w:t>
      </w:r>
      <w:r w:rsidDel="00000000" w:rsidR="00000000" w:rsidRPr="00000000">
        <w:rPr>
          <w:rFonts w:ascii="EB Garamond" w:cs="EB Garamond" w:eastAsia="EB Garamond" w:hAnsi="EB Garamond"/>
          <w:b w:val="1"/>
          <w:bCs w:val="1"/>
          <w:sz w:val="24"/>
          <w:szCs w:val="24"/>
          <w:rtl w:val="0"/>
        </w:rPr>
        <w:t xml:space="preserve">PROBAST bias assessment</w:t>
      </w:r>
      <w:r w:rsidDel="00000000" w:rsidR="00000000" w:rsidRPr="00000000">
        <w:rPr>
          <w:rFonts w:ascii="EB Garamond" w:cs="EB Garamond" w:eastAsia="EB Garamond" w:hAnsi="EB Garamond"/>
          <w:sz w:val="24"/>
          <w:szCs w:val="24"/>
          <w:rtl w:val="0"/>
        </w:rPr>
        <w:t xml:space="preserve"> facilitates transparent evidence generation [REF]. Supervised learning baselines will map fused signals to joint risk categories for depression and anxiety [REF]. Applying SHAP-based explainability mechanisms transforms numeric outputs into interpretable justifications suitable for </w:t>
      </w:r>
      <w:r w:rsidDel="00000000" w:rsidR="00000000" w:rsidRPr="00000000">
        <w:rPr>
          <w:rFonts w:ascii="EB Garamond" w:cs="EB Garamond" w:eastAsia="EB Garamond" w:hAnsi="EB Garamond"/>
          <w:b w:val="1"/>
          <w:bCs w:val="1"/>
          <w:sz w:val="24"/>
          <w:szCs w:val="24"/>
          <w:rtl w:val="0"/>
        </w:rPr>
        <w:t xml:space="preserve">non-clinical support decisions</w:t>
      </w:r>
      <w:r w:rsidDel="00000000" w:rsidR="00000000" w:rsidRPr="00000000">
        <w:rPr>
          <w:rFonts w:ascii="EB Garamond" w:cs="EB Garamond" w:eastAsia="EB Garamond" w:hAnsi="EB Garamond"/>
          <w:sz w:val="24"/>
          <w:szCs w:val="24"/>
          <w:rtl w:val="0"/>
        </w:rPr>
        <w:t xml:space="preserve"> [REF]. These evaluation protocols ensure that the predictive framework yields stable performance across stratified data partitions [REF]. The subsequent chapter will present implementation details, experimental execution, and performance results after data collection is completed.</w:t>
      </w:r>
    </w:p>
    <w:p w:rsidR="00000000" w:rsidDel="00000000" w:rsidP="00000000" w:rsidRDefault="00000000" w:rsidRPr="00000000" w14:paraId="000000AB">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AC">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AD">
      <w:pPr>
        <w:spacing w:after="240" w:befor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AE">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AF">
      <w:pPr>
        <w:rPr>
          <w:rFonts w:ascii="EB Garamond" w:cs="EB Garamond" w:eastAsia="EB Garamond" w:hAnsi="EB Garamond"/>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codecogs.com/eqnedit.php?latex=x%20%5Cin%20%5Cmathbb%7BR%7D%5Ed#0" TargetMode="External"/><Relationship Id="rId42" Type="http://schemas.openxmlformats.org/officeDocument/2006/relationships/image" Target="media/image39.png"/><Relationship Id="rId41" Type="http://schemas.openxmlformats.org/officeDocument/2006/relationships/hyperlink" Target="https://www.codecogs.com/eqnedit.php?latex=n#0" TargetMode="External"/><Relationship Id="rId44" Type="http://schemas.openxmlformats.org/officeDocument/2006/relationships/hyperlink" Target="https://www.codecogs.com/eqnedit.php?latex=x%20%5Cin%20%5Cmathbb%7BR%7D%5Ed#0" TargetMode="External"/><Relationship Id="rId43" Type="http://schemas.openxmlformats.org/officeDocument/2006/relationships/hyperlink" Target="https://www.codecogs.com/eqnedit.php?latex=SML#0" TargetMode="External"/><Relationship Id="rId46" Type="http://schemas.openxmlformats.org/officeDocument/2006/relationships/hyperlink" Target="https://www.codecogs.com/eqnedit.php?latex=x#0" TargetMode="External"/><Relationship Id="rId45" Type="http://schemas.openxmlformats.org/officeDocument/2006/relationships/hyperlink" Target="https://www.codecogs.com/eqnedit.php?latex=y#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48" Type="http://schemas.openxmlformats.org/officeDocument/2006/relationships/hyperlink" Target="https://www.codecogs.com/eqnedit.php?latex=y%20%5Cin%20%7B0%2C%201%7D#0" TargetMode="External"/><Relationship Id="rId47" Type="http://schemas.openxmlformats.org/officeDocument/2006/relationships/image" Target="media/image6.png"/><Relationship Id="rId49" Type="http://schemas.openxmlformats.org/officeDocument/2006/relationships/image" Target="media/image5.png"/><Relationship Id="rId5" Type="http://schemas.openxmlformats.org/officeDocument/2006/relationships/styles" Target="styles.xml"/><Relationship Id="rId6" Type="http://schemas.openxmlformats.org/officeDocument/2006/relationships/hyperlink" Target="https://www.codecogs.com/eqnedit.php?latex=x%20%5Cin%20%5Cmathbb%7BR%7D%5Ed#0" TargetMode="External"/><Relationship Id="rId7" Type="http://schemas.openxmlformats.org/officeDocument/2006/relationships/image" Target="media/image20.png"/><Relationship Id="rId8" Type="http://schemas.openxmlformats.org/officeDocument/2006/relationships/hyperlink" Target="https://www.codecogs.com/eqnedit.php?latex=T%20%3D%200#0" TargetMode="External"/><Relationship Id="rId73" Type="http://schemas.openxmlformats.org/officeDocument/2006/relationships/hyperlink" Target="https://www.codecogs.com/eqnedit.php?latex=k#0" TargetMode="External"/><Relationship Id="rId72" Type="http://schemas.openxmlformats.org/officeDocument/2006/relationships/hyperlink" Target="https://www.codecogs.com/eqnedit.php?latex=x%20%5Cin%20%5Cmathbb%7BR%7D%5Ed#0" TargetMode="External"/><Relationship Id="rId31" Type="http://schemas.openxmlformats.org/officeDocument/2006/relationships/image" Target="media/image46.png"/><Relationship Id="rId75" Type="http://schemas.openxmlformats.org/officeDocument/2006/relationships/hyperlink" Target="https://www.codecogs.com/eqnedit.php?latex=x%20%5Cin%20%5Cmathbb%7BR%7D%5Ed#0" TargetMode="External"/><Relationship Id="rId30" Type="http://schemas.openxmlformats.org/officeDocument/2006/relationships/hyperlink" Target="https://www.codecogs.com/eqnedit.php?latex=BERT#0" TargetMode="External"/><Relationship Id="rId74" Type="http://schemas.openxmlformats.org/officeDocument/2006/relationships/hyperlink" Target="https://www.codecogs.com/eqnedit.php?latex=y%3D1#0" TargetMode="External"/><Relationship Id="rId33" Type="http://schemas.openxmlformats.org/officeDocument/2006/relationships/image" Target="media/image30.png"/><Relationship Id="rId32" Type="http://schemas.openxmlformats.org/officeDocument/2006/relationships/hyperlink" Target="https://www.codecogs.com/eqnedit.php?latex=GPT#0" TargetMode="External"/><Relationship Id="rId35" Type="http://schemas.openxmlformats.org/officeDocument/2006/relationships/image" Target="media/image27.png"/><Relationship Id="rId34" Type="http://schemas.openxmlformats.org/officeDocument/2006/relationships/hyperlink" Target="https://www.codecogs.com/eqnedit.php?latex=LLMs#0" TargetMode="External"/><Relationship Id="rId71" Type="http://schemas.openxmlformats.org/officeDocument/2006/relationships/hyperlink" Target="https://www.codecogs.com/eqnedit.php?latex=y%3D1#0" TargetMode="External"/><Relationship Id="rId70" Type="http://schemas.openxmlformats.org/officeDocument/2006/relationships/hyperlink" Target="https://www.codecogs.com/eqnedit.php?latex=f_%5Ctheta(x)#0" TargetMode="External"/><Relationship Id="rId37" Type="http://schemas.openxmlformats.org/officeDocument/2006/relationships/hyperlink" Target="https://www.codecogs.com/eqnedit.php?latex=LLM#0" TargetMode="External"/><Relationship Id="rId36" Type="http://schemas.openxmlformats.org/officeDocument/2006/relationships/hyperlink" Target="https://www.codecogs.com/eqnedit.php?latex=LLMs#0" TargetMode="External"/><Relationship Id="rId39" Type="http://schemas.openxmlformats.org/officeDocument/2006/relationships/hyperlink" Target="https://www.codecogs.com/eqnedit.php?latex=x%20%5Cin%20%5Cmathbb%7BR%7D%5Ed#0" TargetMode="External"/><Relationship Id="rId38" Type="http://schemas.openxmlformats.org/officeDocument/2006/relationships/image" Target="media/image38.png"/><Relationship Id="rId62" Type="http://schemas.openxmlformats.org/officeDocument/2006/relationships/hyperlink" Target="https://www.codecogs.com/eqnedit.php?latex=f_%5Ctheta(x)%20%5Cto%20%5Chat%7By%7D#0" TargetMode="External"/><Relationship Id="rId61" Type="http://schemas.openxmlformats.org/officeDocument/2006/relationships/image" Target="media/image4.png"/><Relationship Id="rId20" Type="http://schemas.openxmlformats.org/officeDocument/2006/relationships/hyperlink" Target="https://www.codecogs.com/eqnedit.php?latex=RF#0" TargetMode="External"/><Relationship Id="rId64" Type="http://schemas.openxmlformats.org/officeDocument/2006/relationships/hyperlink" Target="https://www.codecogs.com/eqnedit.php?latex=P(y%7Cx)#0" TargetMode="External"/><Relationship Id="rId63" Type="http://schemas.openxmlformats.org/officeDocument/2006/relationships/image" Target="media/image37.png"/><Relationship Id="rId22" Type="http://schemas.openxmlformats.org/officeDocument/2006/relationships/hyperlink" Target="https://www.codecogs.com/eqnedit.php?latex=DT#0" TargetMode="External"/><Relationship Id="rId66" Type="http://schemas.openxmlformats.org/officeDocument/2006/relationships/hyperlink" Target="https://www.codecogs.com/eqnedit.php?latex=k#0" TargetMode="External"/><Relationship Id="rId21" Type="http://schemas.openxmlformats.org/officeDocument/2006/relationships/image" Target="media/image10.png"/><Relationship Id="rId65" Type="http://schemas.openxmlformats.org/officeDocument/2006/relationships/hyperlink" Target="https://www.codecogs.com/eqnedit.php?latex=k#0" TargetMode="External"/><Relationship Id="rId24" Type="http://schemas.openxmlformats.org/officeDocument/2006/relationships/hyperlink" Target="https://www.codecogs.com/eqnedit.php?latex=SVM#0" TargetMode="External"/><Relationship Id="rId68" Type="http://schemas.openxmlformats.org/officeDocument/2006/relationships/image" Target="media/image40.png"/><Relationship Id="rId23" Type="http://schemas.openxmlformats.org/officeDocument/2006/relationships/image" Target="media/image45.png"/><Relationship Id="rId67" Type="http://schemas.openxmlformats.org/officeDocument/2006/relationships/hyperlink" Target="https://www.codecogs.com/eqnedit.php?latex=f_%5Ctheta(x)#0" TargetMode="External"/><Relationship Id="rId60" Type="http://schemas.openxmlformats.org/officeDocument/2006/relationships/hyperlink" Target="https://www.codecogs.com/eqnedit.php?latex=k#0" TargetMode="External"/><Relationship Id="rId26" Type="http://schemas.openxmlformats.org/officeDocument/2006/relationships/hyperlink" Target="https://www.codecogs.com/eqnedit.php?latex=NN#0" TargetMode="External"/><Relationship Id="rId25" Type="http://schemas.openxmlformats.org/officeDocument/2006/relationships/hyperlink" Target="https://www.codecogs.com/eqnedit.php?latex=LogiR#0" TargetMode="External"/><Relationship Id="rId69" Type="http://schemas.openxmlformats.org/officeDocument/2006/relationships/hyperlink" Target="https://www.codecogs.com/eqnedit.php?latex=P(y%7Cx)#0" TargetMode="External"/><Relationship Id="rId28" Type="http://schemas.openxmlformats.org/officeDocument/2006/relationships/hyperlink" Target="https://www.codecogs.com/eqnedit.php?latex=NLP#0" TargetMode="External"/><Relationship Id="rId27" Type="http://schemas.openxmlformats.org/officeDocument/2006/relationships/image" Target="media/image44.png"/><Relationship Id="rId29" Type="http://schemas.openxmlformats.org/officeDocument/2006/relationships/image" Target="media/image19.png"/><Relationship Id="rId51" Type="http://schemas.openxmlformats.org/officeDocument/2006/relationships/image" Target="media/image8.png"/><Relationship Id="rId50" Type="http://schemas.openxmlformats.org/officeDocument/2006/relationships/hyperlink" Target="https://www.codecogs.com/eqnedit.php?latex=P(y%7Cx)#0" TargetMode="External"/><Relationship Id="rId53" Type="http://schemas.openxmlformats.org/officeDocument/2006/relationships/hyperlink" Target="https://www.codecogs.com/eqnedit.php?latex=x%20%5Cin%20%5Cmathbb%7BR%7D%5Ed#0" TargetMode="External"/><Relationship Id="rId52" Type="http://schemas.openxmlformats.org/officeDocument/2006/relationships/hyperlink" Target="https://www.codecogs.com/eqnedit.php?latex=x%20%5Cin%20%5Cmathbb%7BR%7D%5Ed#0" TargetMode="External"/><Relationship Id="rId11" Type="http://schemas.openxmlformats.org/officeDocument/2006/relationships/image" Target="media/image1.png"/><Relationship Id="rId55" Type="http://schemas.openxmlformats.org/officeDocument/2006/relationships/image" Target="media/image3.png"/><Relationship Id="rId10" Type="http://schemas.openxmlformats.org/officeDocument/2006/relationships/hyperlink" Target="https://www.codecogs.com/eqnedit.php?latex=y#0" TargetMode="External"/><Relationship Id="rId54" Type="http://schemas.openxmlformats.org/officeDocument/2006/relationships/hyperlink" Target="https://www.codecogs.com/eqnedit.php?latex=d#0" TargetMode="External"/><Relationship Id="rId13" Type="http://schemas.openxmlformats.org/officeDocument/2006/relationships/hyperlink" Target="https://www.codecogs.com/eqnedit.php?latex=SML#0" TargetMode="External"/><Relationship Id="rId57" Type="http://schemas.openxmlformats.org/officeDocument/2006/relationships/image" Target="media/image43.png"/><Relationship Id="rId12" Type="http://schemas.openxmlformats.org/officeDocument/2006/relationships/hyperlink" Target="https://www.codecogs.com/eqnedit.php?latex=x%20%5Cin%20%5Cmathbb%7BR%7D%5Ed#0" TargetMode="External"/><Relationship Id="rId56" Type="http://schemas.openxmlformats.org/officeDocument/2006/relationships/hyperlink" Target="https://www.codecogs.com/eqnedit.php?latex=y%3D1#0" TargetMode="External"/><Relationship Id="rId15" Type="http://schemas.openxmlformats.org/officeDocument/2006/relationships/hyperlink" Target="https://www.codecogs.com/eqnedit.php?latex=T%20%3D%200#0" TargetMode="External"/><Relationship Id="rId59" Type="http://schemas.openxmlformats.org/officeDocument/2006/relationships/image" Target="media/image41.png"/><Relationship Id="rId14" Type="http://schemas.openxmlformats.org/officeDocument/2006/relationships/image" Target="media/image15.png"/><Relationship Id="rId58" Type="http://schemas.openxmlformats.org/officeDocument/2006/relationships/hyperlink" Target="https://www.codecogs.com/eqnedit.php?latex=y%20%5Cin%20%7B0%2C%201%7D%5E2#0" TargetMode="External"/><Relationship Id="rId17" Type="http://schemas.openxmlformats.org/officeDocument/2006/relationships/image" Target="media/image29.png"/><Relationship Id="rId16" Type="http://schemas.openxmlformats.org/officeDocument/2006/relationships/hyperlink" Target="https://www.codecogs.com/eqnedit.php?latex=SVM#0" TargetMode="External"/><Relationship Id="rId19" Type="http://schemas.openxmlformats.org/officeDocument/2006/relationships/image" Target="media/image21.png"/><Relationship Id="rId18" Type="http://schemas.openxmlformats.org/officeDocument/2006/relationships/hyperlink" Target="https://www.codecogs.com/eqnedit.php?latex=LogiR#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