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Northstar Works - Annual Leave and Absence Standard</w:t>
      </w:r>
    </w:p>
    <w:p>
      <w:r>
        <w:t>Document HR-AL-2026 | Edition 2.0 | Internal synthetic demonstration</w:t>
      </w:r>
    </w:p>
    <w:p>
      <w:r>
        <w:t>Owner: People Operations | Fictional approver: People Policy Council</w:t>
      </w:r>
    </w:p>
    <w:p>
      <w:r>
        <w:t>Published: 15 December 2025 | Effective: 1 January 2026 to 1 January 2027 (exclusive)</w:t>
      </w:r>
    </w:p>
    <w:p>
      <w:r>
        <w:t>This is fictional company material. Its written control history is not an API approval.</w:t>
      </w:r>
    </w:p>
    <w:p/>
    <w:p>
      <w:pPr>
        <w:pStyle w:val="Heading1"/>
      </w:pPr>
      <w:r>
        <w:t>1. Purpose and application</w:t>
      </w:r>
    </w:p>
    <w:p>
      <w:r>
        <w:t>1.1 This standard explains how annual leave is earned, requested, recorded and reconciled for Northstar Works employees on India full-time contracts. It gives employees a predictable process and gives managers a consistent way to plan coverage. Contractor absence is governed by the contractor's separate agreement and must not be inferred from this standard.</w:t>
      </w:r>
    </w:p>
    <w:p>
      <w:r>
        <w:t>1.2 The leave year follows the calendar year. Public holidays, weekly rest days, medical absence and parental absence use separate categories in the people system. A manager must not recategorize an employee's medical absence as annual leave merely to keep a team attendance measure within target.</w:t>
      </w:r>
    </w:p>
    <w:p>
      <w:r>
        <w:t>1.3 People Operations owns the interpretation log. The current approved source and the employee's applicable effective date govern entitlement. An email announcing a proposal does not amend this standard. Questions about overlapping approved sources must be escalated rather than answered by selecting the more generous figure.</w:t>
      </w:r>
    </w:p>
    <w:p/>
    <w:p>
      <w:pPr>
        <w:pStyle w:val="Heading1"/>
      </w:pPr>
      <w:r>
        <w:t>2. Entitlement and accrual</w:t>
      </w:r>
    </w:p>
    <w:p>
      <w:r>
        <w:t>2.1 India full-time employees receive 20 working days of annual leave per year.</w:t>
      </w:r>
    </w:p>
    <w:p>
      <w:r>
        <w:t>2.2 Payroll accrues the annual allocation in twelve monthly installments. The displayed balance can contain fractional days; the employee may request a half day or a whole day. Joining and leaving during the year are reconciled against completed service and the employee's scheduled working pattern. Payroll explains any adjustment in the final balance statement.</w:t>
      </w:r>
    </w:p>
    <w:p>
      <w:r>
        <w:t>2.3 A scheduled non-working day does not consume annual leave. When a public holiday falls inside a requested interval, the people system excludes that holiday before calculating the deduction. Employees must check the displayed deduction before submitting and report calendar errors to People Operations rather than selecting a different absence code.</w:t>
      </w:r>
    </w:p>
    <w:p>
      <w:r>
        <w:t>2.4 This standard does not promise a cash substitute for an unrequested day. Any settlement depends on the applicable employment terms and the reviewed payroll process. The leave balance and final-pay statement must identify the period being reconciled so a future policy value is not applied to an earlier year.</w:t>
      </w:r>
    </w:p>
    <w:p/>
    <w:p>
      <w:pPr>
        <w:pStyle w:val="Heading1"/>
      </w:pPr>
      <w:r>
        <w:t>3. Request and coverage procedure</w:t>
      </w:r>
    </w:p>
    <w:p>
      <w:r>
        <w:t>3.1 Submit planned leave in the people system with the dates, partial-day indication and a brief coverage note. The note should identify the work handover, not private medical or family details. A manager checks delivery coverage, outstanding customer commitments and approved absences already recorded for the team.</w:t>
      </w:r>
    </w:p>
    <w:p>
      <w:r>
        <w:t>3.2 A manager responds through the same system. A verbal discussion or a chat reaction does not change the request status. When dates cannot be supported, the manager explains the operational reason and proposes alternatives. Refusal must not be used to discourage an employee from taking their allocation over the year.</w:t>
      </w:r>
    </w:p>
    <w:p>
      <w:r>
        <w:t>3.3 For an urgent unplanned absence, inform the manager as soon as practicable and complete the record after the immediate issue is stable. The manager assigns a temporary coverage owner. Nobody should ask the employee to publish sensitive personal evidence into a team channel as a condition for recording the absence.</w:t>
      </w:r>
    </w:p>
    <w:p/>
    <w:p>
      <w:pPr>
        <w:pStyle w:val="Heading1"/>
      </w:pPr>
      <w:r>
        <w:t>4. Responsibilities and control points</w:t>
      </w:r>
    </w:p>
    <w:tbl>
      <w:tblPr>
        <w:tblStyle w:val="LightShading-Accent1"/>
        <w:tblW w:type="auto" w:w="0"/>
        <w:tblLook w:firstColumn="1" w:firstRow="1" w:lastColumn="0" w:lastRow="0" w:noHBand="0" w:noVBand="1" w:val="04A0"/>
      </w:tblPr>
      <w:tblGrid>
        <w:gridCol w:w="2770"/>
        <w:gridCol w:w="2770"/>
        <w:gridCol w:w="2770"/>
      </w:tblGrid>
      <w:tr>
        <w:tc>
          <w:tcPr>
            <w:tcW w:type="dxa" w:w="2770"/>
          </w:tcPr>
          <w:p>
            <w:r>
              <w:t>Role</w:t>
            </w:r>
          </w:p>
        </w:tc>
        <w:tc>
          <w:tcPr>
            <w:tcW w:type="dxa" w:w="2770"/>
          </w:tcPr>
          <w:p>
            <w:r>
              <w:t>Required action</w:t>
            </w:r>
          </w:p>
        </w:tc>
        <w:tc>
          <w:tcPr>
            <w:tcW w:type="dxa" w:w="2770"/>
          </w:tcPr>
          <w:p>
            <w:r>
              <w:t>Record retained</w:t>
            </w:r>
          </w:p>
        </w:tc>
      </w:tr>
      <w:tr>
        <w:tc>
          <w:tcPr>
            <w:tcW w:type="dxa" w:w="2770"/>
          </w:tcPr>
          <w:p>
            <w:r>
              <w:t>Employee</w:t>
            </w:r>
          </w:p>
        </w:tc>
        <w:tc>
          <w:tcPr>
            <w:tcW w:type="dxa" w:w="2770"/>
          </w:tcPr>
          <w:p>
            <w:r>
              <w:t>Check balance, submit dates and handover</w:t>
            </w:r>
          </w:p>
        </w:tc>
        <w:tc>
          <w:tcPr>
            <w:tcW w:type="dxa" w:w="2770"/>
          </w:tcPr>
          <w:p>
            <w:r>
              <w:t>Request and acknowledgement</w:t>
            </w:r>
          </w:p>
        </w:tc>
      </w:tr>
      <w:tr>
        <w:tc>
          <w:tcPr>
            <w:tcW w:type="dxa" w:w="2770"/>
          </w:tcPr>
          <w:p>
            <w:r>
              <w:t>Manager</w:t>
            </w:r>
          </w:p>
        </w:tc>
        <w:tc>
          <w:tcPr>
            <w:tcW w:type="dxa" w:w="2770"/>
          </w:tcPr>
          <w:p>
            <w:r>
              <w:t>Assess coverage and record decision</w:t>
            </w:r>
          </w:p>
        </w:tc>
        <w:tc>
          <w:tcPr>
            <w:tcW w:type="dxa" w:w="2770"/>
          </w:tcPr>
          <w:p>
            <w:r>
              <w:t>Approval or reasoned alternative</w:t>
            </w:r>
          </w:p>
        </w:tc>
      </w:tr>
      <w:tr>
        <w:tc>
          <w:tcPr>
            <w:tcW w:type="dxa" w:w="2770"/>
          </w:tcPr>
          <w:p>
            <w:r>
              <w:t>People Operations</w:t>
            </w:r>
          </w:p>
        </w:tc>
        <w:tc>
          <w:tcPr>
            <w:tcW w:type="dxa" w:w="2770"/>
          </w:tcPr>
          <w:p>
            <w:r>
              <w:t>Correct classification and investigate disputes</w:t>
            </w:r>
          </w:p>
        </w:tc>
        <w:tc>
          <w:tcPr>
            <w:tcW w:type="dxa" w:w="2770"/>
          </w:tcPr>
          <w:p>
            <w:r>
              <w:t>Interpretation or correction note</w:t>
            </w:r>
          </w:p>
        </w:tc>
      </w:tr>
      <w:tr>
        <w:tc>
          <w:tcPr>
            <w:tcW w:type="dxa" w:w="2770"/>
          </w:tcPr>
          <w:p>
            <w:r>
              <w:t>Payroll</w:t>
            </w:r>
          </w:p>
        </w:tc>
        <w:tc>
          <w:tcPr>
            <w:tcW w:type="dxa" w:w="2770"/>
          </w:tcPr>
          <w:p>
            <w:r>
              <w:t>Reconcile accrual and final balances</w:t>
            </w:r>
          </w:p>
        </w:tc>
        <w:tc>
          <w:tcPr>
            <w:tcW w:type="dxa" w:w="2770"/>
          </w:tcPr>
          <w:p>
            <w:r>
              <w:t>Period-specific balance statement</w:t>
            </w:r>
          </w:p>
        </w:tc>
      </w:tr>
    </w:tbl>
    <w:p/>
    <w:p>
      <w:r>
        <w:t>4.1 The manager delegates approval during their own absence. Delegation is recorded before the decision and does not transfer access to medical attachments. People Operations can correct an erroneous absence category, but retains the original request and a reason for the correction.</w:t>
      </w:r>
    </w:p>
    <w:p>
      <w:r>
        <w:t>4.2 Employees review their monthly statement. A disputed deduction is raised with the request reference, scheduled working days and the expected deduction. Payroll preserves the original ledger entry and records an adjustment separately; it does not erase a historical entry to make the totals appear correct.</w:t>
      </w:r>
    </w:p>
    <w:p/>
    <w:p>
      <w:pPr>
        <w:pStyle w:val="Heading1"/>
      </w:pPr>
      <w:r>
        <w:t>5. Changes, cancellations and exceptions</w:t>
      </w:r>
    </w:p>
    <w:p>
      <w:r>
        <w:t>5.1 A change in dates is a new decision on the existing request. The employee checks any bookings before asking for a change; Northstar does not infer a reimbursement promise from an approval. If a manager requests cancellation for a critical incident, People Operations reviews the request and documents the agreed arrangement.</w:t>
      </w:r>
    </w:p>
    <w:p>
      <w:r>
        <w:t>5.2 An operational exception identifies its owner, scope and duration. It cannot create a different annual entitlement or silently extend a published interval. Conflicting entitlement wording is referred to the policy council and remains unresolved until a reviewed correction or new edition is available.</w:t>
      </w:r>
    </w:p>
    <w:p>
      <w:r>
        <w:t>5.3 Requests remain visible to the people team after cancellation. A cancellation has its own timestamp and actor. The employee can see both the original approval and the later change so the chronology can be reconstructed without relying on an informal message thread.</w:t>
      </w:r>
    </w:p>
    <w:p/>
    <w:p>
      <w:pPr>
        <w:pStyle w:val="Heading1"/>
      </w:pPr>
      <w:r>
        <w:t>6. Privacy and record handling</w:t>
      </w:r>
    </w:p>
    <w:p>
      <w:r>
        <w:t>6.1 Managers receive the information required to plan work. Personal attachments are restricted to the responsible people team. A shared coverage plan contains dates and duties only. Exported reports use the minimum necessary identifiers and must not include reasons for medical or family absence.</w:t>
      </w:r>
    </w:p>
    <w:p>
      <w:r>
        <w:t>6.2 Corrections to a person's name or team do not rewrite the dates on a historical request. People Operations checks the requester, the applicable policy edition and the original event time before making a correction. Disputes are retained with their resolution so a later reviewer can understand the evidence.</w:t>
      </w:r>
    </w:p>
    <w:p/>
    <w:p>
      <w:pPr>
        <w:pStyle w:val="Heading1"/>
      </w:pPr>
      <w:r>
        <w:t>7. Edition history and review</w:t>
      </w:r>
    </w:p>
    <w:tbl>
      <w:tblPr>
        <w:tblStyle w:val="LightShading-Accent1"/>
        <w:tblW w:type="auto" w:w="0"/>
        <w:tblLook w:firstColumn="1" w:firstRow="1" w:lastColumn="0" w:lastRow="0" w:noHBand="0" w:noVBand="1" w:val="04A0"/>
      </w:tblPr>
      <w:tblGrid>
        <w:gridCol w:w="2770"/>
        <w:gridCol w:w="2770"/>
        <w:gridCol w:w="2770"/>
      </w:tblGrid>
      <w:tr>
        <w:tc>
          <w:tcPr>
            <w:tcW w:type="dxa" w:w="2770"/>
          </w:tcPr>
          <w:p>
            <w:r>
              <w:t>Edition</w:t>
            </w:r>
          </w:p>
        </w:tc>
        <w:tc>
          <w:tcPr>
            <w:tcW w:type="dxa" w:w="2770"/>
          </w:tcPr>
          <w:p>
            <w:r>
              <w:t>Effective interval</w:t>
            </w:r>
          </w:p>
        </w:tc>
        <w:tc>
          <w:tcPr>
            <w:tcW w:type="dxa" w:w="2770"/>
          </w:tcPr>
          <w:p>
            <w:r>
              <w:t>Reviewed change</w:t>
            </w:r>
          </w:p>
        </w:tc>
      </w:tr>
      <w:tr>
        <w:tc>
          <w:tcPr>
            <w:tcW w:type="dxa" w:w="2770"/>
          </w:tcPr>
          <w:p>
            <w:r>
              <w:t>1.0</w:t>
            </w:r>
          </w:p>
        </w:tc>
        <w:tc>
          <w:tcPr>
            <w:tcW w:type="dxa" w:w="2770"/>
          </w:tcPr>
          <w:p>
            <w:r>
              <w:t>1 January 2025 to 1 January 2026</w:t>
            </w:r>
          </w:p>
        </w:tc>
        <w:tc>
          <w:tcPr>
            <w:tcW w:type="dxa" w:w="2770"/>
          </w:tcPr>
          <w:p>
            <w:r>
              <w:t>Initial standard with 18 working days</w:t>
            </w:r>
          </w:p>
        </w:tc>
      </w:tr>
      <w:tr>
        <w:tc>
          <w:tcPr>
            <w:tcW w:type="dxa" w:w="2770"/>
          </w:tcPr>
          <w:p>
            <w:r>
              <w:t>2.0</w:t>
            </w:r>
          </w:p>
        </w:tc>
        <w:tc>
          <w:tcPr>
            <w:tcW w:type="dxa" w:w="2770"/>
          </w:tcPr>
          <w:p>
            <w:r>
              <w:t>1 January 2026 to 1 January 2027</w:t>
            </w:r>
          </w:p>
        </w:tc>
        <w:tc>
          <w:tcPr>
            <w:tcW w:type="dxa" w:w="2770"/>
          </w:tcPr>
          <w:p>
            <w:r>
              <w:t>Allocation updated to 20 working days; clearer coverage controls</w:t>
            </w:r>
          </w:p>
        </w:tc>
      </w:tr>
    </w:tbl>
    <w:p/>
    <w:p>
      <w:r>
        <w:t>7.1 The archived edition remains available for questions about its own period. This edition does not imply that the later 2027 value is already effective. People Operations reviews employee feedback and recurring classification errors before proposing the next edition. The council records approval separately from upload time.</w:t>
      </w:r>
    </w:p>
    <w:p>
      <w:r>
        <w:t>7.2 Policy owners retain the source file, reviewed text and the reason for the edition change. The written history above is illustrative governance content. Cortex answers only from a separately reviewed, permission-checked exact clause and must abstain when the requested topic has no supported reviewed claim.</w:t>
      </w:r>
    </w:p>
    <w:sectPr w:rsidR="00FC693F" w:rsidRPr="0006063C" w:rsidSect="00034616">
      <w:pgSz w:w="11909" w:h="16834"/>
      <w:pgMar w:top="1152" w:right="1800" w:bottom="1152"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Northstar Works - synthetic demonstration</dc:creator>
  <cp:keywords/>
  <dc:description>generated by python-docx</dc:description>
  <cp:lastModifiedBy/>
  <cp:revision>1</cp:revision>
  <dcterms:created xsi:type="dcterms:W3CDTF">2013-12-23T23:15:00Z</dcterms:created>
  <dcterms:modified xsi:type="dcterms:W3CDTF">2013-12-23T23:15:00Z</dcterms:modified>
  <cp:category/>
</cp:coreProperties>
</file>