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ListBullet"/>
      </w:pPr>
      <w:r>
        <w:t>Scale redundancy is data-dependent: drop P3 on VOC, P5 on VisDrone, zero training.</w:t>
      </w:r>
    </w:p>
    <w:p>
      <w:pPr>
        <w:pStyle w:val="ListBullet"/>
      </w:pPr>
      <w:r>
        <w:t>A three-point ln-s trend (not a law) reverses the P3/P5 ranking near 12.6%.</w:t>
      </w:r>
    </w:p>
    <w:p>
      <w:pPr>
        <w:pStyle w:val="ListBullet"/>
      </w:pPr>
      <w:r>
        <w:t>Zero-training P5-drop: identical mAP, -10.4% FLOPs, -28.6% params, 6% faster.</w:t>
      </w:r>
    </w:p>
    <w:p>
      <w:pPr>
        <w:pStyle w:val="ListBullet"/>
      </w:pPr>
      <w:r>
        <w:t>On dense small-object data, scale drop beats resolution scaling (0.173 vs 0.145).</w:t>
      </w:r>
    </w:p>
    <w:p>
      <w:pPr>
        <w:pStyle w:val="ListBullet"/>
      </w:pPr>
      <w:r>
        <w:t>Cell-level redundancy is a mask-level oracle: block-skipping does not speed up GPU.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