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We analyze per-scale redundancy on VOC/COCO/VisDrone: it is dataset-dependent.</w:t>
      </w:r>
    </w:p>
    <w:p>
      <w:pPr>
        <w:pStyle w:val="ListBullet"/>
      </w:pPr>
      <w:r>
        <w:t>We identify a three-point ln-s trend reversing the P3/P5 ranking near 12.6%.</w:t>
      </w:r>
    </w:p>
    <w:p>
      <w:pPr>
        <w:pStyle w:val="ListBullet"/>
      </w:pPr>
      <w:r>
        <w:t>We introduce a zero-training scale drop: -10.4% FLOPs, -28.6% params, same mAP.</w:t>
      </w:r>
    </w:p>
    <w:p>
      <w:pPr>
        <w:pStyle w:val="ListBullet"/>
      </w:pPr>
      <w:r>
        <w:t>We beat input-resolution scaling on dense small-object data (0.173 vs 0.145).</w:t>
      </w:r>
    </w:p>
    <w:p>
      <w:pPr>
        <w:pStyle w:val="ListBullet"/>
      </w:pPr>
      <w:r>
        <w:t>We show cell redundancy is only a mask-level oracle; block-skip doesn't speed up GPU.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