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b w:val="1"/>
                <w:bCs w:val="1"/>
                <w:color w:val="1f4e79"/>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he podido realizar todas las actividades en el tiempo pautado, lo que me ha facilitado la labor es el poder congeniar esto de tener pocos ramos ramos con Capstone, este ramo requiere muchas horas fuera de clases.</w:t>
              <w:br w:type="textWrapping"/>
              <w:br w:type="textWrapping"/>
              <w:t xml:space="preserve">Lo que me ha dificultado es la coordinación en equipo, es posible pero es necesaria una coordinación mas estricta que otras veces.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Nos coordinamos al final del día, esto porque ya somos adultos, sabemos nuestras labores y deberes.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Estoy trabajando bien, creo que he encontrado mi punto dulce para trabajar, la verdad no me recargaria y de por si no moveria nada actualmente.</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Yo creo que en tanto a pauta detallada de que se requerirá para esta segunda entrega, algo que especifique mas point to point que se requerirá, la rúbrica.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No creo que deban ser redistribuidas, el peso de cada actividad se entrego acorde a cada miembro, fuera de los retrasos que puedan suceder, estas actividades deberían ser completables al final de la jornada.</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g05tn8y9ktx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Bien, yo creo que mientras hayan charlas y reuniones para ver progreso yo creo que todo es posible.</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EAuUI4Q3W7mdrEPjVWwUMRcagg==">CgMxLjAyDmguZzA1dG44eTlrdHhkOAByITE2VUxaOUJteW5MdGxJQXhac2RyRkNaUzVZNzJRckc3ag==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