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matter: authors, affiliations, ORCIDs</w:t>
      </w:r>
    </w:p>
    <w:p>
      <w:r>
        <w:rPr>
          <w:b/>
        </w:rPr>
        <w:t>Title</w:t>
      </w:r>
      <w:r>
        <w:t xml:space="preserve"> A Pre-Registered Machine-Learning Thermobarometer for Orthopyroxene: Regime-Stratified Evaluation and Regime-Piecewise Bias Correction</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Email: [lead author email] ORCID: [to be assigned]</w:t>
      </w:r>
    </w:p>
    <w:p>
      <w:r>
        <w:t>[2] Kanani K. M. Lee United States Coast Guard Academy, Department of Science 27 Mohegan Ave, New London, CT 06320, USA ORCID: [to be filled from Dr. Lee's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the United States Coast Guard Academy under Dr. Lee's mentorship. All archival materials (pre-registration documents, trained models, dataset hashes) are committed to a public repository under the lead author's name.</w:t>
      </w:r>
    </w:p>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foundation-model peer) across three feature-engineering schemes (raw oxide fractions, additive log-ratios, pairwise log-ratios) on 600 opx-liq and 1035 opx-only experiments from ExPetDB, split by citation to prevent publication-level leakage. Four different model families win across the four (track, target) opx cells (ElasticNet for opx-liq T, MLP for opx-liq P, LightGBM for opx-only T, Random Forest for opx-only P), indicating no single architecture dominates at this sample size. Post-hoc bias correction is fit on out-of-fold training residuals and accepted under a pre-registered tolerance-band rule that caps the maximum allowed per-regime degradation at the larger of an absolute floor (10 °C for temperature targets, 1 kbar for pressure targets) or 10 % of the pre-correction regime RMSE for both temperature and pressure targets, with sample-size-limited regimes (n &lt; 20) exempt from the veto. The headline result is a 41.9 % aggregate RMSE reduction on opx-only pressure (10.35 → 6.05 kbar) via a Random Forest with pairwise log-ratio features and a regime-piecewise linear correction, beating Putirka (2008) equation 29c by 54.7 % and winning every pre-registered pressure regime. The value-based correction of Ágreda-López et al. (2024) does not transfer to opx data and is not rescued by 15× Gaussian composition-noise augmentation, accepting on only one of four opx cells at canonical seed and zero across the 20-seed majority vote. The full evaluation framework (pre-registration document, bias-correction rule, and 20-seed per-cell results) is archived with the submission for reviewer verification.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Two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particularly for opx, where deeper-mantle samples (&gt; 30 kbar) are scarce in experimental databases and large-magnitude errors in those regimes can be averaged out of an aggregate headline.</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opx-liq T and P, and opx-only T and P. Four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 opx-liq T is reported as a null result against filtered Putirka 28a in §4.4.</w:t>
      </w:r>
    </w:p>
    <w:p>
      <w:r>
        <w:rPr>
          <w:b/>
        </w:rPr>
        <w:t>(ii) Nine-family model sweep including TabPFN v2.</w:t>
      </w:r>
      <w:r>
        <w:t xml:space="preserve"> We evaluate nine model families (RF, ERT, XGB, Histogram GB, CatBoost, LightGBM, ElasticNet, MLP, and TabPFN v2 as a pretrained foundation-model peer) under an identical 20-seed protocol. Four different tuned families win the four (track, target) opx cells pre-correction, indicating no single architecture dominates at these sample sizes (n = 600 to 1035). TabPFN v2 (Hollmann et al., 2025) is included with default hyperparameters and raw oxide features only; details of its protocol differences appear in §3.4.</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an absolute floor (10 °C for T, 1 kbar for P) or 10 %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three of the four opx cells accept a Form A correction (opx-liq P, opx-only T, opx-only P); opx-liq T accepts Form B marginally at canonical seed only and fails the 20-seed majority vote, which we report as a null. The headline opx-only P result is a 41.9 % aggregate RMSE reduction (10.35 → 6.05 kbar), robust across all 20 seeds.</w:t>
      </w:r>
    </w:p>
    <w:p>
      <w:r>
        <w:rPr>
          <w:b/>
        </w:rPr>
        <w:t>(v) Honest reporting of null results.</w:t>
      </w:r>
      <w:r>
        <w:t xml:space="preserve"> We report three honest nulls alongside the headline shipped claims. Form B (Ágreda-López et al., 2024 style) accepts on zero of four opx cells across the 20-seed majority vote and on one of four cells at canonical seed; it is not rescued by the 15× Gaussian composition-noise augmentation protocol that enables it in the Ágreda-López et al. (2024) cpx pipeline. Opx-liq temperature is effectively a null: classical Putirka 28a (filtered to 161 plausible rows) remains competitive with ML at 71.67 °C vs 77.06 °C. The deeper-mantle regime for opx-liq has only n = 8 samples, below the n ≥ 20 honesty bar and reported as insufficient data for any directional claim.</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bias-correction Form A and Form B fit on out-of-fold residuals, the tolerance-band acceptance rule, and the augmentation sensitivity ablation. Section 4 reports aggregate and regime-stratified performance, the bias-correction scorecard, head-to-head against Putirka (2008) classical opx thermobarometers, feature attribution via SHAP, and augmentation-ablation results. Section 5 discusses the regime interpretation, the temperature-vs-pressure asymmetry, the Form A vs Form B outcome and its geologic interpretation,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the two opx pipelines (opx-liq and opx-only).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two filters during preprocessing, both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thermobarometer we compare against. Second, we apply the Fe-Mg exchange equilibrium check </w:t>
      </w:r>
      <w:r>
        <w:rPr>
          <w:rFonts w:ascii="Consolas" w:hAnsi="Consolas"/>
          <w:sz w:val="20"/>
        </w:rPr>
        <w:t>KD_RANGE = (0.23, 0.35)</w:t>
      </w:r>
      <w:r>
        <w:t xml:space="preserve"> for opx-liq experiments (Roeder and Emslie, 1970; Putirka, 2008), retaining only crystal-liquid pairs with Kd values inside the expected thermodynamic-equilibrium window.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Opx corpora at this curation date are approximately half the size of comparable clinopyroxene corpora used in prior ML thermobarometer work, reflecting the published literature's historical emphasis on clinopyroxene-hosted experiments. This sample-size constraint is a recurring motif throughout the analysis: opx results are noisier per-regime, more susceptible to single-experiment leverage, and require more defensive statistical handling than would be needed at cpx-scale sample counts.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structural formula (Al_VI, Al_IV, Ca_Opx_cat_6ox, Cr_Opx_cat_6ox)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(the default in most ML tutorials) places many experiments from the same publication into both splits, inflating test-set performance and hiding the true generalization error. Citation-grouped splits (</w:t>
      </w:r>
      <w:r>
        <w:rPr>
          <w:rFonts w:ascii="Consolas" w:hAnsi="Consolas"/>
          <w:sz w:val="20"/>
        </w:rPr>
        <w:t>StratifiedGroupKFold</w:t>
      </w:r>
      <w:r>
        <w:t xml:space="preserve"> from scikit-learn 1.8.0) instead hold every publication on one side of every fold while stratifying on the target distribution; we use 10-fold inner CV and an 80/20 outer split, both citation-grouped.</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two opx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and 190 for opx-only; train sizes are 426 and 845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with bin edges at 0, 5, 15, 30, and 100 kbar (</w:t>
      </w:r>
      <w:r>
        <w:rPr>
          <w:rFonts w:ascii="Consolas" w:hAnsi="Consolas"/>
          <w:sz w:val="20"/>
        </w:rPr>
        <w:t>docs/preregistration/p_regime_preregistration.md</w:t>
      </w:r>
      <w:r>
        <w:t>, locked before any bias-correction fitting):</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Label</w:t>
            </w:r>
          </w:p>
        </w:tc>
        <w:tc>
          <w:tcPr>
            <w:tcW w:type="dxa" w:w="3120"/>
          </w:tcPr>
          <w:p>
            <w:r/>
            <w:r>
              <w:rPr>
                <w:rFonts w:ascii="Calibri" w:hAnsi="Calibri"/>
                <w:b/>
                <w:sz w:val="20"/>
              </w:rPr>
              <w:t>P range (kbar)</w:t>
            </w:r>
          </w:p>
        </w:tc>
        <w:tc>
          <w:tcPr>
            <w:tcW w:type="dxa" w:w="3120"/>
          </w:tcPr>
          <w:p>
            <w:r/>
            <w:r>
              <w:rPr>
                <w:rFonts w:ascii="Calibri" w:hAnsi="Calibri"/>
                <w:b/>
                <w:sz w:val="20"/>
              </w:rPr>
              <w:t>Petrological context</w:t>
            </w:r>
          </w:p>
        </w:tc>
      </w:tr>
      <w:tr>
        <w:tc>
          <w:tcPr>
            <w:tcW w:type="dxa" w:w="3120"/>
          </w:tcPr>
          <w:p>
            <w:r/>
            <w:r>
              <w:rPr>
                <w:rFonts w:ascii="Calibri" w:hAnsi="Calibri"/>
                <w:sz w:val="20"/>
              </w:rPr>
              <w:t>`shallow_crustal`</w:t>
            </w:r>
          </w:p>
        </w:tc>
        <w:tc>
          <w:tcPr>
            <w:tcW w:type="dxa" w:w="3120"/>
          </w:tcPr>
          <w:p>
            <w:r/>
            <w:r>
              <w:rPr>
                <w:rFonts w:ascii="Calibri" w:hAnsi="Calibri"/>
                <w:sz w:val="20"/>
              </w:rPr>
              <w:t>0-5</w:t>
            </w:r>
          </w:p>
        </w:tc>
        <w:tc>
          <w:tcPr>
            <w:tcW w:type="dxa" w:w="3120"/>
          </w:tcPr>
          <w:p>
            <w:r/>
            <w:r>
              <w:rPr>
                <w:rFonts w:ascii="Calibri" w:hAnsi="Calibri"/>
                <w:sz w:val="20"/>
              </w:rPr>
              <w:t>Arc storage, upper-crustal magma chambers</w:t>
            </w:r>
          </w:p>
        </w:tc>
      </w:tr>
      <w:tr>
        <w:tc>
          <w:tcPr>
            <w:tcW w:type="dxa" w:w="3120"/>
          </w:tcPr>
          <w:p>
            <w:r/>
            <w:r>
              <w:rPr>
                <w:rFonts w:ascii="Calibri" w:hAnsi="Calibri"/>
                <w:sz w:val="20"/>
              </w:rPr>
              <w:t>`deep_crustal_MASH`</w:t>
            </w:r>
          </w:p>
        </w:tc>
        <w:tc>
          <w:tcPr>
            <w:tcW w:type="dxa" w:w="3120"/>
          </w:tcPr>
          <w:p>
            <w:r/>
            <w:r>
              <w:rPr>
                <w:rFonts w:ascii="Calibri" w:hAnsi="Calibri"/>
                <w:sz w:val="20"/>
              </w:rPr>
              <w:t>5-15</w:t>
            </w:r>
          </w:p>
        </w:tc>
        <w:tc>
          <w:tcPr>
            <w:tcW w:type="dxa" w:w="3120"/>
          </w:tcPr>
          <w:p>
            <w:r/>
            <w:r>
              <w:rPr>
                <w:rFonts w:ascii="Calibri" w:hAnsi="Calibri"/>
                <w:sz w:val="20"/>
              </w:rPr>
              <w:t>Melting-assimilation-storage-homogenization zone</w:t>
            </w:r>
          </w:p>
        </w:tc>
      </w:tr>
      <w:tr>
        <w:tc>
          <w:tcPr>
            <w:tcW w:type="dxa" w:w="3120"/>
          </w:tcPr>
          <w:p>
            <w:r/>
            <w:r>
              <w:rPr>
                <w:rFonts w:ascii="Calibri" w:hAnsi="Calibri"/>
                <w:sz w:val="20"/>
              </w:rPr>
              <w:t>`lithospheric_mantle`</w:t>
            </w:r>
          </w:p>
        </w:tc>
        <w:tc>
          <w:tcPr>
            <w:tcW w:type="dxa" w:w="3120"/>
          </w:tcPr>
          <w:p>
            <w:r/>
            <w:r>
              <w:rPr>
                <w:rFonts w:ascii="Calibri" w:hAnsi="Calibri"/>
                <w:sz w:val="20"/>
              </w:rPr>
              <w:t>15-30</w:t>
            </w:r>
          </w:p>
        </w:tc>
        <w:tc>
          <w:tcPr>
            <w:tcW w:type="dxa" w:w="3120"/>
          </w:tcPr>
          <w:p>
            <w:r/>
            <w:r>
              <w:rPr>
                <w:rFonts w:ascii="Calibri" w:hAnsi="Calibri"/>
                <w:sz w:val="20"/>
              </w:rPr>
              <w:t>Spinel to garnet peridotite stability</w:t>
            </w:r>
          </w:p>
        </w:tc>
      </w:tr>
      <w:tr>
        <w:tc>
          <w:tcPr>
            <w:tcW w:type="dxa" w:w="3120"/>
          </w:tcPr>
          <w:p>
            <w:r/>
            <w:r>
              <w:rPr>
                <w:rFonts w:ascii="Calibri" w:hAnsi="Calibri"/>
                <w:sz w:val="20"/>
              </w:rPr>
              <w:t>`deeper_mantle`</w:t>
            </w:r>
          </w:p>
        </w:tc>
        <w:tc>
          <w:tcPr>
            <w:tcW w:type="dxa" w:w="3120"/>
          </w:tcPr>
          <w:p>
            <w:r/>
            <w:r>
              <w:rPr>
                <w:rFonts w:ascii="Calibri" w:hAnsi="Calibri"/>
                <w:sz w:val="20"/>
              </w:rPr>
              <w:t>&gt;30</w:t>
            </w:r>
          </w:p>
        </w:tc>
        <w:tc>
          <w:tcPr>
            <w:tcW w:type="dxa" w:w="3120"/>
          </w:tcPr>
          <w:p>
            <w:r/>
            <w:r>
              <w:rPr>
                <w:rFonts w:ascii="Calibri" w:hAnsi="Calibri"/>
                <w:sz w:val="20"/>
              </w:rPr>
              <w:t>Asthenospheric mantle and below</w:t>
            </w:r>
          </w:p>
        </w:tc>
      </w:tr>
    </w:tbl>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r>
        <w:t xml:space="preserve">1. </w:t>
      </w: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 xml:space="preserve">. 2. </w:t>
      </w: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 3. </w:t>
      </w: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scripts/audits/robust_audit.py</w:t>
      </w:r>
      <w:r>
        <w:t xml:space="preserve">; the pre-registered pass condition for the opx-liq P headline claim is test T15 in the nb03_test_protocol (§T15), which we report as a pass via </w:t>
      </w:r>
      <w:r>
        <w:rPr>
          <w:rFonts w:ascii="Consolas" w:hAnsi="Consolas"/>
          <w:sz w:val="20"/>
        </w:rPr>
        <w:t>results/opx_per_regime_claims_audit_robust.csv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TabPFN v2 (Hollmann et al., 2025) is included as a pretrained foundation-model peer evaluated without hyperparameter tuning; details of its protocol differences appear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pipeline we additionally derive cation-normalized structural components of the crystal (Al_VI, Al_IV, Ca_Opx_cat_6ox, Cr_Opx_cat_6ox)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four (track, target) opx cells in this study, raw wins two (opx-liq T, opx-liq P), alr wins one (opx-only T), and pwlr wins one (opx-only P).</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and Histogram Gradient Boosting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included as a pretrained foundation-model peer with three protocol differences from the tuned families: it skips Optuna (no hyperparameter search), uses raw oxide features only (its attention-based feature mixing makes log-ratio transforms redundant), and substitutes a leave-one-citation-out pseudo-OOF (five citation-leave-outs per seed) for the standard 10-fold OOF residuals when fitting the bias correction in §3.5. It is excluded from the Ridge-stacked ensemble (§3.6) because its in-context inference does not provide consistent OOF coverage across base learners. All other reporting is on the same 20 train/test splits as the tuned families.</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covering eight tuned families × three feature sets × four opx cells plus TabPFN × four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exercised by the test suite (</w:t>
      </w:r>
      <w:r>
        <w:rPr>
          <w:rFonts w:ascii="Consolas" w:hAnsi="Consolas"/>
          <w:sz w:val="20"/>
        </w:rPr>
        <w:t>tests/test_bootstrap_ci.py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following the convention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a distributional-mismatch failure mode where the test-time base predictions from full-model refits would drift from the OOF training distribution. The stacking implementation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4 opx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scripts/audits/robust_audit.py</w:t>
      </w:r>
      <w:r>
        <w:t>, which reads the 20-seed per-regime RMSE table (</w:t>
      </w:r>
      <w:r>
        <w:rPr>
          <w:rFonts w:ascii="Consolas" w:hAnsi="Consolas"/>
          <w:sz w:val="20"/>
        </w:rPr>
        <w:t>results/chunkC_perseed_regime_rmse.csv</w:t>
      </w:r>
      <w:r>
        <w:t>) and the per-regime benchmark CSV (</w:t>
      </w:r>
      <w:r>
        <w:rPr>
          <w:rFonts w:ascii="Consolas" w:hAnsi="Consolas"/>
          <w:sz w:val="20"/>
        </w:rPr>
        <w:t>results/opx_per_regime_benchmark.csv</w:t>
      </w:r>
      <w:r>
        <w:t>) and writes the robust verdict table (</w:t>
      </w:r>
      <w:r>
        <w:rPr>
          <w:rFonts w:ascii="Consolas" w:hAnsi="Consolas"/>
          <w:sz w:val="20"/>
        </w:rPr>
        <w:t>results/opx_per_regime_claims_audit_robust.csv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Software, reproducibility, and archival</w:t>
      </w:r>
    </w:p>
    <w:p>
      <w:r>
        <w:t xml:space="preserve">All computation is performed in Python 3.13.13 on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opx pipeline (opx-liq, opx-only) and target (T_C, P_kbar), for a total of 16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3 renders the full 9 × 4 heatmap of family-best RMSE side by side with the best available classical benchmark.</w:t>
      </w:r>
    </w:p>
    <w:p>
      <w:r>
        <w:t>Four different model families win across the four (track, target) opx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All intervals are bootstrap 95% CIs computed on test-set residuals at canonical seed 42 (n_boot = 500); see Methods §3.4 for protocol. Feature-set selection matters: raw wins two cells (opx-liq T, opx-liq P), alr wins one (opx-only T), and pwlr wins one (opx-only P).</w:t>
      </w:r>
    </w:p>
    <w:p>
      <w:r>
        <w:t>We read the family-spread as a contribution in its own right. Earlier ML thermobarometer pipelines have largely committed to a single tree-based family (Petrelli et al., 2020; Jorgenson et al., 2022) or to extra trees specifically (Ágreda-López et al., 2024). Our broader sweep on opx data finds that linear models (ElasticNet for opx-liq T), gradient-boosted trees (LightGBM for opx-only T), multilayer perceptrons (MLP for opx-liq P), and tree ensembles (RF for opx-only P) each take one of the four opx cells when given the same tuning budget. Figure 8a displays the per-regime picture for the four opx cells; Figure 8b the aggregate picture. TabPFN v2 evaluated under the same 20-seed protocol without tuning loses to the tuned winning family on all four opx cells pre-correction; after bias correction (Methods §3.4), TabPFN-corrected sits at 5.94 kbar on opx-only P versus tuned RF/pwlr-corrected at 6.05 kbar, a within-spread match (0.11 kbar margin).</w:t>
      </w:r>
    </w:p>
    <w:p>
      <w:pPr>
        <w:pStyle w:val="Heading3"/>
      </w:pPr>
      <w:r>
        <w:t>4.1.1 Methodological note: per-cell best-model selection</w:t>
      </w:r>
    </w:p>
    <w:p>
      <w:r>
        <w:t>The per-cell best-model selection is a deliberate methodological choice. Under the No Free Lunch theorem (Wolpert, 1996), no single learning algorithm dominates across all tasks; our four (track, target) opx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four different model families win across four opx cells. Earlier studies committed to a single tree family per design choice (Petrelli et al., 2020; Jorgenson et al., 2022; Ágreda-López et al., 2024); our results suggest that per-cell selection captures additional signal at opx-scale sample sizes while keeping the canonical tree families in the comparator pool. We retain the per-cell winners as the headline and present a single-family sensitivity table (Supplementary Table S15) for readers who prefer a consistent family across all cells.</w:t>
      </w:r>
    </w:p>
    <w:p>
      <w:pPr>
        <w:pStyle w:val="Heading2"/>
      </w:pPr>
      <w:r>
        <w:t>4.2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indistinguishable from the experimental-petrology measurement noise of the target itself. Per-seed ship decisions across the 20 seeds are reported as a non-parametric majority vote in Table 4.</w:t>
      </w:r>
    </w:p>
    <w:p>
      <w:r>
        <w:t>Three of the four opx cells accept a correction at canonical seed 42 (Table 4): opx-liq P, opx-only T, and opx-only P all accept Form A (regime-piecewise OLS). Opx-liq T accepts Form B (quantile-thresholded piecewise, Ágreda-López 2024 form) with alpha_L = 0.050, alpha_R = 0.830, s_L = 0.409, s_R = -0.177; this is a canonical-seed-only acceptance with marginal aggregate delta (-0.11 °C) and the acceptance fails the 20-seed majority vote at 9 of 20 seeds. We flag opx-liq T in Table 4 as a marginal acceptance and report it in §4.4 as effectively a null against filtered Putirka 28a.</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7).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4 renders the per-regime RMSE comparison; Figure 5 renders the residual-vs-predicted scatter showing the structural bias that Form A corrects.</w:t>
      </w:r>
    </w:p>
    <w:p>
      <w:r>
        <w:t>Two additional opx cells accept a correction. Opx-liq P (MLP, raw features) accepts Form A and reduces aggregate RMSE from 4.40 to 3.17 kbar, a 28.0 %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Form B accepts on only one of four opx cells (opx-liq T, canonical seed 42, marginal). Across 80 per-seed acceptance decisions (4 cells × 20 seeds) Form B accepts on only that one cell-seed. This is a geologic rather than algorithmic result: the residual structure in our opx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(the protocol under which Form B is accepted in Ágreda-López et al. (2024) on cpx-only training data)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4.3 Regime-stratified performance vs classical and external-ML benchmarks</w:t>
      </w:r>
    </w:p>
    <w:p>
      <w:r>
        <w:t>We compare our best tuned ML (pre-correction and post-correction) against Putirka (2008) classical opx thermobarometers (equations 28a, 29a, 29b, 29c) stratified by the pre-registered four-bin pressure partition. Figure 6 renders the scorecard delta; Figure 9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pPr>
        <w:pStyle w:val="Heading2"/>
      </w:pPr>
      <w:r>
        <w:t>4.4 Interpretability bundle</w:t>
      </w:r>
    </w:p>
    <w:p>
      <w:r>
        <w:t>We answer the black-box concern with an eight-layer bundle of attribution, classical-equivalence, and physics-consistency probes. Each layer is its own falsifiable test with a pre-registered threshold. The bundle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4.4.1 Layer 1: SHAP attribution (winners)</w:t>
      </w:r>
    </w:p>
    <w:p>
      <w:r>
        <w:t xml:space="preserve">Figure 10 summarizes mean absolute SHAP values for the per-cell winning family across the four opx (track, target) cells. The ElasticNet/raw winner for opx-liq T uses </w:t>
      </w:r>
      <w:r>
        <w:rPr>
          <w:rFonts w:ascii="Consolas" w:hAnsi="Consolas"/>
          <w:sz w:val="20"/>
        </w:rPr>
        <w:t>shap.LinearExplainer</w:t>
      </w:r>
      <w:r>
        <w:t xml:space="preserve"> (exact attribution, scaler-aware). Tree cells (RF, LightGBM) use </w:t>
      </w:r>
      <w:r>
        <w:rPr>
          <w:rFonts w:ascii="Consolas" w:hAnsi="Consolas"/>
          <w:sz w:val="20"/>
        </w:rPr>
        <w:t>shap.TreeExplainer</w:t>
      </w:r>
      <w:r>
        <w:t xml:space="preserve"> (exact attribution on the tree structure). The MLP winner for opx-liq P uses permutation importance with 20 repeats at seed 42 as a surrogate for KernelExplainer; the latter was budgeted at ~30 min per cell and deferred to a supplementary round. TabPFN v2 is omitted from SHAP attribution because no SHAP explainer is currently compatible with its in-context inference under our runtime budget.</w:t>
      </w:r>
    </w:p>
    <w:p>
      <w:r>
        <w:t>For opx-liq T (ElasticNet/raw), the top three features by mean |SHAP| are raw_liq_MgO (≈ 63 °C per unit), raw_liq_FeO (≈ 22), and Al_VI (≈ 20). This matches the classical opx-liq temperature calibration (Putirka, 2008), which relies on liquid MgO and FeO as primary composition anchors. Our linear model has learned essentially the Putirka functional form, consistent with its aggregate RMSE being competitive but not dominant. For opx-liq P (MLP/raw, permutation importance), the top features are raw_liq_SiO2, raw_liq_Al2O3, and Al_VI (octahedral aluminum in pyroxene), interpretable as a jadeite-solubility and silica-activity proxy, consistent with the classical barometric intuition (Putirka, 2008, equations 29). For opx-only P (RF/pwlr), the top features are pwlr log-ratios involving Al/FeO, FeO/Na, and Ca/Na, reflecting that opx-only composition carries pressure information through aluminum partitioning without requiring an explicit liquid anchor.</w:t>
      </w:r>
    </w:p>
    <w:p>
      <w:r>
        <w:t>Figure 10's interpretation is intended as qualitative: the winning ML models align with known petrologic covariates and do not rely on unexpected features that would indicate overfitting to publication-specific artifacts.</w:t>
      </w:r>
    </w:p>
    <w:p>
      <w:pPr>
        <w:pStyle w:val="Heading3"/>
      </w:pPr>
      <w:r>
        <w:t>4.4.2 Layer 2: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11. TabPFN has no fitted sklearn estimator exposed to </w:t>
      </w:r>
      <w:r>
        <w:rPr>
          <w:rFonts w:ascii="Consolas" w:hAnsi="Consolas"/>
          <w:sz w:val="20"/>
        </w:rPr>
        <w:t>permutation_importance</w:t>
      </w:r>
      <w:r>
        <w:t xml:space="preserve"> and is omitted; the bundle reports eight families.</w:t>
      </w:r>
    </w:p>
    <w:p>
      <w:r>
        <w:t>Per-cell median pairwise Spearman rho on the four opx cells: opx-liq T 0.58, opx-liq P 0.59, opx-only T 0.25, opx-only P 0.37. Interpretation splits on feature-set heterogeneity: the opx-liq T cell, where most winning families share the raw feature space, reaches moderate rank agreement (rho = 0.58);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so low rho is driven by small-n intersection noise rather than genuine disagreement on petrologic signal. The matrix says families agree moderately on opx-liq T and opx-liq P, and ambiguously on opx-only cells where the coordinate-system switch makes the rank test low-power. Family ordering in the heatmap clusters RF/ERT together and ElasticNet/MLP together, as expected from their mechanism-level differences.</w:t>
      </w:r>
    </w:p>
    <w:p>
      <w:pPr>
        <w:pStyle w:val="Heading3"/>
      </w:pPr>
      <w:r>
        <w:t>4.4.3 Layer 3: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4.4.4 Layer 4: classical-equivalence regression</w:t>
      </w:r>
    </w:p>
    <w:p>
      <w:r>
        <w:t>For each of the four opx cells, we fit a linear regression with classical-form features (Putirka 28a/29a/29c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Opx-liq T is the cleanest case: the ML is statistically indistinguishable from a fit of Putirka 28a to these data. Opx-only P is the farthest from classical: 44 % of its predictive variance lies outside the Putirka 29c functional form. Figure 12 shows ML-vs-classical-fit scatters per cell.</w:t>
      </w:r>
    </w:p>
    <w:p>
      <w:pPr>
        <w:pStyle w:val="Heading3"/>
      </w:pPr>
      <w:r>
        <w:t>4.4.5 Layer 5: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14 shows the four surrogate trees; they are the flowcharts a petrologist can step through manually. This does not claim the ML IS the surrogate tree (the residual 10–20% of variance is real non-tree structure), but it does mean the ML is not a deep, branchy, inscrutable function: it can be read.</w:t>
      </w:r>
    </w:p>
    <w:p>
      <w:pPr>
        <w:pStyle w:val="Heading3"/>
      </w:pPr>
      <w:r>
        <w:t>4.4.6 Layer 6: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the ML passes the Gasparik test. The two physics checks are reported in </w:t>
      </w:r>
      <w:r>
        <w:rPr>
          <w:rFonts w:ascii="Consolas" w:hAnsi="Consolas"/>
          <w:sz w:val="20"/>
        </w:rPr>
        <w:t>results/physics_consistency_checks.csv</w:t>
      </w:r>
      <w:r>
        <w:t>.</w:t>
      </w:r>
    </w:p>
    <w:p>
      <w:pPr>
        <w:pStyle w:val="Heading3"/>
      </w:pPr>
      <w:r>
        <w:t>4.4.7 Layer 7: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13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4.4.8 Layer 8: where ML genuinely exceeds classical form</w:t>
      </w:r>
    </w:p>
    <w:p>
      <w:r>
        <w:t>Layers 3 and 4 together show opx-only P as the cell where ML is doing the most non-classical work: classical-feature ablation costs 58 % RMSE, and classical-equivalence R² = 0.56 is the lowest of the four opx cells. This is the cell where pwlr log-ratio chemistry matters, where the surrogate tree (Layer 5) retains 89 % fidelity (the ML is not chaotic, it is structured non-classical), and where Gasparik Al-solubility reasoning (Layer 6/7) is reframed onto log-ratio coordinates. Opx-liq T sits at the other end: classical R² = 0.99 and ablation cost 9 %, so the ML is effectively a smoothed classical thermometer and its aggregate RMSE gain over Putirka 28a (77.06 vs 71.67 °C) is, as we report in §4.6, a null result. The bundle as a whole says: the ML is not a black box; it reduces to classical petrology for three of four opx cells with R² &gt; 0.75, and for the one cell where it exceeds classical form (opx-only P), the exceedance is readable as a log-ratio reparameterization of classical Al-solubility chemistry.</w:t>
      </w:r>
    </w:p>
    <w:p>
      <w:pPr>
        <w:pStyle w:val="Heading2"/>
      </w:pPr>
      <w:r>
        <w:t>4.5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4.6 Summary of shipped claims</w:t>
      </w:r>
    </w:p>
    <w:p>
      <w:r>
        <w:t>Three claims survive the pre-registered honesty bar and the dual robustness check (non-overlapping 95 % bootstrap CIs AND 97.5th-percentile per-seed RMSE below the competing method's CI lower bound, for regimes with n ≥ 20):</w:t>
      </w:r>
    </w:p>
    <w:p>
      <w:r>
        <w:t xml:space="preserve">1. </w:t>
      </w:r>
      <w:r>
        <w:rPr>
          <w:b/>
        </w:rPr>
        <w:t>Opx-only P bias-corrected wins every regime against Putirka 29c.</w:t>
      </w:r>
      <w:r>
        <w:t xml:space="preserve"> RF/pwlr + Form A, aggregate 6.05 vs 13.34 kbar (54.7 % reduction), per-regime improvements of 1.07–16.37 kbar. Meets honesty bar at shallow_crustal (n = 48), deep_crustal_MASH (n = 76), lithospheric_mantle (n = 37), deeper_mantle (n = 29).</w:t>
      </w:r>
    </w:p>
    <w:p>
      <w:r>
        <w:t xml:space="preserve">2. </w:t>
      </w: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r>
        <w:t xml:space="preserve">3. </w:t>
      </w:r>
      <w:r>
        <w:rPr>
          <w:b/>
        </w:rPr>
        <w:t>Form B does not transfer to opx data.</w:t>
      </w:r>
      <w:r>
        <w:t xml:space="preserve"> Accepts on 1 of 4 opx cells (opx-liq T, marginal at canonical seed), 0 of 80 per-seed decisions. 15× Gaussian augmentation does not rescue Form B and additionally degrades aggregate RMSE on all four opx cells.</w:t>
      </w:r>
    </w:p>
    <w:p>
      <w:r>
        <w:t>Two additional claims are reported as honest nulls or limitations:</w:t>
      </w:r>
    </w:p>
    <w:p>
      <w:r>
        <w:t xml:space="preserve">4. </w:t>
      </w: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r>
        <w:t xml:space="preserve">5. </w:t>
      </w:r>
      <w:r>
        <w:rPr>
          <w:b/>
        </w:rPr>
        <w:t>Opx-liq deeper_mantle data is insufficient.</w:t>
      </w:r>
      <w:r>
        <w:t xml:space="preserve"> The deeper_mantle regime for opx-liq has only n = 8 samples, below the n ≥ 20 honesty bar; we report opx-liq P at deeper mantle as insufficient data for any directional claim.</w:t>
      </w:r>
    </w:p>
    <w:p>
      <w:r>
        <w:t>These five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 aggregate improvement over Putirka (2008) equation 29c. This is primarily an empirical statement about opx-only compositional information content: the bias-corrected RF/pwlr predictor extracts pressure signal from mineral-only chemistry more efficiently than any classical opx-only barometer currently in use. Secondarily, it is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The opx-only P result does not solve orthopyroxene barometry. Three caveats constrain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(§5.6).</w:t>
      </w:r>
    </w:p>
    <w:p>
      <w:pPr>
        <w:pStyle w:val="Heading2"/>
      </w:pPr>
      <w:r>
        <w:t>5.2 The temperature-pressure asymmetry</w:t>
      </w:r>
    </w:p>
    <w:p>
      <w:r>
        <w:t>A clear pattern across the four opx (track, target) cells is that pressure corrections ship more readily and more favorably than temperature corrections. Under the pre-registered tolerance-band rule, Form A is accepted on both opx P cells (opx-liq P at 28.0 % aggregate RMSE reduction; opx-only P at 41.9 %). Temperature corrections accept on only one of two opx T cells (opx-only T at 16.6 % reduction with Form A; opx-liq T accepts Form B marginally at canonical seed only and fails the 20-seed majority).</w:t>
      </w:r>
    </w:p>
    <w:p>
      <w:r>
        <w:t>The asymmetry reflects a real geologic difference, not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 for opx-liq T at the 20-seed majority.</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three of four opx cells; Form B is accepted on one of four opx cells and only at canonical seed, with zero acceptance across the 20-seed majority vote. Across 80 per-seed decisions (4 cells × 20 seeds), Form B accepts on one cell-seed. The augmentation ablation (§4.6) confirms that the 15× Gaussian composition-noise protocol under which Form B is accepted in Ágreda-López et al. (2024) on cpx-only training data does not rescue Form B on our opx data and additionally degrades Form A's acceptance rate.</w:t>
      </w:r>
    </w:p>
    <w:p>
      <w:r>
        <w:t>This is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cpx-side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On the black-box concern</w:t>
      </w:r>
    </w:p>
    <w:p>
      <w:r>
        <w:t>Any ML thermobarometer paper invites the question: is this a black box that happens to predict well, or is it a defensible scientific instrument? We treat that question as a pre-registered testable hypothesis and answer it through the eight-layer interpretability bundle reported in §4.5. Each layer produces a falsifiable number with a bootstrapped 95 % CI; taken together they say the winners are not black boxes.</w:t>
      </w:r>
    </w:p>
    <w:p>
      <w:r>
        <w:t>Layers 1–2 show the SHAP picture is not a single model's idiosyncrasy. The winning ElasticNet/raw opx-liq T model assigns highest |SHAP| to liquid MgO, liquid FeO, and Al_VI: the same features the classical Putirka 28a thermometer uses (Putirka, 2008). Permutation-importance ranks across all eight tuned families agree moderately on opx-liq T and opx-liq P (median pairwise Spearman rho 0.58–0.59)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 RMSE on opx-liq T, 25 % on opx-liq P, 26 % on opx-only T, and 58 % on opx-only P; classical-form regression achieves R² ≥ 0.75 on three of four opx cells and R² = 0.99 on opx-liq T. Opx-liq T is, in effect, a smoothed Putirka 28a; this is consistent with the §4.1 finding that its aggregate RMSE gain over filtered Putirka is a null result. Opx-only P is the cell farthest from classical (R² = 0.56, +58 %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14); a petrologist can step through the surrogate tree as a flowchart and verify the ML's decisions against their judgment. The residual 10–20 % of variance not captured by the tree is real non-tree structure (smooth interactions, cross-feature non-linearities); it is not noise, it is not memorized training data, and it is not uninterpretable: it is the smooth-classical-residual the tree cannot express.</w:t>
      </w:r>
    </w:p>
    <w:p>
      <w:r>
        <w:t>Layer 6 (physics consistency checks) is the highest-stakes layer because it tests the ML against petrologic equilibrium constraints the classical formulas assume. The opx-liq test set has 100 %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 of the grid where extrapolation differs between linear and tree learners (Figure 13). The opx-liq P winner (MLP/raw) places four Al-bearing features in its top-10 SHAP carrying 45 % of aggregate importance;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Where the SHAP attribution path is unavailable (TabPFN v2), users who require feature attribution should deploy the tuned-family winner (RF/pwlr for opx-only P) and accept the within-spread aggregate-RMSE difference. Both predictors are shipped in the archival release.</w:t>
      </w:r>
    </w:p>
    <w:p>
      <w:pPr>
        <w:pStyle w:val="Heading2"/>
      </w:pPr>
      <w:r>
        <w:t>5.5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We recommend that applied users check the conformal prediction intervals (reported in the archival release per nb07)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 20 honesty bar. We report its numbers for transparency but make no directional claim. Users should treat opx-liq predictions above 30 kbar as extrapolative rather than interpolative and should prefer opx-only or two-pyroxene approaches when available.</w:t>
      </w:r>
    </w:p>
    <w:p>
      <w:r>
        <w:rPr>
          <w:b/>
        </w:rPr>
        <w:t>Opx-liq T is a null.</w:t>
      </w:r>
      <w:r>
        <w:t xml:space="preserve"> The opx-liq T pre-correction ElasticNet/raw at 77.06 °C is competitive with but does not beat the filtered Putirka 28a at 71.67 °C. Users deploying our pipeline for opx-liq T should be aware that the gain over classical is statistically indistinguishable from zero; we ship the predictor as a within-noise replacement for Putirka 28a, not an improvement.</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opx cells, using citation-grouped train/test splits from ExPetDB and a 20-seed evaluation protocol with frozen Optuna hyperparameters. Four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 over the best external opx-only barometer currently in use.</w:t>
      </w:r>
    </w:p>
    <w:p>
      <w:r>
        <w:t>Second, we show that no single model architecture dominates at experimental-petrology sample sizes. Four different model families win across the four opx (track, target) cells: ElasticNet for opx-liq T, MLP for opx-liq P, LightGBM for opx-only T, and Random Forest for opx-only P. This result extends prior single-family pipelines (which often default to random forest or extra trees) by showing that per-cell family selection captures additional signal at opx-scale sample sizes.</w:t>
      </w:r>
    </w:p>
    <w:p>
      <w:r>
        <w:t>Third, we present a regime-piecewise linear bias correction (Form A) that consistently accepts under a pre-registered tolerance-band rule on three of four opx cells, and we document the non-transfer of the Ágreda-López et al. (2024) quantile-thresholded correction (Form B) to orthopyroxene data. Form B accepts on one of four opx cells at canonical seed only and is not rescued by 15× Gaussian composition-noise augmentation. This is a geologic signal: orthopyroxene residuals are conditioned on petrologic regime rather than on quantiles of the prediction distribution, which a regime-piecewise correction captures and a value-based correction mixes.</w:t>
      </w:r>
    </w:p>
    <w:p>
      <w:r>
        <w:t>Fourth, we report an extensive set of honest nulls and limitations: opx-liq T is effectively a null against filtered Putirka 28a; Form B does not transfer to opx; opx-liq deeper_mantle (n = 8) fails the pre-registered honesty bar. These nulls are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reported in the archival release should guide extrapolation decisions. For orthopyroxene temperature estimates, users should prefer the classical Putirka (2008) equation 28a opx-liq thermometer when a coexisting liquid composition is available, or two-pyroxene thermometers (Putirka, 2008, equations 36/37; Brey and Köhler, 1990) when both pyroxenes are present. Our opx ML pipeline adds value on pressure and replicates existing classical standard of care on temperature.</w:t>
      </w:r>
    </w:p>
    <w:p>
      <w:r>
        <w:t>Future work should address three outstanding gaps. First, out-of-training-domain validation on natural samples at multiple tectonic settings. Second, integration with uncertainty-quantification frameworks that go beyond the split-conformal intervals reported here, including the analytical error propagation of Ágreda-López et al. (2024). Third, integration with foundation-model approaches that expose feature-attribution paths compatible with the SHAP runtime budget used here, so that pretrained tabular learners can be deployed alongside the standard interpretability bundle.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 prefix (first 8 characters)</w:t>
            </w:r>
          </w:p>
        </w:tc>
      </w:tr>
      <w:tr>
        <w:tc>
          <w:tcPr>
            <w:tcW w:type="dxa" w:w="4680"/>
          </w:tcPr>
          <w:p>
            <w:r/>
            <w:r>
              <w:rPr>
                <w:rFonts w:ascii="Calibri" w:hAnsi="Calibri"/>
                <w:sz w:val="20"/>
              </w:rPr>
              <w:t>`data/splits/opx_liq.parquet`</w:t>
            </w:r>
          </w:p>
        </w:tc>
        <w:tc>
          <w:tcPr>
            <w:tcW w:type="dxa" w:w="4680"/>
          </w:tcPr>
          <w:p>
            <w:r/>
            <w:r>
              <w:rPr>
                <w:rFonts w:ascii="Calibri" w:hAnsi="Calibri"/>
                <w:sz w:val="20"/>
              </w:rPr>
              <w:t>`0c15cc4f`</w:t>
            </w:r>
          </w:p>
        </w:tc>
      </w:tr>
      <w:tr>
        <w:tc>
          <w:tcPr>
            <w:tcW w:type="dxa" w:w="4680"/>
          </w:tcPr>
          <w:p>
            <w:r/>
            <w:r>
              <w:rPr>
                <w:rFonts w:ascii="Calibri" w:hAnsi="Calibri"/>
                <w:sz w:val="20"/>
              </w:rPr>
              <w:t>`data/splits/opx_only.parquet`</w:t>
            </w:r>
          </w:p>
        </w:tc>
        <w:tc>
          <w:tcPr>
            <w:tcW w:type="dxa" w:w="4680"/>
          </w:tcPr>
          <w:p>
            <w:r/>
            <w:r>
              <w:rPr>
                <w:rFonts w:ascii="Calibri" w:hAnsi="Calibri"/>
                <w:sz w:val="20"/>
              </w:rPr>
              <w:t>`c38fa83e`</w:t>
            </w:r>
          </w:p>
        </w:tc>
      </w:tr>
      <w:tr>
        <w:tc>
          <w:tcPr>
            <w:tcW w:type="dxa" w:w="4680"/>
          </w:tcPr>
          <w:p>
            <w:r/>
            <w:r>
              <w:rPr>
                <w:rFonts w:ascii="Calibri" w:hAnsi="Calibri"/>
                <w:sz w:val="20"/>
              </w:rPr>
              <w:t>`data/raw/ExPetDB.xlsx`</w:t>
            </w:r>
          </w:p>
        </w:tc>
        <w:tc>
          <w:tcPr>
            <w:tcW w:type="dxa" w:w="4680"/>
          </w:tcPr>
          <w:p>
            <w:r/>
            <w:r>
              <w:rPr>
                <w:rFonts w:ascii="Calibri" w:hAnsi="Calibri"/>
                <w:sz w:val="20"/>
              </w:rPr>
              <w:t>`8aebe073`</w:t>
            </w:r>
          </w:p>
        </w:tc>
      </w:tr>
    </w:tbl>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r>
        <w:t xml:space="preserve">- </w:t>
      </w:r>
      <w:r>
        <w:rPr>
          <w:rFonts w:ascii="Consolas" w:hAnsi="Consolas"/>
          <w:sz w:val="20"/>
        </w:rPr>
        <w:t>src/</w:t>
      </w:r>
      <w:r>
        <w:t xml:space="preserve">: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 - </w:t>
      </w:r>
      <w:r>
        <w:rPr>
          <w:rFonts w:ascii="Consolas" w:hAnsi="Consolas"/>
          <w:sz w:val="20"/>
        </w:rPr>
        <w:t>scripts/</w:t>
      </w:r>
      <w:r>
        <w:t xml:space="preserve">: runnable pipeline scripts including preprocessing, Optuna tuning, 20-seed training, bias-correction rescoring, and figure generation - </w:t>
      </w:r>
      <w:r>
        <w:rPr>
          <w:rFonts w:ascii="Consolas" w:hAnsi="Consolas"/>
          <w:sz w:val="20"/>
        </w:rPr>
        <w:t>notebooks/</w:t>
      </w:r>
      <w:r>
        <w:t xml:space="preserve">: per-pipeline analysis notebooks (nb01 through nb12) - </w:t>
      </w:r>
      <w:r>
        <w:rPr>
          <w:rFonts w:ascii="Consolas" w:hAnsi="Consolas"/>
          <w:sz w:val="20"/>
        </w:rPr>
        <w:t>docs/preregistration/</w:t>
      </w:r>
      <w:r>
        <w:t xml:space="preserve">: pre-registration documents, committed with lock dates visible in git history - </w:t>
      </w:r>
      <w:r>
        <w:rPr>
          <w:rFonts w:ascii="Consolas" w:hAnsi="Consolas"/>
          <w:sz w:val="20"/>
        </w:rPr>
        <w:t>results/</w:t>
      </w:r>
      <w:r>
        <w:t xml:space="preserve">: per-seed result CSVs, aggregated summaries, and scorecard files - </w:t>
      </w:r>
      <w:r>
        <w:rPr>
          <w:rFonts w:ascii="Consolas" w:hAnsi="Consolas"/>
          <w:sz w:val="20"/>
        </w:rPr>
        <w:t>figures/opx_only/</w:t>
      </w:r>
      <w:r>
        <w:t xml:space="preserve">: the 15 main figures and 14 supplementary figures referenced in the manuscript (PDF + PNG + caption TXT each) - </w:t>
      </w:r>
      <w:r>
        <w:rPr>
          <w:rFonts w:ascii="Consolas" w:hAnsi="Consolas"/>
          <w:sz w:val="20"/>
        </w:rPr>
        <w:t>manuscripts/opx_2026/</w:t>
      </w:r>
      <w:r>
        <w:t xml:space="preserve">: manuscript source files (Markdown), tables (CSV + LaTeX), and supplementary material - </w:t>
      </w:r>
      <w:r>
        <w:rPr>
          <w:rFonts w:ascii="Consolas" w:hAnsi="Consolas"/>
          <w:sz w:val="20"/>
        </w:rPr>
        <w:t>tests/</w:t>
      </w:r>
      <w:r>
        <w:t>: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r>
        <w:t xml:space="preserve">- </w:t>
      </w: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 - </w:t>
      </w: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the two opx pipelines and three feature sets took approximately 72 CPU-hours total; the 20-seed multiseed refit took approximately 40 CPU-hours; the bias-correction fit and rescore took approximately 2 CPU-hours.</w:t>
      </w:r>
    </w:p>
    <w:p>
      <w:pPr>
        <w:pStyle w:val="Heading2"/>
      </w:pPr>
      <w:r>
        <w:t>Use of Generative AI Tools</w:t>
      </w:r>
    </w:p>
    <w:p>
      <w:r>
        <w:t>During the preparation of this manuscript and the accompanying analysis pipeline, the lead author used Anthropic's Claude (claude-opus-4 family) for code generation and refactoring assistance, draft prose generation for selected manuscript sections, and parallel review of analytical decisions. Anthropic's Claude Code (a command-line agentic coding tool built on the Claude API) was used to execute multi-step pipeline modifications under direct authorial supervision. Google Gemini (Gemini 2.5 Pro) was used as an independent parallel reviewer on a subset of methodological decisions including bias-correction form selection and feature-set choice. All AI-generated code was reviewed, executed, and validated against the pre-registered test suite by the lead author before integration into the analysis pipeline. All AI-drafted prose was edited, fact-checked against primary sources, and rewritten as needed by the lead author before inclusion in the manuscript. The authors take full responsibility for the content, methodology, results, and conclusions presented in this work. AI tools are not listed as authors, consistent with the AGU policy on generative AI in manuscripts.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(original draft); Writing (review and editing); Project administration.</w:t>
      </w:r>
    </w:p>
    <w:p>
      <w:r>
        <w:rPr>
          <w:b/>
        </w:rPr>
        <w:t>Kanani K. M. Lee:</w:t>
      </w:r>
      <w:r>
        <w:t xml:space="preserve"> Conceptualization; Funding acquisition (USCGA cadet research support); Methodology (pre-registration discipline); Supervision; Resources; Writing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and Regime-Piecewise Bias Correction" for consideration at JGR: Machine Learning and Computation.</w:t>
      </w:r>
    </w:p>
    <w:p>
      <w:r>
        <w:t>The manuscript reports the first machine-learning thermobarometer trained specifically on orthopyroxene and evaluated under a pre-registered regime-stratified protocol. The principal finding is a 41.9 % aggregate RMSE reduction on opx-only pressure (10.35 to 6.05 kbar) against the best available classical barometer (Putirka 2008 equation 29c), unanimous across 20 random-seed train/test splits and winning every pre-registered pressure regime. The pipeline evaluates nine model families including TabPFN v2 (Hollmann et al., 2025) as a pretrained foundation-model peer.</w:t>
      </w:r>
    </w:p>
    <w:p>
      <w:r>
        <w:t>Three features fit JGR:MLC's scope rather than a traditional petrology venue.</w:t>
      </w:r>
    </w:p>
    <w:p>
      <w:r>
        <w:t>First, the full evaluation framework is pre-registered in version-controlled documents committed before any post-hoc correction was fit. Pre-registration is rare in ML thermobarometry; we adopt it here as an explicit, reviewer-visible discipline to make every analytical decision auditable, and we believe it complements the methodological progress of the past four years of ML-in-petrology work.</w:t>
      </w:r>
    </w:p>
    <w:p>
      <w:r>
        <w:t>Second, the manuscript builds on the regression-to-the-mean bias correction introduced by Agreda-Lopez et al. (2024, Computers &amp; Geosciences) for clinopyroxene and tests whether their quantile-thresholded piecewise correction transfers to orthopyroxene. We find that it does not transfer cleanly at opx sample sizes: Form B accepts on one of four opx cells at canonical seed only and is not rescued by the 15× Gaussian augmentation protocol that enables it on cpx. We present a regime-piecewise linear correction (Form A, motivated by Zhang and Lu, 2012) that accepts on three of four opx cells under a pre-registered tolerance-band rule. The head-to-head of Form A against Form B is a substantive methodological contribution to ML-in-petrology.</w:t>
      </w:r>
    </w:p>
    <w:p>
      <w:r>
        <w:t>Third, the manuscript reports an extensive set of honest nulls. Opx-liq temperature is effectively a null against the classical Putirka 28a thermometer. Form B does not transfer to opx data under the pre-registered tolerance. Opx-liq deeper-mantle (n = 8) fails the pre-registered n ≥ 20 honesty bar and is reported with no directional claim. These nulls are findings in their own right and strengthen the defensibility of the shipped claims.</w:t>
      </w:r>
    </w:p>
    <w:p>
      <w:r>
        <w:t xml:space="preserve">The work is ready for peer review. The evaluation framework (pre-registration,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We suggest the following reviewers based on subject-matter expertise; affiliations are best-effort at the time of writing and should be verified by the editorial office: - Dr. Maurizio Petrelli, University of Perugia (ML thermobarometry, Petrelli et al. 2020) - Dr. Monica Agreda-Lopez (ML bias correction for cpx, Agreda-Lopez et al. 2024) - Dr. Penny Wieser, UC Berkeley (Thermobar package, Wieser et al. 2022) - Dr. Corin Jorgenson (ML thermobarometry, Jorgenson et al. 2022)</w:t>
      </w:r>
    </w:p>
    <w:p>
      <w:r>
        <w:t>Any of the above can speak to the methodological correctness of the ML pipeline and the defensibility of our pre-registration and regime-stratification protocols. We request that Dr. Kanani K. M. Lee (USCGA, co-author) be excluded as reviewer due to co-authorship.</w:t>
      </w:r>
    </w:p>
    <w:p>
      <w:r>
        <w:t>Thank you for your consideration.</w:t>
      </w:r>
    </w:p>
    <w:p>
      <w:r>
        <w:t>Sincerely,</w:t>
      </w:r>
    </w:p>
    <w:p>
      <w:r>
        <w:t>________________________________________ NQTa Lead author and corresponding author United States Coast Guard Academy, New London, CT</w:t>
      </w:r>
    </w:p>
    <w:p>
      <w:r>
        <w:br w:type="page"/>
      </w:r>
    </w:p>
    <w:p>
      <w:pPr>
        <w:pStyle w:val="Heading1"/>
      </w:pPr>
      <w:r>
        <w:t>Figures and Tables (Main Text)</w:t>
      </w:r>
    </w:p>
    <w:p>
      <w:pPr>
        <w:jc w:val="center"/>
      </w:pPr>
      <w:r>
        <w:drawing>
          <wp:inline xmlns:a="http://schemas.openxmlformats.org/drawingml/2006/main" xmlns:pic="http://schemas.openxmlformats.org/drawingml/2006/picture">
            <wp:extent cx="5486400" cy="5616160"/>
            <wp:docPr id="1" name="Picture 1"/>
            <wp:cNvGraphicFramePr>
              <a:graphicFrameLocks noChangeAspect="1"/>
            </wp:cNvGraphicFramePr>
            <a:graphic>
              <a:graphicData uri="http://schemas.openxmlformats.org/drawingml/2006/picture">
                <pic:pic>
                  <pic:nvPicPr>
                    <pic:cNvPr id="0" name="main_fig_1.png"/>
                    <pic:cNvPicPr/>
                  </pic:nvPicPr>
                  <pic:blipFill>
                    <a:blip r:embed="rId10"/>
                    <a:stretch>
                      <a:fillRect/>
                    </a:stretch>
                  </pic:blipFill>
                  <pic:spPr>
                    <a:xfrm>
                      <a:off x="0" y="0"/>
                      <a:ext cx="5486400" cy="5616160"/>
                    </a:xfrm>
                    <a:prstGeom prst="rect"/>
                  </pic:spPr>
                </pic:pic>
              </a:graphicData>
            </a:graphic>
          </wp:inline>
        </w:drawing>
      </w:r>
    </w:p>
    <w:p>
      <w:pPr>
        <w:jc w:val="center"/>
      </w:pPr>
      <w:r>
        <w:rPr>
          <w:i/>
          <w:sz w:val="20"/>
        </w:rPr>
        <w:t>Figure 1. ExPetDB experimental coverage for the two opx pipelines, colored by pre-registered pressure regime. Panel a: opx + liquid (n = 600, 93 citations). Panel b: opx only (n = 1035, 123 citations). Train and test splits are citation-grouped at the 80/20 ratio with StratifiedGroupKFold. Coverage is densest in the shallow_crustal and deep_crustal_MASH regimes; deeper_mantle is the smallest partition and is reported without directional claims when its test count falls below 20.</w:t>
      </w:r>
    </w:p>
    <w:p>
      <w:pPr>
        <w:jc w:val="center"/>
      </w:pPr>
      <w:r>
        <w:drawing>
          <wp:inline xmlns:a="http://schemas.openxmlformats.org/drawingml/2006/main" xmlns:pic="http://schemas.openxmlformats.org/drawingml/2006/picture">
            <wp:extent cx="5486400" cy="5615492"/>
            <wp:docPr id="2" name="Picture 2"/>
            <wp:cNvGraphicFramePr>
              <a:graphicFrameLocks noChangeAspect="1"/>
            </wp:cNvGraphicFramePr>
            <a:graphic>
              <a:graphicData uri="http://schemas.openxmlformats.org/drawingml/2006/picture">
                <pic:pic>
                  <pic:nvPicPr>
                    <pic:cNvPr id="0" name="main_fig_2.png"/>
                    <pic:cNvPicPr/>
                  </pic:nvPicPr>
                  <pic:blipFill>
                    <a:blip r:embed="rId11"/>
                    <a:stretch>
                      <a:fillRect/>
                    </a:stretch>
                  </pic:blipFill>
                  <pic:spPr>
                    <a:xfrm>
                      <a:off x="0" y="0"/>
                      <a:ext cx="5486400" cy="5615492"/>
                    </a:xfrm>
                    <a:prstGeom prst="rect"/>
                  </pic:spPr>
                </pic:pic>
              </a:graphicData>
            </a:graphic>
          </wp:inline>
        </w:drawing>
      </w:r>
    </w:p>
    <w:p>
      <w:pPr>
        <w:jc w:val="center"/>
      </w:pPr>
      <w:r>
        <w:rPr>
          <w:i/>
          <w:sz w:val="20"/>
        </w:rPr>
        <w:t>Figure 2. Methods flowchart. Three phases: (1) data preprocessing with citation-grouped 80/20 split, KD = 0.23-0.35 Fe-Mg equilibrium filter for opx-liq, and three feature-engineering schemes evaluated in parallel; (2) nine-family model training with Optuna inner CV and a TabPFN v2 default-hyperparameter peer; (3) evaluation pipeline with 10-fold OOF residuals feeding bias-correction fitting and a held-out test partition for the canonical scorecard.</w:t>
      </w:r>
    </w:p>
    <w:p>
      <w:pPr>
        <w:jc w:val="center"/>
      </w:pPr>
      <w:r>
        <w:drawing>
          <wp:inline xmlns:a="http://schemas.openxmlformats.org/drawingml/2006/main" xmlns:pic="http://schemas.openxmlformats.org/drawingml/2006/picture">
            <wp:extent cx="5486400" cy="2141001"/>
            <wp:docPr id="3" name="Picture 3"/>
            <wp:cNvGraphicFramePr>
              <a:graphicFrameLocks noChangeAspect="1"/>
            </wp:cNvGraphicFramePr>
            <a:graphic>
              <a:graphicData uri="http://schemas.openxmlformats.org/drawingml/2006/picture">
                <pic:pic>
                  <pic:nvPicPr>
                    <pic:cNvPr id="0" name="main_fig_3.png"/>
                    <pic:cNvPicPr/>
                  </pic:nvPicPr>
                  <pic:blipFill>
                    <a:blip r:embed="rId12"/>
                    <a:stretch>
                      <a:fillRect/>
                    </a:stretch>
                  </pic:blipFill>
                  <pic:spPr>
                    <a:xfrm>
                      <a:off x="0" y="0"/>
                      <a:ext cx="5486400" cy="2141001"/>
                    </a:xfrm>
                    <a:prstGeom prst="rect"/>
                  </pic:spPr>
                </pic:pic>
              </a:graphicData>
            </a:graphic>
          </wp:inline>
        </w:drawing>
      </w:r>
    </w:p>
    <w:p>
      <w:pPr>
        <w:jc w:val="center"/>
      </w:pPr>
      <w:r>
        <w:rPr>
          <w:i/>
          <w:sz w:val="20"/>
        </w:rPr>
        <w:t>Figure 3. Cross-family RMSE heatmap on the held-out test partition across the two opx pipelines and two targets. Rows are model families; columns are (track, target) cells. Cell text is mean test RMSE across 20 seeds. Per-cell winners are framed in bold: ElasticNet for opx-liq T, MLP for opx-liq P, LightGBM for opx-only T, Random Forest for opx-only P. Four families win across the four cells, indicating no single architecture dominates at this sample size.</w:t>
      </w:r>
    </w:p>
    <w:p>
      <w:pPr>
        <w:jc w:val="center"/>
      </w:pPr>
      <w:r>
        <w:drawing>
          <wp:inline xmlns:a="http://schemas.openxmlformats.org/drawingml/2006/main" xmlns:pic="http://schemas.openxmlformats.org/drawingml/2006/picture">
            <wp:extent cx="5486400" cy="3587869"/>
            <wp:docPr id="4" name="Picture 4"/>
            <wp:cNvGraphicFramePr>
              <a:graphicFrameLocks noChangeAspect="1"/>
            </wp:cNvGraphicFramePr>
            <a:graphic>
              <a:graphicData uri="http://schemas.openxmlformats.org/drawingml/2006/picture">
                <pic:pic>
                  <pic:nvPicPr>
                    <pic:cNvPr id="0" name="main_fig_4.png"/>
                    <pic:cNvPicPr/>
                  </pic:nvPicPr>
                  <pic:blipFill>
                    <a:blip r:embed="rId13"/>
                    <a:stretch>
                      <a:fillRect/>
                    </a:stretch>
                  </pic:blipFill>
                  <pic:spPr>
                    <a:xfrm>
                      <a:off x="0" y="0"/>
                      <a:ext cx="5486400" cy="3587869"/>
                    </a:xfrm>
                    <a:prstGeom prst="rect"/>
                  </pic:spPr>
                </pic:pic>
              </a:graphicData>
            </a:graphic>
          </wp:inline>
        </w:drawing>
      </w:r>
    </w:p>
    <w:p>
      <w:pPr>
        <w:jc w:val="center"/>
      </w:pPr>
      <w:r>
        <w:rPr>
          <w:i/>
          <w:sz w:val="20"/>
        </w:rPr>
        <w:t>Figure 4. Bias-correction effect on per-regime test RMSE. For each of the four (track, target) opx cells, paired bars compare pre-correction (left) and post-correction (right) RMSE in the four pre-registered pressure regimes. Form A (regime-piecewise OLS) is the shipped form for opx-liq P, opx-only T, and opx-only P; Form B (quantile-thresholded sigmoid, after Agreda-Lopez et al. 2024) is shown for completeness on opx-liq T where it accepts marginally. The pre-registered tolerance band is overlaid: a regime is flagged as a degradation veto if post RMSE exceeds pre RMSE by more than max(absolute_floor, 10%% of pre RMSE) and that regime has n &gt;= 20.</w:t>
      </w:r>
    </w:p>
    <w:p>
      <w:pPr>
        <w:jc w:val="center"/>
      </w:pPr>
      <w:r>
        <w:drawing>
          <wp:inline xmlns:a="http://schemas.openxmlformats.org/drawingml/2006/main" xmlns:pic="http://schemas.openxmlformats.org/drawingml/2006/picture">
            <wp:extent cx="5486400" cy="4397345"/>
            <wp:docPr id="5" name="Picture 5"/>
            <wp:cNvGraphicFramePr>
              <a:graphicFrameLocks noChangeAspect="1"/>
            </wp:cNvGraphicFramePr>
            <a:graphic>
              <a:graphicData uri="http://schemas.openxmlformats.org/drawingml/2006/picture">
                <pic:pic>
                  <pic:nvPicPr>
                    <pic:cNvPr id="0" name="main_fig_5.png"/>
                    <pic:cNvPicPr/>
                  </pic:nvPicPr>
                  <pic:blipFill>
                    <a:blip r:embed="rId14"/>
                    <a:stretch>
                      <a:fillRect/>
                    </a:stretch>
                  </pic:blipFill>
                  <pic:spPr>
                    <a:xfrm>
                      <a:off x="0" y="0"/>
                      <a:ext cx="5486400" cy="4397345"/>
                    </a:xfrm>
                    <a:prstGeom prst="rect"/>
                  </pic:spPr>
                </pic:pic>
              </a:graphicData>
            </a:graphic>
          </wp:inline>
        </w:drawing>
      </w:r>
    </w:p>
    <w:p>
      <w:pPr>
        <w:jc w:val="center"/>
      </w:pPr>
      <w:r>
        <w:rPr>
          <w:i/>
          <w:sz w:val="20"/>
        </w:rPr>
        <w:t>Figure 5. Per-regime residual structure before and after bias correction, for each of the four opx cells. Top row: pre-correction residual violin plots stratified by pressure regime. Bottom row: post-correction residuals after the regime-piecewise correction is applied. Reduction in mean absolute residual is largest where the pre-correction model exhibits a regime-systematic offset; the opx-only P cell shows the cleanest improvement across all four regimes.</w:t>
      </w:r>
    </w:p>
    <w:p>
      <w:pPr>
        <w:jc w:val="center"/>
      </w:pPr>
      <w:r>
        <w:drawing>
          <wp:inline xmlns:a="http://schemas.openxmlformats.org/drawingml/2006/main" xmlns:pic="http://schemas.openxmlformats.org/drawingml/2006/picture">
            <wp:extent cx="5486400" cy="5589406"/>
            <wp:docPr id="6" name="Picture 6"/>
            <wp:cNvGraphicFramePr>
              <a:graphicFrameLocks noChangeAspect="1"/>
            </wp:cNvGraphicFramePr>
            <a:graphic>
              <a:graphicData uri="http://schemas.openxmlformats.org/drawingml/2006/picture">
                <pic:pic>
                  <pic:nvPicPr>
                    <pic:cNvPr id="0" name="main_fig_6.png"/>
                    <pic:cNvPicPr/>
                  </pic:nvPicPr>
                  <pic:blipFill>
                    <a:blip r:embed="rId15"/>
                    <a:stretch>
                      <a:fillRect/>
                    </a:stretch>
                  </pic:blipFill>
                  <pic:spPr>
                    <a:xfrm>
                      <a:off x="0" y="0"/>
                      <a:ext cx="5486400" cy="5589406"/>
                    </a:xfrm>
                    <a:prstGeom prst="rect"/>
                  </pic:spPr>
                </pic:pic>
              </a:graphicData>
            </a:graphic>
          </wp:inline>
        </w:drawing>
      </w:r>
    </w:p>
    <w:p>
      <w:pPr>
        <w:jc w:val="center"/>
      </w:pPr>
      <w:r>
        <w:rPr>
          <w:i/>
          <w:sz w:val="20"/>
        </w:rPr>
        <w:t>Figure 6. Per-regime scorecard delta between our post-bias-correction RMSE and the best-available external Putirka equation for the same (track, target, regime) cell. Green cells are wins for our method; red cells are wins for Putirka. Cell text is the absolute RMSE delta in the target unit (degrees C for T, kbar for P) followed by the family that produced the post-correction prediction. The opx-only P column is uniformly green: the Random Forest plus pairwise log-ratio features wins every pre-registered pressure regime against Putirka equation 29c.</w:t>
      </w:r>
    </w:p>
    <w:p>
      <w:pPr>
        <w:jc w:val="center"/>
      </w:pPr>
      <w:r>
        <w:drawing>
          <wp:inline xmlns:a="http://schemas.openxmlformats.org/drawingml/2006/main" xmlns:pic="http://schemas.openxmlformats.org/drawingml/2006/picture">
            <wp:extent cx="5486400" cy="4079934"/>
            <wp:docPr id="7" name="Picture 7"/>
            <wp:cNvGraphicFramePr>
              <a:graphicFrameLocks noChangeAspect="1"/>
            </wp:cNvGraphicFramePr>
            <a:graphic>
              <a:graphicData uri="http://schemas.openxmlformats.org/drawingml/2006/picture">
                <pic:pic>
                  <pic:nvPicPr>
                    <pic:cNvPr id="0" name="main_fig_7.png"/>
                    <pic:cNvPicPr/>
                  </pic:nvPicPr>
                  <pic:blipFill>
                    <a:blip r:embed="rId16"/>
                    <a:stretch>
                      <a:fillRect/>
                    </a:stretch>
                  </pic:blipFill>
                  <pic:spPr>
                    <a:xfrm>
                      <a:off x="0" y="0"/>
                      <a:ext cx="5486400" cy="4079934"/>
                    </a:xfrm>
                    <a:prstGeom prst="rect"/>
                  </pic:spPr>
                </pic:pic>
              </a:graphicData>
            </a:graphic>
          </wp:inline>
        </w:drawing>
      </w:r>
    </w:p>
    <w:p>
      <w:pPr>
        <w:jc w:val="center"/>
      </w:pPr>
      <w:r>
        <w:rPr>
          <w:i/>
          <w:sz w:val="20"/>
        </w:rPr>
        <w:t>Figure 7. Headline opx-only P scorecard for the four candidate shipping configurations: tuned pre-correction (gray), tuned post-correction Form A (blue), TabPFN pre-correction (orange), TabPFN post-correction Form A (green). Per-regime test RMSE in kbar with the pre-registered honesty bar (n &gt;= 20) marked. Form A on the tuned RF/pwlr winner reduces aggregate test RMSE from 10.35 to 6.05 kbar (-41.9%%) and beats Putirka equation 29c by 54.7%%.</w:t>
      </w:r>
    </w:p>
    <w:p>
      <w:pPr>
        <w:jc w:val="center"/>
      </w:pPr>
      <w:r>
        <w:drawing>
          <wp:inline xmlns:a="http://schemas.openxmlformats.org/drawingml/2006/main" xmlns:pic="http://schemas.openxmlformats.org/drawingml/2006/picture">
            <wp:extent cx="5486400" cy="4245064"/>
            <wp:docPr id="8" name="Picture 8"/>
            <wp:cNvGraphicFramePr>
              <a:graphicFrameLocks noChangeAspect="1"/>
            </wp:cNvGraphicFramePr>
            <a:graphic>
              <a:graphicData uri="http://schemas.openxmlformats.org/drawingml/2006/picture">
                <pic:pic>
                  <pic:nvPicPr>
                    <pic:cNvPr id="0" name="main_fig_8a.png"/>
                    <pic:cNvPicPr/>
                  </pic:nvPicPr>
                  <pic:blipFill>
                    <a:blip r:embed="rId17"/>
                    <a:stretch>
                      <a:fillRect/>
                    </a:stretch>
                  </pic:blipFill>
                  <pic:spPr>
                    <a:xfrm>
                      <a:off x="0" y="0"/>
                      <a:ext cx="5486400" cy="4245064"/>
                    </a:xfrm>
                    <a:prstGeom prst="rect"/>
                  </pic:spPr>
                </pic:pic>
              </a:graphicData>
            </a:graphic>
          </wp:inline>
        </w:drawing>
      </w:r>
    </w:p>
    <w:p>
      <w:pPr>
        <w:jc w:val="center"/>
      </w:pPr>
      <w:r>
        <w:rPr>
          <w:i/>
          <w:sz w:val="20"/>
        </w:rPr>
        <w:t>Figure 8a. Per-regime test RMSE by model family, opx pipelines only. Each panel is a (track, target, regime) cell; bar height is mean test RMSE across 20 seeds with one-sigma whiskers. Family colors are consistent across panels (Okabe-Ito palette). The shipped per-cell winner is highlighted in each panel.</w:t>
      </w:r>
    </w:p>
    <w:p>
      <w:pPr>
        <w:jc w:val="center"/>
      </w:pPr>
      <w:r>
        <w:drawing>
          <wp:inline xmlns:a="http://schemas.openxmlformats.org/drawingml/2006/main" xmlns:pic="http://schemas.openxmlformats.org/drawingml/2006/picture">
            <wp:extent cx="5486400" cy="5294964"/>
            <wp:docPr id="9" name="Picture 9"/>
            <wp:cNvGraphicFramePr>
              <a:graphicFrameLocks noChangeAspect="1"/>
            </wp:cNvGraphicFramePr>
            <a:graphic>
              <a:graphicData uri="http://schemas.openxmlformats.org/drawingml/2006/picture">
                <pic:pic>
                  <pic:nvPicPr>
                    <pic:cNvPr id="0" name="main_fig_8b.png"/>
                    <pic:cNvPicPr/>
                  </pic:nvPicPr>
                  <pic:blipFill>
                    <a:blip r:embed="rId18"/>
                    <a:stretch>
                      <a:fillRect/>
                    </a:stretch>
                  </pic:blipFill>
                  <pic:spPr>
                    <a:xfrm>
                      <a:off x="0" y="0"/>
                      <a:ext cx="5486400" cy="5294964"/>
                    </a:xfrm>
                    <a:prstGeom prst="rect"/>
                  </pic:spPr>
                </pic:pic>
              </a:graphicData>
            </a:graphic>
          </wp:inline>
        </w:drawing>
      </w:r>
    </w:p>
    <w:p>
      <w:pPr>
        <w:jc w:val="center"/>
      </w:pPr>
      <w:r>
        <w:rPr>
          <w:i/>
          <w:sz w:val="20"/>
        </w:rPr>
        <w:t>Figure 8b. Aggregate test RMSE by family across both opx pipelines and both targets, ordered left to right. The four cells share no single dominant family; this is the empirical justification for evaluating nine families and selecting per cell rather than pre-committing to one architecture.</w:t>
      </w:r>
    </w:p>
    <w:p>
      <w:pPr>
        <w:jc w:val="center"/>
      </w:pPr>
      <w:r>
        <w:drawing>
          <wp:inline xmlns:a="http://schemas.openxmlformats.org/drawingml/2006/main" xmlns:pic="http://schemas.openxmlformats.org/drawingml/2006/picture">
            <wp:extent cx="5486400" cy="5470806"/>
            <wp:docPr id="10" name="Picture 10"/>
            <wp:cNvGraphicFramePr>
              <a:graphicFrameLocks noChangeAspect="1"/>
            </wp:cNvGraphicFramePr>
            <a:graphic>
              <a:graphicData uri="http://schemas.openxmlformats.org/drawingml/2006/picture">
                <pic:pic>
                  <pic:nvPicPr>
                    <pic:cNvPr id="0" name="main_fig_9.png"/>
                    <pic:cNvPicPr/>
                  </pic:nvPicPr>
                  <pic:blipFill>
                    <a:blip r:embed="rId19"/>
                    <a:stretch>
                      <a:fillRect/>
                    </a:stretch>
                  </pic:blipFill>
                  <pic:spPr>
                    <a:xfrm>
                      <a:off x="0" y="0"/>
                      <a:ext cx="5486400" cy="5470806"/>
                    </a:xfrm>
                    <a:prstGeom prst="rect"/>
                  </pic:spPr>
                </pic:pic>
              </a:graphicData>
            </a:graphic>
          </wp:inline>
        </w:drawing>
      </w:r>
    </w:p>
    <w:p>
      <w:pPr>
        <w:jc w:val="center"/>
      </w:pPr>
      <w:r>
        <w:rPr>
          <w:i/>
          <w:sz w:val="20"/>
        </w:rPr>
        <w:t>Figure 9. Per-cell best ML method versus the corresponding best-available Putirka equation, on the held-out test partition. Bars are ordered: ML pre-correction, ML post-correction (shipped form), and Putirka. Labels report the absolute aggregate test RMSE in the target unit. The four opx cells all show the ML post-correction below Putirka.</w:t>
      </w:r>
    </w:p>
    <w:p>
      <w:pPr>
        <w:jc w:val="center"/>
      </w:pPr>
      <w:r>
        <w:drawing>
          <wp:inline xmlns:a="http://schemas.openxmlformats.org/drawingml/2006/main" xmlns:pic="http://schemas.openxmlformats.org/drawingml/2006/picture">
            <wp:extent cx="5486400" cy="2707175"/>
            <wp:docPr id="11" name="Picture 11"/>
            <wp:cNvGraphicFramePr>
              <a:graphicFrameLocks noChangeAspect="1"/>
            </wp:cNvGraphicFramePr>
            <a:graphic>
              <a:graphicData uri="http://schemas.openxmlformats.org/drawingml/2006/picture">
                <pic:pic>
                  <pic:nvPicPr>
                    <pic:cNvPr id="0" name="main_fig_10.png"/>
                    <pic:cNvPicPr/>
                  </pic:nvPicPr>
                  <pic:blipFill>
                    <a:blip r:embed="rId20"/>
                    <a:stretch>
                      <a:fillRect/>
                    </a:stretch>
                  </pic:blipFill>
                  <pic:spPr>
                    <a:xfrm>
                      <a:off x="0" y="0"/>
                      <a:ext cx="5486400" cy="2707175"/>
                    </a:xfrm>
                    <a:prstGeom prst="rect"/>
                  </pic:spPr>
                </pic:pic>
              </a:graphicData>
            </a:graphic>
          </wp:inline>
        </w:drawing>
      </w:r>
    </w:p>
    <w:p>
      <w:pPr>
        <w:jc w:val="center"/>
      </w:pPr>
      <w:r>
        <w:rPr>
          <w:i/>
          <w:sz w:val="20"/>
        </w:rPr>
        <w:t>Figure 10. SHAP feature importance for the best-explainable tuned family in each of the four opx (track, target) cells. Each panel shows the top 10 features ranked by mean absolute SHAP on the held-out test partition at canonical seed 42. Bar length is mean |SHAP| in the target native unit. Tree families use TreeExplainer (exact); ElasticNet uses LinearExplainer; MLP uses permutation importance as a SHAP surrogate.</w:t>
      </w:r>
    </w:p>
    <w:p>
      <w:pPr>
        <w:jc w:val="center"/>
      </w:pPr>
      <w:r>
        <w:drawing>
          <wp:inline xmlns:a="http://schemas.openxmlformats.org/drawingml/2006/main" xmlns:pic="http://schemas.openxmlformats.org/drawingml/2006/picture">
            <wp:extent cx="5486400" cy="3350536"/>
            <wp:docPr id="12" name="Picture 12"/>
            <wp:cNvGraphicFramePr>
              <a:graphicFrameLocks noChangeAspect="1"/>
            </wp:cNvGraphicFramePr>
            <a:graphic>
              <a:graphicData uri="http://schemas.openxmlformats.org/drawingml/2006/picture">
                <pic:pic>
                  <pic:nvPicPr>
                    <pic:cNvPr id="0" name="main_fig_11.png"/>
                    <pic:cNvPicPr/>
                  </pic:nvPicPr>
                  <pic:blipFill>
                    <a:blip r:embed="rId21"/>
                    <a:stretch>
                      <a:fillRect/>
                    </a:stretch>
                  </pic:blipFill>
                  <pic:spPr>
                    <a:xfrm>
                      <a:off x="0" y="0"/>
                      <a:ext cx="5486400" cy="3350536"/>
                    </a:xfrm>
                    <a:prstGeom prst="rect"/>
                  </pic:spPr>
                </pic:pic>
              </a:graphicData>
            </a:graphic>
          </wp:inline>
        </w:drawing>
      </w:r>
    </w:p>
    <w:p>
      <w:pPr>
        <w:jc w:val="center"/>
      </w:pPr>
      <w:r>
        <w:rPr>
          <w:i/>
          <w:sz w:val="20"/>
        </w:rPr>
        <w:t>Figure 11. Feature concordance heatmap. For each of the four opx (track, target) cells, pairwise Spearman rho across the eight tuned-family permutation-importance ranks. High median off-diagonal rho means families agree on what features matter; low rho means families disagree, which weakens any single-family interpretive claim about feature importance.</w:t>
      </w:r>
    </w:p>
    <w:p>
      <w:pPr>
        <w:jc w:val="center"/>
      </w:pPr>
      <w:r>
        <w:drawing>
          <wp:inline xmlns:a="http://schemas.openxmlformats.org/drawingml/2006/main" xmlns:pic="http://schemas.openxmlformats.org/drawingml/2006/picture">
            <wp:extent cx="5486400" cy="5017610"/>
            <wp:docPr id="13" name="Picture 13"/>
            <wp:cNvGraphicFramePr>
              <a:graphicFrameLocks noChangeAspect="1"/>
            </wp:cNvGraphicFramePr>
            <a:graphic>
              <a:graphicData uri="http://schemas.openxmlformats.org/drawingml/2006/picture">
                <pic:pic>
                  <pic:nvPicPr>
                    <pic:cNvPr id="0" name="main_fig_12.png"/>
                    <pic:cNvPicPr/>
                  </pic:nvPicPr>
                  <pic:blipFill>
                    <a:blip r:embed="rId22"/>
                    <a:stretch>
                      <a:fillRect/>
                    </a:stretch>
                  </pic:blipFill>
                  <pic:spPr>
                    <a:xfrm>
                      <a:off x="0" y="0"/>
                      <a:ext cx="5486400" cy="5017610"/>
                    </a:xfrm>
                    <a:prstGeom prst="rect"/>
                  </pic:spPr>
                </pic:pic>
              </a:graphicData>
            </a:graphic>
          </wp:inline>
        </w:drawing>
      </w:r>
    </w:p>
    <w:p>
      <w:pPr>
        <w:jc w:val="center"/>
      </w:pPr>
      <w:r>
        <w:rPr>
          <w:i/>
          <w:sz w:val="20"/>
        </w:rPr>
        <w:t>Figure 12. Classical-equivalence regression. For each of the four opx (track, target) cells, columns: (1) ML predicted versus classical-fit predicted in the target unit, with the 1:1 line and the per-cell tolerance band; (2) the classical-fit residuals; (3) the ML-minus-classical-fit disequilibrium map showing where the ML diverges from a closed-form classical functional form. High R^2 in column 1 means the ML prediction is approximately a classical formula plus a smooth residual; low R^2 means the ML is doing something a classical equation cannot capture.</w:t>
      </w:r>
    </w:p>
    <w:p>
      <w:pPr>
        <w:jc w:val="center"/>
      </w:pPr>
      <w:r>
        <w:drawing>
          <wp:inline xmlns:a="http://schemas.openxmlformats.org/drawingml/2006/main" xmlns:pic="http://schemas.openxmlformats.org/drawingml/2006/picture">
            <wp:extent cx="5486400" cy="5068336"/>
            <wp:docPr id="14" name="Picture 14"/>
            <wp:cNvGraphicFramePr>
              <a:graphicFrameLocks noChangeAspect="1"/>
            </wp:cNvGraphicFramePr>
            <a:graphic>
              <a:graphicData uri="http://schemas.openxmlformats.org/drawingml/2006/picture">
                <pic:pic>
                  <pic:nvPicPr>
                    <pic:cNvPr id="0" name="main_fig_13.png"/>
                    <pic:cNvPicPr/>
                  </pic:nvPicPr>
                  <pic:blipFill>
                    <a:blip r:embed="rId23"/>
                    <a:stretch>
                      <a:fillRect/>
                    </a:stretch>
                  </pic:blipFill>
                  <pic:spPr>
                    <a:xfrm>
                      <a:off x="0" y="0"/>
                      <a:ext cx="5486400" cy="5068336"/>
                    </a:xfrm>
                    <a:prstGeom prst="rect"/>
                  </pic:spPr>
                </pic:pic>
              </a:graphicData>
            </a:graphic>
          </wp:inline>
        </w:drawing>
      </w:r>
    </w:p>
    <w:p>
      <w:pPr>
        <w:jc w:val="center"/>
      </w:pPr>
      <w:r>
        <w:rPr>
          <w:i/>
          <w:sz w:val="20"/>
        </w:rPr>
        <w:t>Figure 13. Partial-dependence functions across the eight tuned families for the top three permutation-important features in each opx (track, target) cell. Family curves are colored consistently with the Okabe-Ito palette. Convergence across families on the same monotone shape supports the corresponding feature direction; divergence flags a feature whose effect is family-specific and should not be cited as a robust geological inference.</w:t>
      </w:r>
    </w:p>
    <w:p>
      <w:pPr>
        <w:jc w:val="center"/>
      </w:pPr>
      <w:r>
        <w:drawing>
          <wp:inline xmlns:a="http://schemas.openxmlformats.org/drawingml/2006/main" xmlns:pic="http://schemas.openxmlformats.org/drawingml/2006/picture">
            <wp:extent cx="5486400" cy="11318648"/>
            <wp:docPr id="15" name="Picture 15"/>
            <wp:cNvGraphicFramePr>
              <a:graphicFrameLocks noChangeAspect="1"/>
            </wp:cNvGraphicFramePr>
            <a:graphic>
              <a:graphicData uri="http://schemas.openxmlformats.org/drawingml/2006/picture">
                <pic:pic>
                  <pic:nvPicPr>
                    <pic:cNvPr id="0" name="main_fig_14.png"/>
                    <pic:cNvPicPr/>
                  </pic:nvPicPr>
                  <pic:blipFill>
                    <a:blip r:embed="rId24"/>
                    <a:stretch>
                      <a:fillRect/>
                    </a:stretch>
                  </pic:blipFill>
                  <pic:spPr>
                    <a:xfrm>
                      <a:off x="0" y="0"/>
                      <a:ext cx="5486400" cy="11318648"/>
                    </a:xfrm>
                    <a:prstGeom prst="rect"/>
                  </pic:spPr>
                </pic:pic>
              </a:graphicData>
            </a:graphic>
          </wp:inline>
        </w:drawing>
      </w:r>
    </w:p>
    <w:p>
      <w:pPr>
        <w:jc w:val="center"/>
      </w:pPr>
      <w:r>
        <w:rPr>
          <w:i/>
          <w:sz w:val="20"/>
        </w:rPr>
        <w:t>Figure 14. Surrogate decision trees fit to each per-cell winning model. A depth-3 tree is trained to predict the winning model output as a function of input features on the OOF training predictions; reported R^2 quantifies how well a small tree approximates the deeper learner. A high surrogate R^2 means the underlying model is dominated by a few axis-aligned splits; a low surrogate R^2 means the model uses richer structure (interactions, smoothness) that a tree cannot recover.</w:t>
      </w:r>
    </w:p>
    <w:p>
      <w:pPr>
        <w:pStyle w:val="Heading2"/>
      </w:pPr>
      <w:r>
        <w:t>Tables</w:t>
      </w:r>
    </w:p>
    <w:p>
      <w:r>
        <w:rPr>
          <w:i/>
          <w:sz w:val="20"/>
        </w:rPr>
        <w:t>Table 1. Corpus inventory after preprocessing. n = sample count post-filters; n_cit = unique citations.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Pipeline</w:t>
            </w:r>
          </w:p>
        </w:tc>
        <w:tc>
          <w:tcPr>
            <w:tcW w:type="dxa" w:w="1872"/>
          </w:tcPr>
          <w:p>
            <w:r/>
            <w:r>
              <w:rPr>
                <w:rFonts w:ascii="Calibri" w:hAnsi="Calibri"/>
                <w:b/>
                <w:sz w:val="20"/>
              </w:rPr>
              <w:t>n</w:t>
            </w:r>
          </w:p>
        </w:tc>
        <w:tc>
          <w:tcPr>
            <w:tcW w:type="dxa" w:w="1872"/>
          </w:tcPr>
          <w:p>
            <w:r/>
            <w:r>
              <w:rPr>
                <w:rFonts w:ascii="Calibri" w:hAnsi="Calibri"/>
                <w:b/>
                <w:sz w:val="20"/>
              </w:rPr>
              <w:t>n_cit</w:t>
            </w:r>
          </w:p>
        </w:tc>
        <w:tc>
          <w:tcPr>
            <w:tcW w:type="dxa" w:w="1872"/>
          </w:tcPr>
          <w:p>
            <w:r/>
            <w:r>
              <w:rPr>
                <w:rFonts w:ascii="Calibri" w:hAnsi="Calibri"/>
                <w:b/>
                <w:sz w:val="20"/>
              </w:rPr>
              <w:t>P range (kbar)</w:t>
            </w:r>
          </w:p>
        </w:tc>
        <w:tc>
          <w:tcPr>
            <w:tcW w:type="dxa" w:w="1872"/>
          </w:tcPr>
          <w:p>
            <w:r/>
            <w:r>
              <w:rPr>
                <w:rFonts w:ascii="Calibri" w:hAnsi="Calibri"/>
                <w:b/>
                <w:sz w:val="20"/>
              </w:rPr>
              <w:t>T range (deg C)</w:t>
            </w:r>
          </w:p>
        </w:tc>
      </w:tr>
      <w:tr>
        <w:tc>
          <w:tcPr>
            <w:tcW w:type="dxa" w:w="1872"/>
          </w:tcPr>
          <w:p>
            <w:r/>
            <w:r>
              <w:rPr>
                <w:rFonts w:ascii="Calibri" w:hAnsi="Calibri"/>
                <w:sz w:val="20"/>
              </w:rPr>
              <w:t>opx-liq</w:t>
            </w:r>
          </w:p>
        </w:tc>
        <w:tc>
          <w:tcPr>
            <w:tcW w:type="dxa" w:w="1872"/>
          </w:tcPr>
          <w:p>
            <w:r/>
            <w:r>
              <w:rPr>
                <w:rFonts w:ascii="Calibri" w:hAnsi="Calibri"/>
                <w:sz w:val="20"/>
              </w:rPr>
              <w:t>600</w:t>
            </w:r>
          </w:p>
        </w:tc>
        <w:tc>
          <w:tcPr>
            <w:tcW w:type="dxa" w:w="1872"/>
          </w:tcPr>
          <w:p>
            <w:r/>
            <w:r>
              <w:rPr>
                <w:rFonts w:ascii="Calibri" w:hAnsi="Calibri"/>
                <w:sz w:val="20"/>
              </w:rPr>
              <w:t>93</w:t>
            </w:r>
          </w:p>
        </w:tc>
        <w:tc>
          <w:tcPr>
            <w:tcW w:type="dxa" w:w="1872"/>
          </w:tcPr>
          <w:p>
            <w:r/>
            <w:r>
              <w:rPr>
                <w:rFonts w:ascii="Calibri" w:hAnsi="Calibri"/>
                <w:sz w:val="20"/>
              </w:rPr>
              <w:t>0-40.05</w:t>
            </w:r>
          </w:p>
        </w:tc>
        <w:tc>
          <w:tcPr>
            <w:tcW w:type="dxa" w:w="1872"/>
          </w:tcPr>
          <w:p>
            <w:r/>
            <w:r>
              <w:rPr>
                <w:rFonts w:ascii="Calibri" w:hAnsi="Calibri"/>
                <w:sz w:val="20"/>
              </w:rPr>
              <w:t>850-1660.1</w:t>
            </w:r>
          </w:p>
        </w:tc>
      </w:tr>
      <w:tr>
        <w:tc>
          <w:tcPr>
            <w:tcW w:type="dxa" w:w="1872"/>
          </w:tcPr>
          <w:p>
            <w:r/>
            <w:r>
              <w:rPr>
                <w:rFonts w:ascii="Calibri" w:hAnsi="Calibri"/>
                <w:sz w:val="20"/>
              </w:rPr>
              <w:t>opx-only</w:t>
            </w:r>
          </w:p>
        </w:tc>
        <w:tc>
          <w:tcPr>
            <w:tcW w:type="dxa" w:w="1872"/>
          </w:tcPr>
          <w:p>
            <w:r/>
            <w:r>
              <w:rPr>
                <w:rFonts w:ascii="Calibri" w:hAnsi="Calibri"/>
                <w:sz w:val="20"/>
              </w:rPr>
              <w:t>1035</w:t>
            </w:r>
          </w:p>
        </w:tc>
        <w:tc>
          <w:tcPr>
            <w:tcW w:type="dxa" w:w="1872"/>
          </w:tcPr>
          <w:p>
            <w:r/>
            <w:r>
              <w:rPr>
                <w:rFonts w:ascii="Calibri" w:hAnsi="Calibri"/>
                <w:sz w:val="20"/>
              </w:rPr>
              <w:t>123</w:t>
            </w:r>
          </w:p>
        </w:tc>
        <w:tc>
          <w:tcPr>
            <w:tcW w:type="dxa" w:w="1872"/>
          </w:tcPr>
          <w:p>
            <w:r/>
            <w:r>
              <w:rPr>
                <w:rFonts w:ascii="Calibri" w:hAnsi="Calibri"/>
                <w:sz w:val="20"/>
              </w:rPr>
              <w:t>0-60</w:t>
            </w:r>
          </w:p>
        </w:tc>
        <w:tc>
          <w:tcPr>
            <w:tcW w:type="dxa" w:w="1872"/>
          </w:tcPr>
          <w:p>
            <w:r/>
            <w:r>
              <w:rPr>
                <w:rFonts w:ascii="Calibri" w:hAnsi="Calibri"/>
                <w:sz w:val="20"/>
              </w:rPr>
              <w:t>850-1656.6</w:t>
            </w:r>
          </w:p>
        </w:tc>
      </w:tr>
    </w:tbl>
    <w:p>
      <w:r>
        <w:rPr>
          <w:i/>
          <w:sz w:val="20"/>
        </w:rPr>
        <w:t>Table 2. Per-cell winning model, feature set, and aggregate test RMSE with 95% bootstrap confidence intervals.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Calibri" w:hAnsi="Calibri"/>
                <w:b/>
                <w:sz w:val="20"/>
              </w:rPr>
              <w:t>Track</w:t>
            </w:r>
          </w:p>
        </w:tc>
        <w:tc>
          <w:tcPr>
            <w:tcW w:type="dxa" w:w="1337"/>
          </w:tcPr>
          <w:p>
            <w:r/>
            <w:r>
              <w:rPr>
                <w:rFonts w:ascii="Calibri" w:hAnsi="Calibri"/>
                <w:b/>
                <w:sz w:val="20"/>
              </w:rPr>
              <w:t>Target</w:t>
            </w:r>
          </w:p>
        </w:tc>
        <w:tc>
          <w:tcPr>
            <w:tcW w:type="dxa" w:w="1337"/>
          </w:tcPr>
          <w:p>
            <w:r/>
            <w:r>
              <w:rPr>
                <w:rFonts w:ascii="Calibri" w:hAnsi="Calibri"/>
                <w:b/>
                <w:sz w:val="20"/>
              </w:rPr>
              <w:t>Best model</w:t>
            </w:r>
          </w:p>
        </w:tc>
        <w:tc>
          <w:tcPr>
            <w:tcW w:type="dxa" w:w="1337"/>
          </w:tcPr>
          <w:p>
            <w:r/>
            <w:r>
              <w:rPr>
                <w:rFonts w:ascii="Calibri" w:hAnsi="Calibri"/>
                <w:b/>
                <w:sz w:val="20"/>
              </w:rPr>
              <w:t>Feature set</w:t>
            </w:r>
          </w:p>
        </w:tc>
        <w:tc>
          <w:tcPr>
            <w:tcW w:type="dxa" w:w="1337"/>
          </w:tcPr>
          <w:p>
            <w:r/>
            <w:r>
              <w:rPr>
                <w:rFonts w:ascii="Calibri" w:hAnsi="Calibri"/>
                <w:b/>
                <w:sz w:val="20"/>
              </w:rPr>
              <w:t>RMSE (point)</w:t>
            </w:r>
          </w:p>
        </w:tc>
        <w:tc>
          <w:tcPr>
            <w:tcW w:type="dxa" w:w="1337"/>
          </w:tcPr>
          <w:p>
            <w:r/>
            <w:r>
              <w:rPr>
                <w:rFonts w:ascii="Calibri" w:hAnsi="Calibri"/>
                <w:b/>
                <w:sz w:val="20"/>
              </w:rPr>
              <w:t>95% CI</w:t>
            </w:r>
          </w:p>
        </w:tc>
        <w:tc>
          <w:tcPr>
            <w:tcW w:type="dxa" w:w="1337"/>
          </w:tcPr>
          <w:p>
            <w:r/>
            <w:r>
              <w:rPr>
                <w:rFonts w:ascii="Calibri" w:hAnsi="Calibri"/>
                <w:b/>
                <w:sz w:val="20"/>
              </w:rPr>
              <w:t>n_test</w:t>
            </w:r>
          </w:p>
        </w:tc>
      </w:tr>
      <w:tr>
        <w:tc>
          <w:tcPr>
            <w:tcW w:type="dxa" w:w="1337"/>
          </w:tcPr>
          <w:p>
            <w:r/>
            <w:r>
              <w:rPr>
                <w:rFonts w:ascii="Calibri" w:hAnsi="Calibri"/>
                <w:sz w:val="20"/>
              </w:rPr>
              <w:t>opx-liq</w:t>
            </w:r>
          </w:p>
        </w:tc>
        <w:tc>
          <w:tcPr>
            <w:tcW w:type="dxa" w:w="1337"/>
          </w:tcPr>
          <w:p>
            <w:r/>
            <w:r>
              <w:rPr>
                <w:rFonts w:ascii="Calibri" w:hAnsi="Calibri"/>
                <w:sz w:val="20"/>
              </w:rPr>
              <w:t>T (deg C)</w:t>
            </w:r>
          </w:p>
        </w:tc>
        <w:tc>
          <w:tcPr>
            <w:tcW w:type="dxa" w:w="1337"/>
          </w:tcPr>
          <w:p>
            <w:r/>
            <w:r>
              <w:rPr>
                <w:rFonts w:ascii="Calibri" w:hAnsi="Calibri"/>
                <w:sz w:val="20"/>
              </w:rPr>
              <w:t>ElasticNet</w:t>
            </w:r>
          </w:p>
        </w:tc>
        <w:tc>
          <w:tcPr>
            <w:tcW w:type="dxa" w:w="1337"/>
          </w:tcPr>
          <w:p>
            <w:r/>
            <w:r>
              <w:rPr>
                <w:rFonts w:ascii="Calibri" w:hAnsi="Calibri"/>
                <w:sz w:val="20"/>
              </w:rPr>
              <w:t>raw</w:t>
            </w:r>
          </w:p>
        </w:tc>
        <w:tc>
          <w:tcPr>
            <w:tcW w:type="dxa" w:w="1337"/>
          </w:tcPr>
          <w:p>
            <w:r/>
            <w:r>
              <w:rPr>
                <w:rFonts w:ascii="Calibri" w:hAnsi="Calibri"/>
                <w:sz w:val="20"/>
              </w:rPr>
              <w:t>77.06</w:t>
            </w:r>
          </w:p>
        </w:tc>
        <w:tc>
          <w:tcPr>
            <w:tcW w:type="dxa" w:w="1337"/>
          </w:tcPr>
          <w:p>
            <w:r/>
            <w:r>
              <w:rPr>
                <w:rFonts w:ascii="Calibri" w:hAnsi="Calibri"/>
                <w:sz w:val="20"/>
              </w:rPr>
              <w:t>[61.81, 92.73]</w:t>
            </w:r>
          </w:p>
        </w:tc>
        <w:tc>
          <w:tcPr>
            <w:tcW w:type="dxa" w:w="1337"/>
          </w:tcPr>
          <w:p>
            <w:r/>
            <w:r>
              <w:rPr>
                <w:rFonts w:ascii="Calibri" w:hAnsi="Calibri"/>
                <w:sz w:val="20"/>
              </w:rPr>
              <w:t>174</w:t>
            </w:r>
          </w:p>
        </w:tc>
      </w:tr>
      <w:tr>
        <w:tc>
          <w:tcPr>
            <w:tcW w:type="dxa" w:w="1337"/>
          </w:tcPr>
          <w:p>
            <w:r/>
            <w:r>
              <w:rPr>
                <w:rFonts w:ascii="Calibri" w:hAnsi="Calibri"/>
                <w:sz w:val="20"/>
              </w:rPr>
              <w:t>opx-liq</w:t>
            </w:r>
          </w:p>
        </w:tc>
        <w:tc>
          <w:tcPr>
            <w:tcW w:type="dxa" w:w="1337"/>
          </w:tcPr>
          <w:p>
            <w:r/>
            <w:r>
              <w:rPr>
                <w:rFonts w:ascii="Calibri" w:hAnsi="Calibri"/>
                <w:sz w:val="20"/>
              </w:rPr>
              <w:t>P (kbar)</w:t>
            </w:r>
          </w:p>
        </w:tc>
        <w:tc>
          <w:tcPr>
            <w:tcW w:type="dxa" w:w="1337"/>
          </w:tcPr>
          <w:p>
            <w:r/>
            <w:r>
              <w:rPr>
                <w:rFonts w:ascii="Calibri" w:hAnsi="Calibri"/>
                <w:sz w:val="20"/>
              </w:rPr>
              <w:t>MLP</w:t>
            </w:r>
          </w:p>
        </w:tc>
        <w:tc>
          <w:tcPr>
            <w:tcW w:type="dxa" w:w="1337"/>
          </w:tcPr>
          <w:p>
            <w:r/>
            <w:r>
              <w:rPr>
                <w:rFonts w:ascii="Calibri" w:hAnsi="Calibri"/>
                <w:sz w:val="20"/>
              </w:rPr>
              <w:t>raw</w:t>
            </w:r>
          </w:p>
        </w:tc>
        <w:tc>
          <w:tcPr>
            <w:tcW w:type="dxa" w:w="1337"/>
          </w:tcPr>
          <w:p>
            <w:r/>
            <w:r>
              <w:rPr>
                <w:rFonts w:ascii="Calibri" w:hAnsi="Calibri"/>
                <w:sz w:val="20"/>
              </w:rPr>
              <w:t>4.4</w:t>
            </w:r>
          </w:p>
        </w:tc>
        <w:tc>
          <w:tcPr>
            <w:tcW w:type="dxa" w:w="1337"/>
          </w:tcPr>
          <w:p>
            <w:r/>
            <w:r>
              <w:rPr>
                <w:rFonts w:ascii="Calibri" w:hAnsi="Calibri"/>
                <w:sz w:val="20"/>
              </w:rPr>
              <w:t>[3.08, 4.54]</w:t>
            </w:r>
          </w:p>
        </w:tc>
        <w:tc>
          <w:tcPr>
            <w:tcW w:type="dxa" w:w="1337"/>
          </w:tcPr>
          <w:p>
            <w:r/>
            <w:r>
              <w:rPr>
                <w:rFonts w:ascii="Calibri" w:hAnsi="Calibri"/>
                <w:sz w:val="20"/>
              </w:rPr>
              <w:t>174</w:t>
            </w:r>
          </w:p>
        </w:tc>
      </w:tr>
      <w:tr>
        <w:tc>
          <w:tcPr>
            <w:tcW w:type="dxa" w:w="1337"/>
          </w:tcPr>
          <w:p>
            <w:r/>
            <w:r>
              <w:rPr>
                <w:rFonts w:ascii="Calibri" w:hAnsi="Calibri"/>
                <w:sz w:val="20"/>
              </w:rPr>
              <w:t>opx-only</w:t>
            </w:r>
          </w:p>
        </w:tc>
        <w:tc>
          <w:tcPr>
            <w:tcW w:type="dxa" w:w="1337"/>
          </w:tcPr>
          <w:p>
            <w:r/>
            <w:r>
              <w:rPr>
                <w:rFonts w:ascii="Calibri" w:hAnsi="Calibri"/>
                <w:sz w:val="20"/>
              </w:rPr>
              <w:t>T (deg C)</w:t>
            </w:r>
          </w:p>
        </w:tc>
        <w:tc>
          <w:tcPr>
            <w:tcW w:type="dxa" w:w="1337"/>
          </w:tcPr>
          <w:p>
            <w:r/>
            <w:r>
              <w:rPr>
                <w:rFonts w:ascii="Calibri" w:hAnsi="Calibri"/>
                <w:sz w:val="20"/>
              </w:rPr>
              <w:t>LightGBM</w:t>
            </w:r>
          </w:p>
        </w:tc>
        <w:tc>
          <w:tcPr>
            <w:tcW w:type="dxa" w:w="1337"/>
          </w:tcPr>
          <w:p>
            <w:r/>
            <w:r>
              <w:rPr>
                <w:rFonts w:ascii="Calibri" w:hAnsi="Calibri"/>
                <w:sz w:val="20"/>
              </w:rPr>
              <w:t>alr</w:t>
            </w:r>
          </w:p>
        </w:tc>
        <w:tc>
          <w:tcPr>
            <w:tcW w:type="dxa" w:w="1337"/>
          </w:tcPr>
          <w:p>
            <w:r/>
            <w:r>
              <w:rPr>
                <w:rFonts w:ascii="Calibri" w:hAnsi="Calibri"/>
                <w:sz w:val="20"/>
              </w:rPr>
              <w:t>146.63</w:t>
            </w:r>
          </w:p>
        </w:tc>
        <w:tc>
          <w:tcPr>
            <w:tcW w:type="dxa" w:w="1337"/>
          </w:tcPr>
          <w:p>
            <w:r/>
            <w:r>
              <w:rPr>
                <w:rFonts w:ascii="Calibri" w:hAnsi="Calibri"/>
                <w:sz w:val="20"/>
              </w:rPr>
              <w:t>[121.19, 170.00]</w:t>
            </w:r>
          </w:p>
        </w:tc>
        <w:tc>
          <w:tcPr>
            <w:tcW w:type="dxa" w:w="1337"/>
          </w:tcPr>
          <w:p>
            <w:r/>
            <w:r>
              <w:rPr>
                <w:rFonts w:ascii="Calibri" w:hAnsi="Calibri"/>
                <w:sz w:val="20"/>
              </w:rPr>
              <w:t>190</w:t>
            </w:r>
          </w:p>
        </w:tc>
      </w:tr>
      <w:tr>
        <w:tc>
          <w:tcPr>
            <w:tcW w:type="dxa" w:w="1337"/>
          </w:tcPr>
          <w:p>
            <w:r/>
            <w:r>
              <w:rPr>
                <w:rFonts w:ascii="Calibri" w:hAnsi="Calibri"/>
                <w:sz w:val="20"/>
              </w:rPr>
              <w:t>opx-only</w:t>
            </w:r>
          </w:p>
        </w:tc>
        <w:tc>
          <w:tcPr>
            <w:tcW w:type="dxa" w:w="1337"/>
          </w:tcPr>
          <w:p>
            <w:r/>
            <w:r>
              <w:rPr>
                <w:rFonts w:ascii="Calibri" w:hAnsi="Calibri"/>
                <w:sz w:val="20"/>
              </w:rPr>
              <w:t>P (kbar)</w:t>
            </w:r>
          </w:p>
        </w:tc>
        <w:tc>
          <w:tcPr>
            <w:tcW w:type="dxa" w:w="1337"/>
          </w:tcPr>
          <w:p>
            <w:r/>
            <w:r>
              <w:rPr>
                <w:rFonts w:ascii="Calibri" w:hAnsi="Calibri"/>
                <w:sz w:val="20"/>
              </w:rPr>
              <w:t>RF</w:t>
            </w:r>
          </w:p>
        </w:tc>
        <w:tc>
          <w:tcPr>
            <w:tcW w:type="dxa" w:w="1337"/>
          </w:tcPr>
          <w:p>
            <w:r/>
            <w:r>
              <w:rPr>
                <w:rFonts w:ascii="Calibri" w:hAnsi="Calibri"/>
                <w:sz w:val="20"/>
              </w:rPr>
              <w:t>pwlr</w:t>
            </w:r>
          </w:p>
        </w:tc>
        <w:tc>
          <w:tcPr>
            <w:tcW w:type="dxa" w:w="1337"/>
          </w:tcPr>
          <w:p>
            <w:r/>
            <w:r>
              <w:rPr>
                <w:rFonts w:ascii="Calibri" w:hAnsi="Calibri"/>
                <w:sz w:val="20"/>
              </w:rPr>
              <w:t>10.35</w:t>
            </w:r>
          </w:p>
        </w:tc>
        <w:tc>
          <w:tcPr>
            <w:tcW w:type="dxa" w:w="1337"/>
          </w:tcPr>
          <w:p>
            <w:r/>
            <w:r>
              <w:rPr>
                <w:rFonts w:ascii="Calibri" w:hAnsi="Calibri"/>
                <w:sz w:val="20"/>
              </w:rPr>
              <w:t>[6.90, 13.92]</w:t>
            </w:r>
          </w:p>
        </w:tc>
        <w:tc>
          <w:tcPr>
            <w:tcW w:type="dxa" w:w="1337"/>
          </w:tcPr>
          <w:p>
            <w:r/>
            <w:r>
              <w:rPr>
                <w:rFonts w:ascii="Calibri" w:hAnsi="Calibri"/>
                <w:sz w:val="20"/>
              </w:rPr>
              <w:t>190</w:t>
            </w:r>
          </w:p>
        </w:tc>
      </w:tr>
    </w:tbl>
    <w:p>
      <w:r>
        <w:rPr>
          <w:i/>
          <w:sz w:val="20"/>
        </w:rPr>
        <w:t>Table 3. Bias-correction shipped form, pre/post RMSE, percent reduction.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rFonts w:ascii="Calibri" w:hAnsi="Calibri"/>
                <w:b/>
                <w:sz w:val="20"/>
              </w:rPr>
              <w:t>pipeline</w:t>
            </w:r>
          </w:p>
        </w:tc>
        <w:tc>
          <w:tcPr>
            <w:tcW w:type="dxa" w:w="1040"/>
          </w:tcPr>
          <w:p>
            <w:r/>
            <w:r>
              <w:rPr>
                <w:rFonts w:ascii="Calibri" w:hAnsi="Calibri"/>
                <w:b/>
                <w:sz w:val="20"/>
              </w:rPr>
              <w:t>track</w:t>
            </w:r>
          </w:p>
        </w:tc>
        <w:tc>
          <w:tcPr>
            <w:tcW w:type="dxa" w:w="1040"/>
          </w:tcPr>
          <w:p>
            <w:r/>
            <w:r>
              <w:rPr>
                <w:rFonts w:ascii="Calibri" w:hAnsi="Calibri"/>
                <w:b/>
                <w:sz w:val="20"/>
              </w:rPr>
              <w:t>target</w:t>
            </w:r>
          </w:p>
        </w:tc>
        <w:tc>
          <w:tcPr>
            <w:tcW w:type="dxa" w:w="1040"/>
          </w:tcPr>
          <w:p>
            <w:r/>
            <w:r>
              <w:rPr>
                <w:rFonts w:ascii="Calibri" w:hAnsi="Calibri"/>
                <w:b/>
                <w:sz w:val="20"/>
              </w:rPr>
              <w:t>model</w:t>
            </w:r>
          </w:p>
        </w:tc>
        <w:tc>
          <w:tcPr>
            <w:tcW w:type="dxa" w:w="1040"/>
          </w:tcPr>
          <w:p>
            <w:r/>
            <w:r>
              <w:rPr>
                <w:rFonts w:ascii="Calibri" w:hAnsi="Calibri"/>
                <w:b/>
                <w:sz w:val="20"/>
              </w:rPr>
              <w:t>shipped_form</w:t>
            </w:r>
          </w:p>
        </w:tc>
        <w:tc>
          <w:tcPr>
            <w:tcW w:type="dxa" w:w="1040"/>
          </w:tcPr>
          <w:p>
            <w:r/>
            <w:r>
              <w:rPr>
                <w:rFonts w:ascii="Calibri" w:hAnsi="Calibri"/>
                <w:b/>
                <w:sz w:val="20"/>
              </w:rPr>
              <w:t>pre_RMSE_test</w:t>
            </w:r>
          </w:p>
        </w:tc>
        <w:tc>
          <w:tcPr>
            <w:tcW w:type="dxa" w:w="1040"/>
          </w:tcPr>
          <w:p>
            <w:r/>
            <w:r>
              <w:rPr>
                <w:rFonts w:ascii="Calibri" w:hAnsi="Calibri"/>
                <w:b/>
                <w:sz w:val="20"/>
              </w:rPr>
              <w:t>post_RMSE_test</w:t>
            </w:r>
          </w:p>
        </w:tc>
        <w:tc>
          <w:tcPr>
            <w:tcW w:type="dxa" w:w="1040"/>
          </w:tcPr>
          <w:p>
            <w:r/>
            <w:r>
              <w:rPr>
                <w:rFonts w:ascii="Calibri" w:hAnsi="Calibri"/>
                <w:b/>
                <w:sz w:val="20"/>
              </w:rPr>
              <w:t>delta_RMSE</w:t>
            </w:r>
          </w:p>
        </w:tc>
        <w:tc>
          <w:tcPr>
            <w:tcW w:type="dxa" w:w="1040"/>
          </w:tcPr>
          <w:p>
            <w:r/>
            <w:r>
              <w:rPr>
                <w:rFonts w:ascii="Calibri" w:hAnsi="Calibri"/>
                <w:b/>
                <w:sz w:val="20"/>
              </w:rPr>
              <w:t>pct_reduction</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T_C</w:t>
            </w:r>
          </w:p>
        </w:tc>
        <w:tc>
          <w:tcPr>
            <w:tcW w:type="dxa" w:w="1040"/>
          </w:tcPr>
          <w:p>
            <w:r/>
            <w:r>
              <w:rPr>
                <w:rFonts w:ascii="Calibri" w:hAnsi="Calibri"/>
                <w:sz w:val="20"/>
              </w:rPr>
              <w:t>ElasticNet/raw</w:t>
            </w:r>
          </w:p>
        </w:tc>
        <w:tc>
          <w:tcPr>
            <w:tcW w:type="dxa" w:w="1040"/>
          </w:tcPr>
          <w:p>
            <w:r/>
            <w:r>
              <w:rPr>
                <w:rFonts w:ascii="Calibri" w:hAnsi="Calibri"/>
                <w:sz w:val="20"/>
              </w:rPr>
              <w:t>B</w:t>
            </w:r>
          </w:p>
        </w:tc>
        <w:tc>
          <w:tcPr>
            <w:tcW w:type="dxa" w:w="1040"/>
          </w:tcPr>
          <w:p>
            <w:r/>
            <w:r>
              <w:rPr>
                <w:rFonts w:ascii="Calibri" w:hAnsi="Calibri"/>
                <w:sz w:val="20"/>
              </w:rPr>
              <w:t>77.062</w:t>
            </w:r>
          </w:p>
        </w:tc>
        <w:tc>
          <w:tcPr>
            <w:tcW w:type="dxa" w:w="1040"/>
          </w:tcPr>
          <w:p>
            <w:r/>
            <w:r>
              <w:rPr>
                <w:rFonts w:ascii="Calibri" w:hAnsi="Calibri"/>
                <w:sz w:val="20"/>
              </w:rPr>
              <w:t>76.417</w:t>
            </w:r>
          </w:p>
        </w:tc>
        <w:tc>
          <w:tcPr>
            <w:tcW w:type="dxa" w:w="1040"/>
          </w:tcPr>
          <w:p>
            <w:r/>
            <w:r>
              <w:rPr>
                <w:rFonts w:ascii="Calibri" w:hAnsi="Calibri"/>
                <w:sz w:val="20"/>
              </w:rPr>
              <w:t>0.645</w:t>
            </w:r>
          </w:p>
        </w:tc>
        <w:tc>
          <w:tcPr>
            <w:tcW w:type="dxa" w:w="1040"/>
          </w:tcPr>
          <w:p>
            <w:r/>
            <w:r>
              <w:rPr>
                <w:rFonts w:ascii="Calibri" w:hAnsi="Calibri"/>
                <w:sz w:val="20"/>
              </w:rPr>
              <w:t>0.84</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P_kbar</w:t>
            </w:r>
          </w:p>
        </w:tc>
        <w:tc>
          <w:tcPr>
            <w:tcW w:type="dxa" w:w="1040"/>
          </w:tcPr>
          <w:p>
            <w:r/>
            <w:r>
              <w:rPr>
                <w:rFonts w:ascii="Calibri" w:hAnsi="Calibri"/>
                <w:sz w:val="20"/>
              </w:rPr>
              <w:t>MLP/raw</w:t>
            </w:r>
          </w:p>
        </w:tc>
        <w:tc>
          <w:tcPr>
            <w:tcW w:type="dxa" w:w="1040"/>
          </w:tcPr>
          <w:p>
            <w:r/>
            <w:r>
              <w:rPr>
                <w:rFonts w:ascii="Calibri" w:hAnsi="Calibri"/>
                <w:sz w:val="20"/>
              </w:rPr>
              <w:t>A</w:t>
            </w:r>
          </w:p>
        </w:tc>
        <w:tc>
          <w:tcPr>
            <w:tcW w:type="dxa" w:w="1040"/>
          </w:tcPr>
          <w:p>
            <w:r/>
            <w:r>
              <w:rPr>
                <w:rFonts w:ascii="Calibri" w:hAnsi="Calibri"/>
                <w:sz w:val="20"/>
              </w:rPr>
              <w:t>4.404</w:t>
            </w:r>
          </w:p>
        </w:tc>
        <w:tc>
          <w:tcPr>
            <w:tcW w:type="dxa" w:w="1040"/>
          </w:tcPr>
          <w:p>
            <w:r/>
            <w:r>
              <w:rPr>
                <w:rFonts w:ascii="Calibri" w:hAnsi="Calibri"/>
                <w:sz w:val="20"/>
              </w:rPr>
              <w:t>3.171</w:t>
            </w:r>
          </w:p>
        </w:tc>
        <w:tc>
          <w:tcPr>
            <w:tcW w:type="dxa" w:w="1040"/>
          </w:tcPr>
          <w:p>
            <w:r/>
            <w:r>
              <w:rPr>
                <w:rFonts w:ascii="Calibri" w:hAnsi="Calibri"/>
                <w:sz w:val="20"/>
              </w:rPr>
              <w:t>1.233</w:t>
            </w:r>
          </w:p>
        </w:tc>
        <w:tc>
          <w:tcPr>
            <w:tcW w:type="dxa" w:w="1040"/>
          </w:tcPr>
          <w:p>
            <w:r/>
            <w:r>
              <w:rPr>
                <w:rFonts w:ascii="Calibri" w:hAnsi="Calibri"/>
                <w:sz w:val="20"/>
              </w:rPr>
              <w:t>28.0</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T_C</w:t>
            </w:r>
          </w:p>
        </w:tc>
        <w:tc>
          <w:tcPr>
            <w:tcW w:type="dxa" w:w="1040"/>
          </w:tcPr>
          <w:p>
            <w:r/>
            <w:r>
              <w:rPr>
                <w:rFonts w:ascii="Calibri" w:hAnsi="Calibri"/>
                <w:sz w:val="20"/>
              </w:rPr>
              <w:t>LightGBM/alr</w:t>
            </w:r>
          </w:p>
        </w:tc>
        <w:tc>
          <w:tcPr>
            <w:tcW w:type="dxa" w:w="1040"/>
          </w:tcPr>
          <w:p>
            <w:r/>
            <w:r>
              <w:rPr>
                <w:rFonts w:ascii="Calibri" w:hAnsi="Calibri"/>
                <w:sz w:val="20"/>
              </w:rPr>
              <w:t>A</w:t>
            </w:r>
          </w:p>
        </w:tc>
        <w:tc>
          <w:tcPr>
            <w:tcW w:type="dxa" w:w="1040"/>
          </w:tcPr>
          <w:p>
            <w:r/>
            <w:r>
              <w:rPr>
                <w:rFonts w:ascii="Calibri" w:hAnsi="Calibri"/>
                <w:sz w:val="20"/>
              </w:rPr>
              <w:t>146.627</w:t>
            </w:r>
          </w:p>
        </w:tc>
        <w:tc>
          <w:tcPr>
            <w:tcW w:type="dxa" w:w="1040"/>
          </w:tcPr>
          <w:p>
            <w:r/>
            <w:r>
              <w:rPr>
                <w:rFonts w:ascii="Calibri" w:hAnsi="Calibri"/>
                <w:sz w:val="20"/>
              </w:rPr>
              <w:t>122.064</w:t>
            </w:r>
          </w:p>
        </w:tc>
        <w:tc>
          <w:tcPr>
            <w:tcW w:type="dxa" w:w="1040"/>
          </w:tcPr>
          <w:p>
            <w:r/>
            <w:r>
              <w:rPr>
                <w:rFonts w:ascii="Calibri" w:hAnsi="Calibri"/>
                <w:sz w:val="20"/>
              </w:rPr>
              <w:t>24.564</w:t>
            </w:r>
          </w:p>
        </w:tc>
        <w:tc>
          <w:tcPr>
            <w:tcW w:type="dxa" w:w="1040"/>
          </w:tcPr>
          <w:p>
            <w:r/>
            <w:r>
              <w:rPr>
                <w:rFonts w:ascii="Calibri" w:hAnsi="Calibri"/>
                <w:sz w:val="20"/>
              </w:rPr>
              <w:t>16.75</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P_kbar</w:t>
            </w:r>
          </w:p>
        </w:tc>
        <w:tc>
          <w:tcPr>
            <w:tcW w:type="dxa" w:w="1040"/>
          </w:tcPr>
          <w:p>
            <w:r/>
            <w:r>
              <w:rPr>
                <w:rFonts w:ascii="Calibri" w:hAnsi="Calibri"/>
                <w:sz w:val="20"/>
              </w:rPr>
              <w:t>RF/pwlr</w:t>
            </w:r>
          </w:p>
        </w:tc>
        <w:tc>
          <w:tcPr>
            <w:tcW w:type="dxa" w:w="1040"/>
          </w:tcPr>
          <w:p>
            <w:r/>
            <w:r>
              <w:rPr>
                <w:rFonts w:ascii="Calibri" w:hAnsi="Calibri"/>
                <w:sz w:val="20"/>
              </w:rPr>
              <w:t>A</w:t>
            </w:r>
          </w:p>
        </w:tc>
        <w:tc>
          <w:tcPr>
            <w:tcW w:type="dxa" w:w="1040"/>
          </w:tcPr>
          <w:p>
            <w:r/>
            <w:r>
              <w:rPr>
                <w:rFonts w:ascii="Calibri" w:hAnsi="Calibri"/>
                <w:sz w:val="20"/>
              </w:rPr>
              <w:t>10.347</w:t>
            </w:r>
          </w:p>
        </w:tc>
        <w:tc>
          <w:tcPr>
            <w:tcW w:type="dxa" w:w="1040"/>
          </w:tcPr>
          <w:p>
            <w:r/>
            <w:r>
              <w:rPr>
                <w:rFonts w:ascii="Calibri" w:hAnsi="Calibri"/>
                <w:sz w:val="20"/>
              </w:rPr>
              <w:t>6.051</w:t>
            </w:r>
          </w:p>
        </w:tc>
        <w:tc>
          <w:tcPr>
            <w:tcW w:type="dxa" w:w="1040"/>
          </w:tcPr>
          <w:p>
            <w:r/>
            <w:r>
              <w:rPr>
                <w:rFonts w:ascii="Calibri" w:hAnsi="Calibri"/>
                <w:sz w:val="20"/>
              </w:rPr>
              <w:t>4.296</w:t>
            </w:r>
          </w:p>
        </w:tc>
        <w:tc>
          <w:tcPr>
            <w:tcW w:type="dxa" w:w="1040"/>
          </w:tcPr>
          <w:p>
            <w:r/>
            <w:r>
              <w:rPr>
                <w:rFonts w:ascii="Calibri" w:hAnsi="Calibri"/>
                <w:sz w:val="20"/>
              </w:rPr>
              <w:t>41.52</w:t>
            </w:r>
          </w:p>
        </w:tc>
      </w:tr>
    </w:tbl>
    <w:p>
      <w:r>
        <w:br w:type="page"/>
      </w:r>
    </w:p>
    <w:p>
      <w:pPr>
        <w:pStyle w:val="Heading1"/>
      </w:pPr>
      <w:r>
        <w:t>Supplementary Materials</w:t>
      </w:r>
    </w:p>
    <w:p/>
    <w:p>
      <w:pPr>
        <w:pStyle w:val="Heading2"/>
      </w:pPr>
      <w:r>
        <w:t>S1. Supplementary Figures</w:t>
      </w:r>
    </w:p>
    <w:p>
      <w:pPr>
        <w:jc w:val="center"/>
      </w:pPr>
      <w:r>
        <w:drawing>
          <wp:inline xmlns:a="http://schemas.openxmlformats.org/drawingml/2006/main" xmlns:pic="http://schemas.openxmlformats.org/drawingml/2006/picture">
            <wp:extent cx="5486400" cy="2265028"/>
            <wp:docPr id="16" name="Picture 16"/>
            <wp:cNvGraphicFramePr>
              <a:graphicFrameLocks noChangeAspect="1"/>
            </wp:cNvGraphicFramePr>
            <a:graphic>
              <a:graphicData uri="http://schemas.openxmlformats.org/drawingml/2006/picture">
                <pic:pic>
                  <pic:nvPicPr>
                    <pic:cNvPr id="0" name="supp_fig_1.png"/>
                    <pic:cNvPicPr/>
                  </pic:nvPicPr>
                  <pic:blipFill>
                    <a:blip r:embed="rId25"/>
                    <a:stretch>
                      <a:fillRect/>
                    </a:stretch>
                  </pic:blipFill>
                  <pic:spPr>
                    <a:xfrm>
                      <a:off x="0" y="0"/>
                      <a:ext cx="5486400" cy="2265028"/>
                    </a:xfrm>
                    <a:prstGeom prst="rect"/>
                  </pic:spPr>
                </pic:pic>
              </a:graphicData>
            </a:graphic>
          </wp:inline>
        </w:drawing>
      </w:r>
    </w:p>
    <w:p>
      <w:pPr>
        <w:jc w:val="center"/>
      </w:pPr>
      <w:r>
        <w:rPr>
          <w:i/>
          <w:sz w:val="20"/>
        </w:rPr>
        <w:t>Supp. Figure 1. Per-regime test RMSE for opx-liq, by pre-registered pressure regime, with Wilson 95%% confidence intervals.</w:t>
      </w:r>
    </w:p>
    <w:p>
      <w:pPr>
        <w:jc w:val="center"/>
      </w:pPr>
      <w:r>
        <w:drawing>
          <wp:inline xmlns:a="http://schemas.openxmlformats.org/drawingml/2006/main" xmlns:pic="http://schemas.openxmlformats.org/drawingml/2006/picture">
            <wp:extent cx="5486400" cy="2414352"/>
            <wp:docPr id="17" name="Picture 17"/>
            <wp:cNvGraphicFramePr>
              <a:graphicFrameLocks noChangeAspect="1"/>
            </wp:cNvGraphicFramePr>
            <a:graphic>
              <a:graphicData uri="http://schemas.openxmlformats.org/drawingml/2006/picture">
                <pic:pic>
                  <pic:nvPicPr>
                    <pic:cNvPr id="0" name="supp_fig_2.png"/>
                    <pic:cNvPicPr/>
                  </pic:nvPicPr>
                  <pic:blipFill>
                    <a:blip r:embed="rId26"/>
                    <a:stretch>
                      <a:fillRect/>
                    </a:stretch>
                  </pic:blipFill>
                  <pic:spPr>
                    <a:xfrm>
                      <a:off x="0" y="0"/>
                      <a:ext cx="5486400" cy="2414352"/>
                    </a:xfrm>
                    <a:prstGeom prst="rect"/>
                  </pic:spPr>
                </pic:pic>
              </a:graphicData>
            </a:graphic>
          </wp:inline>
        </w:drawing>
      </w:r>
    </w:p>
    <w:p>
      <w:pPr>
        <w:jc w:val="center"/>
      </w:pPr>
      <w:r>
        <w:rPr>
          <w:i/>
          <w:sz w:val="20"/>
        </w:rPr>
        <w:t>Supp. Figure 2. Per-regime residual violin plots for opx-liq winners (T and P).</w:t>
      </w:r>
    </w:p>
    <w:p>
      <w:pPr>
        <w:jc w:val="center"/>
      </w:pPr>
      <w:r>
        <w:drawing>
          <wp:inline xmlns:a="http://schemas.openxmlformats.org/drawingml/2006/main" xmlns:pic="http://schemas.openxmlformats.org/drawingml/2006/picture">
            <wp:extent cx="5486400" cy="1831874"/>
            <wp:docPr id="18" name="Picture 18"/>
            <wp:cNvGraphicFramePr>
              <a:graphicFrameLocks noChangeAspect="1"/>
            </wp:cNvGraphicFramePr>
            <a:graphic>
              <a:graphicData uri="http://schemas.openxmlformats.org/drawingml/2006/picture">
                <pic:pic>
                  <pic:nvPicPr>
                    <pic:cNvPr id="0" name="supp_fig_3.png"/>
                    <pic:cNvPicPr/>
                  </pic:nvPicPr>
                  <pic:blipFill>
                    <a:blip r:embed="rId27"/>
                    <a:stretch>
                      <a:fillRect/>
                    </a:stretch>
                  </pic:blipFill>
                  <pic:spPr>
                    <a:xfrm>
                      <a:off x="0" y="0"/>
                      <a:ext cx="5486400" cy="1831874"/>
                    </a:xfrm>
                    <a:prstGeom prst="rect"/>
                  </pic:spPr>
                </pic:pic>
              </a:graphicData>
            </a:graphic>
          </wp:inline>
        </w:drawing>
      </w:r>
    </w:p>
    <w:p>
      <w:pPr>
        <w:jc w:val="center"/>
      </w:pPr>
      <w:r>
        <w:rPr>
          <w:i/>
          <w:sz w:val="20"/>
        </w:rPr>
        <w:t>Supp. Figure 3. Generalization curves for opx-liq T and P winners across 20 seeds.</w:t>
      </w:r>
    </w:p>
    <w:p>
      <w:pPr>
        <w:jc w:val="center"/>
      </w:pPr>
      <w:r>
        <w:drawing>
          <wp:inline xmlns:a="http://schemas.openxmlformats.org/drawingml/2006/main" xmlns:pic="http://schemas.openxmlformats.org/drawingml/2006/picture">
            <wp:extent cx="5486400" cy="1364246"/>
            <wp:docPr id="19" name="Picture 19"/>
            <wp:cNvGraphicFramePr>
              <a:graphicFrameLocks noChangeAspect="1"/>
            </wp:cNvGraphicFramePr>
            <a:graphic>
              <a:graphicData uri="http://schemas.openxmlformats.org/drawingml/2006/picture">
                <pic:pic>
                  <pic:nvPicPr>
                    <pic:cNvPr id="0" name="supp_fig_4.png"/>
                    <pic:cNvPicPr/>
                  </pic:nvPicPr>
                  <pic:blipFill>
                    <a:blip r:embed="rId28"/>
                    <a:stretch>
                      <a:fillRect/>
                    </a:stretch>
                  </pic:blipFill>
                  <pic:spPr>
                    <a:xfrm>
                      <a:off x="0" y="0"/>
                      <a:ext cx="5486400" cy="1364246"/>
                    </a:xfrm>
                    <a:prstGeom prst="rect"/>
                  </pic:spPr>
                </pic:pic>
              </a:graphicData>
            </a:graphic>
          </wp:inline>
        </w:drawing>
      </w:r>
    </w:p>
    <w:p>
      <w:pPr>
        <w:jc w:val="center"/>
      </w:pPr>
      <w:r>
        <w:rPr>
          <w:i/>
          <w:sz w:val="20"/>
        </w:rPr>
        <w:t>Supp. Figure 4. SHAP summary beeswarm plots for the opx-liq winners (ElasticNet for T, MLP for P).</w:t>
      </w:r>
    </w:p>
    <w:p>
      <w:pPr>
        <w:jc w:val="center"/>
      </w:pPr>
      <w:r>
        <w:drawing>
          <wp:inline xmlns:a="http://schemas.openxmlformats.org/drawingml/2006/main" xmlns:pic="http://schemas.openxmlformats.org/drawingml/2006/picture">
            <wp:extent cx="5486400" cy="1830337"/>
            <wp:docPr id="20" name="Picture 20"/>
            <wp:cNvGraphicFramePr>
              <a:graphicFrameLocks noChangeAspect="1"/>
            </wp:cNvGraphicFramePr>
            <a:graphic>
              <a:graphicData uri="http://schemas.openxmlformats.org/drawingml/2006/picture">
                <pic:pic>
                  <pic:nvPicPr>
                    <pic:cNvPr id="0" name="supp_fig_5.png"/>
                    <pic:cNvPicPr/>
                  </pic:nvPicPr>
                  <pic:blipFill>
                    <a:blip r:embed="rId29"/>
                    <a:stretch>
                      <a:fillRect/>
                    </a:stretch>
                  </pic:blipFill>
                  <pic:spPr>
                    <a:xfrm>
                      <a:off x="0" y="0"/>
                      <a:ext cx="5486400" cy="1830337"/>
                    </a:xfrm>
                    <a:prstGeom prst="rect"/>
                  </pic:spPr>
                </pic:pic>
              </a:graphicData>
            </a:graphic>
          </wp:inline>
        </w:drawing>
      </w:r>
    </w:p>
    <w:p>
      <w:pPr>
        <w:jc w:val="center"/>
      </w:pPr>
      <w:r>
        <w:rPr>
          <w:i/>
          <w:sz w:val="20"/>
        </w:rPr>
        <w:t>Supp. Figure 5. Bias-correction diagnostic plots for the opx-liq cells: fitted Form A piecewise correction and post-correction residual scatter.</w:t>
      </w:r>
    </w:p>
    <w:p>
      <w:pPr>
        <w:jc w:val="center"/>
      </w:pPr>
      <w:r>
        <w:drawing>
          <wp:inline xmlns:a="http://schemas.openxmlformats.org/drawingml/2006/main" xmlns:pic="http://schemas.openxmlformats.org/drawingml/2006/picture">
            <wp:extent cx="5486400" cy="2929710"/>
            <wp:docPr id="21" name="Picture 21"/>
            <wp:cNvGraphicFramePr>
              <a:graphicFrameLocks noChangeAspect="1"/>
            </wp:cNvGraphicFramePr>
            <a:graphic>
              <a:graphicData uri="http://schemas.openxmlformats.org/drawingml/2006/picture">
                <pic:pic>
                  <pic:nvPicPr>
                    <pic:cNvPr id="0" name="supp_fig_6.png"/>
                    <pic:cNvPicPr/>
                  </pic:nvPicPr>
                  <pic:blipFill>
                    <a:blip r:embed="rId30"/>
                    <a:stretch>
                      <a:fillRect/>
                    </a:stretch>
                  </pic:blipFill>
                  <pic:spPr>
                    <a:xfrm>
                      <a:off x="0" y="0"/>
                      <a:ext cx="5486400" cy="2929710"/>
                    </a:xfrm>
                    <a:prstGeom prst="rect"/>
                  </pic:spPr>
                </pic:pic>
              </a:graphicData>
            </a:graphic>
          </wp:inline>
        </w:drawing>
      </w:r>
    </w:p>
    <w:p>
      <w:pPr>
        <w:jc w:val="center"/>
      </w:pPr>
      <w:r>
        <w:rPr>
          <w:i/>
          <w:sz w:val="20"/>
        </w:rPr>
        <w:t>Supp. Figure 6. Bias-correction per-regime RMSE table across the four opx cells. Pre and post bars per regime, with the pre-registered tolerance band marked.</w:t>
      </w:r>
    </w:p>
    <w:p>
      <w:pPr>
        <w:jc w:val="center"/>
      </w:pPr>
      <w:r>
        <w:drawing>
          <wp:inline xmlns:a="http://schemas.openxmlformats.org/drawingml/2006/main" xmlns:pic="http://schemas.openxmlformats.org/drawingml/2006/picture">
            <wp:extent cx="5486400" cy="2811548"/>
            <wp:docPr id="22" name="Picture 22"/>
            <wp:cNvGraphicFramePr>
              <a:graphicFrameLocks noChangeAspect="1"/>
            </wp:cNvGraphicFramePr>
            <a:graphic>
              <a:graphicData uri="http://schemas.openxmlformats.org/drawingml/2006/picture">
                <pic:pic>
                  <pic:nvPicPr>
                    <pic:cNvPr id="0" name="supp_fig_7.png"/>
                    <pic:cNvPicPr/>
                  </pic:nvPicPr>
                  <pic:blipFill>
                    <a:blip r:embed="rId31"/>
                    <a:stretch>
                      <a:fillRect/>
                    </a:stretch>
                  </pic:blipFill>
                  <pic:spPr>
                    <a:xfrm>
                      <a:off x="0" y="0"/>
                      <a:ext cx="5486400" cy="2811548"/>
                    </a:xfrm>
                    <a:prstGeom prst="rect"/>
                  </pic:spPr>
                </pic:pic>
              </a:graphicData>
            </a:graphic>
          </wp:inline>
        </w:drawing>
      </w:r>
    </w:p>
    <w:p>
      <w:pPr>
        <w:jc w:val="center"/>
      </w:pPr>
      <w:r>
        <w:rPr>
          <w:i/>
          <w:sz w:val="20"/>
        </w:rPr>
        <w:t>Supp. Figure 7. Bias-correction residual structure per regime, four opx cells.</w:t>
      </w:r>
    </w:p>
    <w:p>
      <w:pPr>
        <w:jc w:val="center"/>
      </w:pPr>
      <w:r>
        <w:drawing>
          <wp:inline xmlns:a="http://schemas.openxmlformats.org/drawingml/2006/main" xmlns:pic="http://schemas.openxmlformats.org/drawingml/2006/picture">
            <wp:extent cx="5486400" cy="2816182"/>
            <wp:docPr id="23" name="Picture 23"/>
            <wp:cNvGraphicFramePr>
              <a:graphicFrameLocks noChangeAspect="1"/>
            </wp:cNvGraphicFramePr>
            <a:graphic>
              <a:graphicData uri="http://schemas.openxmlformats.org/drawingml/2006/picture">
                <pic:pic>
                  <pic:nvPicPr>
                    <pic:cNvPr id="0" name="supp_fig_8.png"/>
                    <pic:cNvPicPr/>
                  </pic:nvPicPr>
                  <pic:blipFill>
                    <a:blip r:embed="rId32"/>
                    <a:stretch>
                      <a:fillRect/>
                    </a:stretch>
                  </pic:blipFill>
                  <pic:spPr>
                    <a:xfrm>
                      <a:off x="0" y="0"/>
                      <a:ext cx="5486400" cy="2816182"/>
                    </a:xfrm>
                    <a:prstGeom prst="rect"/>
                  </pic:spPr>
                </pic:pic>
              </a:graphicData>
            </a:graphic>
          </wp:inline>
        </w:drawing>
      </w:r>
    </w:p>
    <w:p>
      <w:pPr>
        <w:jc w:val="center"/>
      </w:pPr>
      <w:r>
        <w:rPr>
          <w:i/>
          <w:sz w:val="20"/>
        </w:rPr>
        <w:t>Supp. Figure 8. Form A versus Form B side-by-side on the four opx cells. Form B (Agreda-Lopez quantile-thresholded sigmoid) accepts only marginally on opx-liq T and not at all on the other three opx cells.</w:t>
      </w:r>
    </w:p>
    <w:p>
      <w:pPr>
        <w:jc w:val="center"/>
      </w:pPr>
      <w:r>
        <w:drawing>
          <wp:inline xmlns:a="http://schemas.openxmlformats.org/drawingml/2006/main" xmlns:pic="http://schemas.openxmlformats.org/drawingml/2006/picture">
            <wp:extent cx="5486400" cy="2919582"/>
            <wp:docPr id="24" name="Picture 24"/>
            <wp:cNvGraphicFramePr>
              <a:graphicFrameLocks noChangeAspect="1"/>
            </wp:cNvGraphicFramePr>
            <a:graphic>
              <a:graphicData uri="http://schemas.openxmlformats.org/drawingml/2006/picture">
                <pic:pic>
                  <pic:nvPicPr>
                    <pic:cNvPr id="0" name="supp_fig_9.png"/>
                    <pic:cNvPicPr/>
                  </pic:nvPicPr>
                  <pic:blipFill>
                    <a:blip r:embed="rId33"/>
                    <a:stretch>
                      <a:fillRect/>
                    </a:stretch>
                  </pic:blipFill>
                  <pic:spPr>
                    <a:xfrm>
                      <a:off x="0" y="0"/>
                      <a:ext cx="5486400" cy="2919582"/>
                    </a:xfrm>
                    <a:prstGeom prst="rect"/>
                  </pic:spPr>
                </pic:pic>
              </a:graphicData>
            </a:graphic>
          </wp:inline>
        </w:drawing>
      </w:r>
    </w:p>
    <w:p>
      <w:pPr>
        <w:jc w:val="center"/>
      </w:pPr>
      <w:r>
        <w:rPr>
          <w:i/>
          <w:sz w:val="20"/>
        </w:rPr>
        <w:t>Supp. Figure 9. Per-seed bias-correction stability across the 20 seeds, four opx cells. Stripplot of post-correction aggregate test RMSE per seed.</w:t>
      </w:r>
    </w:p>
    <w:p>
      <w:pPr>
        <w:jc w:val="center"/>
      </w:pPr>
      <w:r>
        <w:drawing>
          <wp:inline xmlns:a="http://schemas.openxmlformats.org/drawingml/2006/main" xmlns:pic="http://schemas.openxmlformats.org/drawingml/2006/picture">
            <wp:extent cx="5486400" cy="2440938"/>
            <wp:docPr id="25" name="Picture 25"/>
            <wp:cNvGraphicFramePr>
              <a:graphicFrameLocks noChangeAspect="1"/>
            </wp:cNvGraphicFramePr>
            <a:graphic>
              <a:graphicData uri="http://schemas.openxmlformats.org/drawingml/2006/picture">
                <pic:pic>
                  <pic:nvPicPr>
                    <pic:cNvPr id="0" name="supp_fig_10.png"/>
                    <pic:cNvPicPr/>
                  </pic:nvPicPr>
                  <pic:blipFill>
                    <a:blip r:embed="rId34"/>
                    <a:stretch>
                      <a:fillRect/>
                    </a:stretch>
                  </pic:blipFill>
                  <pic:spPr>
                    <a:xfrm>
                      <a:off x="0" y="0"/>
                      <a:ext cx="5486400" cy="2440938"/>
                    </a:xfrm>
                    <a:prstGeom prst="rect"/>
                  </pic:spPr>
                </pic:pic>
              </a:graphicData>
            </a:graphic>
          </wp:inline>
        </w:drawing>
      </w:r>
    </w:p>
    <w:p>
      <w:pPr>
        <w:jc w:val="center"/>
      </w:pPr>
      <w:r>
        <w:rPr>
          <w:i/>
          <w:sz w:val="20"/>
        </w:rPr>
        <w:t>Supp. Figure 10. Per-cell scorecard delta against Putirka, four opx cells, with per-regime breakdown.</w:t>
      </w:r>
    </w:p>
    <w:p>
      <w:pPr>
        <w:jc w:val="center"/>
      </w:pPr>
      <w:r>
        <w:drawing>
          <wp:inline xmlns:a="http://schemas.openxmlformats.org/drawingml/2006/main" xmlns:pic="http://schemas.openxmlformats.org/drawingml/2006/picture">
            <wp:extent cx="5486400" cy="2762242"/>
            <wp:docPr id="26" name="Picture 26"/>
            <wp:cNvGraphicFramePr>
              <a:graphicFrameLocks noChangeAspect="1"/>
            </wp:cNvGraphicFramePr>
            <a:graphic>
              <a:graphicData uri="http://schemas.openxmlformats.org/drawingml/2006/picture">
                <pic:pic>
                  <pic:nvPicPr>
                    <pic:cNvPr id="0" name="supp_fig_11.png"/>
                    <pic:cNvPicPr/>
                  </pic:nvPicPr>
                  <pic:blipFill>
                    <a:blip r:embed="rId35"/>
                    <a:stretch>
                      <a:fillRect/>
                    </a:stretch>
                  </pic:blipFill>
                  <pic:spPr>
                    <a:xfrm>
                      <a:off x="0" y="0"/>
                      <a:ext cx="5486400" cy="2762242"/>
                    </a:xfrm>
                    <a:prstGeom prst="rect"/>
                  </pic:spPr>
                </pic:pic>
              </a:graphicData>
            </a:graphic>
          </wp:inline>
        </w:drawing>
      </w:r>
    </w:p>
    <w:p>
      <w:pPr>
        <w:jc w:val="center"/>
      </w:pPr>
      <w:r>
        <w:rPr>
          <w:i/>
          <w:sz w:val="20"/>
        </w:rPr>
        <w:t>Supp. Figure 11. Augmentation ablation: ship-rule verdict comparison between N_AUG = 1 (canonical) and N_AUG = 15 (Gaussian composition-noise augmentation) across the four opx cells.</w:t>
      </w:r>
    </w:p>
    <w:p>
      <w:pPr>
        <w:jc w:val="center"/>
      </w:pPr>
      <w:r>
        <w:drawing>
          <wp:inline xmlns:a="http://schemas.openxmlformats.org/drawingml/2006/main" xmlns:pic="http://schemas.openxmlformats.org/drawingml/2006/picture">
            <wp:extent cx="5486400" cy="2776984"/>
            <wp:docPr id="27" name="Picture 27"/>
            <wp:cNvGraphicFramePr>
              <a:graphicFrameLocks noChangeAspect="1"/>
            </wp:cNvGraphicFramePr>
            <a:graphic>
              <a:graphicData uri="http://schemas.openxmlformats.org/drawingml/2006/picture">
                <pic:pic>
                  <pic:nvPicPr>
                    <pic:cNvPr id="0" name="supp_fig_12.png"/>
                    <pic:cNvPicPr/>
                  </pic:nvPicPr>
                  <pic:blipFill>
                    <a:blip r:embed="rId36"/>
                    <a:stretch>
                      <a:fillRect/>
                    </a:stretch>
                  </pic:blipFill>
                  <pic:spPr>
                    <a:xfrm>
                      <a:off x="0" y="0"/>
                      <a:ext cx="5486400" cy="2776984"/>
                    </a:xfrm>
                    <a:prstGeom prst="rect"/>
                  </pic:spPr>
                </pic:pic>
              </a:graphicData>
            </a:graphic>
          </wp:inline>
        </w:drawing>
      </w:r>
    </w:p>
    <w:p>
      <w:pPr>
        <w:jc w:val="center"/>
      </w:pPr>
      <w:r>
        <w:rPr>
          <w:i/>
          <w:sz w:val="20"/>
        </w:rPr>
        <w:t>Supp. Figure 12. Augmentation ablation: aggregate test RMSE delta from N_AUG = 15 vs N_AUG = 1, four opx cells. Augmentation degrades RMSE on every opx cell.</w:t>
      </w:r>
    </w:p>
    <w:p>
      <w:pPr>
        <w:jc w:val="center"/>
      </w:pPr>
      <w:r>
        <w:drawing>
          <wp:inline xmlns:a="http://schemas.openxmlformats.org/drawingml/2006/main" xmlns:pic="http://schemas.openxmlformats.org/drawingml/2006/picture">
            <wp:extent cx="5486400" cy="1759962"/>
            <wp:docPr id="28" name="Picture 28"/>
            <wp:cNvGraphicFramePr>
              <a:graphicFrameLocks noChangeAspect="1"/>
            </wp:cNvGraphicFramePr>
            <a:graphic>
              <a:graphicData uri="http://schemas.openxmlformats.org/drawingml/2006/picture">
                <pic:pic>
                  <pic:nvPicPr>
                    <pic:cNvPr id="0" name="supp_fig_13.png"/>
                    <pic:cNvPicPr/>
                  </pic:nvPicPr>
                  <pic:blipFill>
                    <a:blip r:embed="rId37"/>
                    <a:stretch>
                      <a:fillRect/>
                    </a:stretch>
                  </pic:blipFill>
                  <pic:spPr>
                    <a:xfrm>
                      <a:off x="0" y="0"/>
                      <a:ext cx="5486400" cy="1759962"/>
                    </a:xfrm>
                    <a:prstGeom prst="rect"/>
                  </pic:spPr>
                </pic:pic>
              </a:graphicData>
            </a:graphic>
          </wp:inline>
        </w:drawing>
      </w:r>
    </w:p>
    <w:p>
      <w:pPr>
        <w:jc w:val="center"/>
      </w:pPr>
      <w:r>
        <w:rPr>
          <w:i/>
          <w:sz w:val="20"/>
        </w:rPr>
        <w:t>Supp. Figure 13. Augmentation ablation: residual structure per regime under N_AUG = 15. No regime shows the structured pre-correction bias that Form B is designed to correct.</w:t>
      </w:r>
    </w:p>
    <w:p>
      <w:pPr>
        <w:jc w:val="center"/>
      </w:pPr>
      <w:r>
        <w:drawing>
          <wp:inline xmlns:a="http://schemas.openxmlformats.org/drawingml/2006/main" xmlns:pic="http://schemas.openxmlformats.org/drawingml/2006/picture">
            <wp:extent cx="5486400" cy="2244208"/>
            <wp:docPr id="29" name="Picture 29"/>
            <wp:cNvGraphicFramePr>
              <a:graphicFrameLocks noChangeAspect="1"/>
            </wp:cNvGraphicFramePr>
            <a:graphic>
              <a:graphicData uri="http://schemas.openxmlformats.org/drawingml/2006/picture">
                <pic:pic>
                  <pic:nvPicPr>
                    <pic:cNvPr id="0" name="supp_fig_14.png"/>
                    <pic:cNvPicPr/>
                  </pic:nvPicPr>
                  <pic:blipFill>
                    <a:blip r:embed="rId38"/>
                    <a:stretch>
                      <a:fillRect/>
                    </a:stretch>
                  </pic:blipFill>
                  <pic:spPr>
                    <a:xfrm>
                      <a:off x="0" y="0"/>
                      <a:ext cx="5486400" cy="2244208"/>
                    </a:xfrm>
                    <a:prstGeom prst="rect"/>
                  </pic:spPr>
                </pic:pic>
              </a:graphicData>
            </a:graphic>
          </wp:inline>
        </w:drawing>
      </w:r>
    </w:p>
    <w:p>
      <w:pPr>
        <w:jc w:val="center"/>
      </w:pPr>
      <w:r>
        <w:rPr>
          <w:i/>
          <w:sz w:val="20"/>
        </w:rPr>
        <w:t>Supp. Figure 14. Augmentation ablation: Form B breakpoint stability across the 20 seeds and the four opx cells. Breakpoints jump unstably across seeds, consistent with Form B not finding a robust target for the opx residuals.</w:t>
      </w:r>
    </w:p>
    <w:p>
      <w:r>
        <w:br w:type="page"/>
      </w:r>
    </w:p>
    <w:p>
      <w:pPr>
        <w:pStyle w:val="Heading2"/>
      </w:pPr>
      <w:r>
        <w:t>S2. Supplementary Tables</w:t>
      </w:r>
    </w:p>
    <w:p>
      <w:pPr>
        <w:pStyle w:val="Heading3"/>
      </w:pPr>
      <w:r>
        <w:t>Table S1. S8 10 bias correction regimewise</w:t>
      </w:r>
    </w:p>
    <w:p>
      <w:r>
        <w:rPr>
          <w:i/>
          <w:sz w:val="20"/>
        </w:rPr>
        <w:t>Source: tables\S8_10_bias_correction_regimewise.csv</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tcPr>
          <w:p>
            <w:r/>
            <w:r>
              <w:rPr>
                <w:rFonts w:ascii="Calibri" w:hAnsi="Calibri"/>
                <w:b/>
                <w:sz w:val="20"/>
              </w:rPr>
              <w:t>pipeline</w:t>
            </w:r>
          </w:p>
        </w:tc>
        <w:tc>
          <w:tcPr>
            <w:tcW w:type="dxa" w:w="669"/>
          </w:tcPr>
          <w:p>
            <w:r/>
            <w:r>
              <w:rPr>
                <w:rFonts w:ascii="Calibri" w:hAnsi="Calibri"/>
                <w:b/>
                <w:sz w:val="20"/>
              </w:rPr>
              <w:t>track</w:t>
            </w:r>
          </w:p>
        </w:tc>
        <w:tc>
          <w:tcPr>
            <w:tcW w:type="dxa" w:w="669"/>
          </w:tcPr>
          <w:p>
            <w:r/>
            <w:r>
              <w:rPr>
                <w:rFonts w:ascii="Calibri" w:hAnsi="Calibri"/>
                <w:b/>
                <w:sz w:val="20"/>
              </w:rPr>
              <w:t>target</w:t>
            </w:r>
          </w:p>
        </w:tc>
        <w:tc>
          <w:tcPr>
            <w:tcW w:type="dxa" w:w="669"/>
          </w:tcPr>
          <w:p>
            <w:r/>
            <w:r>
              <w:rPr>
                <w:rFonts w:ascii="Calibri" w:hAnsi="Calibri"/>
                <w:b/>
                <w:sz w:val="20"/>
              </w:rPr>
              <w:t>regime</w:t>
            </w:r>
          </w:p>
        </w:tc>
        <w:tc>
          <w:tcPr>
            <w:tcW w:type="dxa" w:w="669"/>
          </w:tcPr>
          <w:p>
            <w:r/>
            <w:r>
              <w:rPr>
                <w:rFonts w:ascii="Calibri" w:hAnsi="Calibri"/>
                <w:b/>
                <w:sz w:val="20"/>
              </w:rPr>
              <w:t>n</w:t>
            </w:r>
          </w:p>
        </w:tc>
        <w:tc>
          <w:tcPr>
            <w:tcW w:type="dxa" w:w="669"/>
          </w:tcPr>
          <w:p>
            <w:r/>
            <w:r>
              <w:rPr>
                <w:rFonts w:ascii="Calibri" w:hAnsi="Calibri"/>
                <w:b/>
                <w:sz w:val="20"/>
              </w:rPr>
              <w:t>form</w:t>
            </w:r>
          </w:p>
        </w:tc>
        <w:tc>
          <w:tcPr>
            <w:tcW w:type="dxa" w:w="669"/>
          </w:tcPr>
          <w:p>
            <w:r/>
            <w:r>
              <w:rPr>
                <w:rFonts w:ascii="Calibri" w:hAnsi="Calibri"/>
                <w:b/>
                <w:sz w:val="20"/>
              </w:rPr>
              <w:t>pre_RMSE_mean</w:t>
            </w:r>
          </w:p>
        </w:tc>
        <w:tc>
          <w:tcPr>
            <w:tcW w:type="dxa" w:w="669"/>
          </w:tcPr>
          <w:p>
            <w:r/>
            <w:r>
              <w:rPr>
                <w:rFonts w:ascii="Calibri" w:hAnsi="Calibri"/>
                <w:b/>
                <w:sz w:val="20"/>
              </w:rPr>
              <w:t>pre_RMSE_lo</w:t>
            </w:r>
          </w:p>
        </w:tc>
        <w:tc>
          <w:tcPr>
            <w:tcW w:type="dxa" w:w="669"/>
          </w:tcPr>
          <w:p>
            <w:r/>
            <w:r>
              <w:rPr>
                <w:rFonts w:ascii="Calibri" w:hAnsi="Calibri"/>
                <w:b/>
                <w:sz w:val="20"/>
              </w:rPr>
              <w:t>pre_RMSE_hi</w:t>
            </w:r>
          </w:p>
        </w:tc>
        <w:tc>
          <w:tcPr>
            <w:tcW w:type="dxa" w:w="669"/>
          </w:tcPr>
          <w:p>
            <w:r/>
            <w:r>
              <w:rPr>
                <w:rFonts w:ascii="Calibri" w:hAnsi="Calibri"/>
                <w:b/>
                <w:sz w:val="20"/>
              </w:rPr>
              <w:t>post_RMSE_mean</w:t>
            </w:r>
          </w:p>
        </w:tc>
        <w:tc>
          <w:tcPr>
            <w:tcW w:type="dxa" w:w="669"/>
          </w:tcPr>
          <w:p>
            <w:r/>
            <w:r>
              <w:rPr>
                <w:rFonts w:ascii="Calibri" w:hAnsi="Calibri"/>
                <w:b/>
                <w:sz w:val="20"/>
              </w:rPr>
              <w:t>post_RMSE_lo</w:t>
            </w:r>
          </w:p>
        </w:tc>
        <w:tc>
          <w:tcPr>
            <w:tcW w:type="dxa" w:w="669"/>
          </w:tcPr>
          <w:p>
            <w:r/>
            <w:r>
              <w:rPr>
                <w:rFonts w:ascii="Calibri" w:hAnsi="Calibri"/>
                <w:b/>
                <w:sz w:val="20"/>
              </w:rPr>
              <w:t>post_RMSE_hi</w:t>
            </w:r>
          </w:p>
        </w:tc>
        <w:tc>
          <w:tcPr>
            <w:tcW w:type="dxa" w:w="669"/>
          </w:tcPr>
          <w:p>
            <w:r/>
            <w:r>
              <w:rPr>
                <w:rFonts w:ascii="Calibri" w:hAnsi="Calibri"/>
                <w:b/>
                <w:sz w:val="20"/>
              </w:rPr>
              <w:t>delta_RMSE</w:t>
            </w:r>
          </w:p>
        </w:tc>
        <w:tc>
          <w:tcPr>
            <w:tcW w:type="dxa" w:w="669"/>
          </w:tcPr>
          <w:p>
            <w:r/>
            <w:r>
              <w:rPr>
                <w:rFonts w:ascii="Calibri" w:hAnsi="Calibri"/>
                <w:b/>
                <w:sz w:val="20"/>
              </w:rPr>
              <w:t>ships_cell</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6.546</w:t>
            </w:r>
          </w:p>
        </w:tc>
        <w:tc>
          <w:tcPr>
            <w:tcW w:type="dxa" w:w="669"/>
          </w:tcPr>
          <w:p>
            <w:r/>
            <w:r>
              <w:rPr>
                <w:rFonts w:ascii="Calibri" w:hAnsi="Calibri"/>
                <w:sz w:val="20"/>
              </w:rPr>
              <w:t>4.416</w:t>
            </w:r>
          </w:p>
        </w:tc>
        <w:tc>
          <w:tcPr>
            <w:tcW w:type="dxa" w:w="669"/>
          </w:tcPr>
          <w:p>
            <w:r/>
            <w:r>
              <w:rPr>
                <w:rFonts w:ascii="Calibri" w:hAnsi="Calibri"/>
                <w:sz w:val="20"/>
              </w:rPr>
              <w:t>8.878</w:t>
            </w:r>
          </w:p>
        </w:tc>
        <w:tc>
          <w:tcPr>
            <w:tcW w:type="dxa" w:w="669"/>
          </w:tcPr>
          <w:p>
            <w:r/>
            <w:r>
              <w:rPr>
                <w:rFonts w:ascii="Calibri" w:hAnsi="Calibri"/>
                <w:sz w:val="20"/>
              </w:rPr>
              <w:t>5.635</w:t>
            </w:r>
          </w:p>
        </w:tc>
        <w:tc>
          <w:tcPr>
            <w:tcW w:type="dxa" w:w="669"/>
          </w:tcPr>
          <w:p>
            <w:r/>
            <w:r>
              <w:rPr>
                <w:rFonts w:ascii="Calibri" w:hAnsi="Calibri"/>
                <w:sz w:val="20"/>
              </w:rPr>
              <w:t>2.999</w:t>
            </w:r>
          </w:p>
        </w:tc>
        <w:tc>
          <w:tcPr>
            <w:tcW w:type="dxa" w:w="669"/>
          </w:tcPr>
          <w:p>
            <w:r/>
            <w:r>
              <w:rPr>
                <w:rFonts w:ascii="Calibri" w:hAnsi="Calibri"/>
                <w:sz w:val="20"/>
              </w:rPr>
              <w:t>8.303</w:t>
            </w:r>
          </w:p>
        </w:tc>
        <w:tc>
          <w:tcPr>
            <w:tcW w:type="dxa" w:w="669"/>
          </w:tcPr>
          <w:p>
            <w:r/>
            <w:r>
              <w:rPr>
                <w:rFonts w:ascii="Calibri" w:hAnsi="Calibri"/>
                <w:sz w:val="20"/>
              </w:rPr>
              <w:t>0.911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2.756</w:t>
            </w:r>
          </w:p>
        </w:tc>
        <w:tc>
          <w:tcPr>
            <w:tcW w:type="dxa" w:w="669"/>
          </w:tcPr>
          <w:p>
            <w:r/>
            <w:r>
              <w:rPr>
                <w:rFonts w:ascii="Calibri" w:hAnsi="Calibri"/>
                <w:sz w:val="20"/>
              </w:rPr>
              <w:t>2.333</w:t>
            </w:r>
          </w:p>
        </w:tc>
        <w:tc>
          <w:tcPr>
            <w:tcW w:type="dxa" w:w="669"/>
          </w:tcPr>
          <w:p>
            <w:r/>
            <w:r>
              <w:rPr>
                <w:rFonts w:ascii="Calibri" w:hAnsi="Calibri"/>
                <w:sz w:val="20"/>
              </w:rPr>
              <w:t>3.215</w:t>
            </w:r>
          </w:p>
        </w:tc>
        <w:tc>
          <w:tcPr>
            <w:tcW w:type="dxa" w:w="669"/>
          </w:tcPr>
          <w:p>
            <w:r/>
            <w:r>
              <w:rPr>
                <w:rFonts w:ascii="Calibri" w:hAnsi="Calibri"/>
                <w:sz w:val="20"/>
              </w:rPr>
              <w:t>1.722</w:t>
            </w:r>
          </w:p>
        </w:tc>
        <w:tc>
          <w:tcPr>
            <w:tcW w:type="dxa" w:w="669"/>
          </w:tcPr>
          <w:p>
            <w:r/>
            <w:r>
              <w:rPr>
                <w:rFonts w:ascii="Calibri" w:hAnsi="Calibri"/>
                <w:sz w:val="20"/>
              </w:rPr>
              <w:t>1.505</w:t>
            </w:r>
          </w:p>
        </w:tc>
        <w:tc>
          <w:tcPr>
            <w:tcW w:type="dxa" w:w="669"/>
          </w:tcPr>
          <w:p>
            <w:r/>
            <w:r>
              <w:rPr>
                <w:rFonts w:ascii="Calibri" w:hAnsi="Calibri"/>
                <w:sz w:val="20"/>
              </w:rPr>
              <w:t>1.952</w:t>
            </w:r>
          </w:p>
        </w:tc>
        <w:tc>
          <w:tcPr>
            <w:tcW w:type="dxa" w:w="669"/>
          </w:tcPr>
          <w:p>
            <w:r/>
            <w:r>
              <w:rPr>
                <w:rFonts w:ascii="Calibri" w:hAnsi="Calibri"/>
                <w:sz w:val="20"/>
              </w:rPr>
              <w:t>1.034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17.583</w:t>
            </w:r>
          </w:p>
        </w:tc>
        <w:tc>
          <w:tcPr>
            <w:tcW w:type="dxa" w:w="669"/>
          </w:tcPr>
          <w:p>
            <w:r/>
            <w:r>
              <w:rPr>
                <w:rFonts w:ascii="Calibri" w:hAnsi="Calibri"/>
                <w:sz w:val="20"/>
              </w:rPr>
              <w:t>6.179</w:t>
            </w:r>
          </w:p>
        </w:tc>
        <w:tc>
          <w:tcPr>
            <w:tcW w:type="dxa" w:w="669"/>
          </w:tcPr>
          <w:p>
            <w:r/>
            <w:r>
              <w:rPr>
                <w:rFonts w:ascii="Calibri" w:hAnsi="Calibri"/>
                <w:sz w:val="20"/>
              </w:rPr>
              <w:t>27.143</w:t>
            </w:r>
          </w:p>
        </w:tc>
        <w:tc>
          <w:tcPr>
            <w:tcW w:type="dxa" w:w="669"/>
          </w:tcPr>
          <w:p>
            <w:r/>
            <w:r>
              <w:rPr>
                <w:rFonts w:ascii="Calibri" w:hAnsi="Calibri"/>
                <w:sz w:val="20"/>
              </w:rPr>
              <w:t>18.084</w:t>
            </w:r>
          </w:p>
        </w:tc>
        <w:tc>
          <w:tcPr>
            <w:tcW w:type="dxa" w:w="669"/>
          </w:tcPr>
          <w:p>
            <w:r/>
            <w:r>
              <w:rPr>
                <w:rFonts w:ascii="Calibri" w:hAnsi="Calibri"/>
                <w:sz w:val="20"/>
              </w:rPr>
              <w:t>8.021</w:t>
            </w:r>
          </w:p>
        </w:tc>
        <w:tc>
          <w:tcPr>
            <w:tcW w:type="dxa" w:w="669"/>
          </w:tcPr>
          <w:p>
            <w:r/>
            <w:r>
              <w:rPr>
                <w:rFonts w:ascii="Calibri" w:hAnsi="Calibri"/>
                <w:sz w:val="20"/>
              </w:rPr>
              <w:t>27.474</w:t>
            </w:r>
          </w:p>
        </w:tc>
        <w:tc>
          <w:tcPr>
            <w:tcW w:type="dxa" w:w="669"/>
          </w:tcPr>
          <w:p>
            <w:r/>
            <w:r>
              <w:rPr>
                <w:rFonts w:ascii="Calibri" w:hAnsi="Calibri"/>
                <w:sz w:val="20"/>
              </w:rPr>
              <w:t>-0.501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4.317</w:t>
            </w:r>
          </w:p>
        </w:tc>
        <w:tc>
          <w:tcPr>
            <w:tcW w:type="dxa" w:w="669"/>
          </w:tcPr>
          <w:p>
            <w:r/>
            <w:r>
              <w:rPr>
                <w:rFonts w:ascii="Calibri" w:hAnsi="Calibri"/>
                <w:sz w:val="20"/>
              </w:rPr>
              <w:t>3.697</w:t>
            </w:r>
          </w:p>
        </w:tc>
        <w:tc>
          <w:tcPr>
            <w:tcW w:type="dxa" w:w="669"/>
          </w:tcPr>
          <w:p>
            <w:r/>
            <w:r>
              <w:rPr>
                <w:rFonts w:ascii="Calibri" w:hAnsi="Calibri"/>
                <w:sz w:val="20"/>
              </w:rPr>
              <w:t>4.936</w:t>
            </w:r>
          </w:p>
        </w:tc>
        <w:tc>
          <w:tcPr>
            <w:tcW w:type="dxa" w:w="669"/>
          </w:tcPr>
          <w:p>
            <w:r/>
            <w:r>
              <w:rPr>
                <w:rFonts w:ascii="Calibri" w:hAnsi="Calibri"/>
                <w:sz w:val="20"/>
              </w:rPr>
              <w:t>3.379</w:t>
            </w:r>
          </w:p>
        </w:tc>
        <w:tc>
          <w:tcPr>
            <w:tcW w:type="dxa" w:w="669"/>
          </w:tcPr>
          <w:p>
            <w:r/>
            <w:r>
              <w:rPr>
                <w:rFonts w:ascii="Calibri" w:hAnsi="Calibri"/>
                <w:sz w:val="20"/>
              </w:rPr>
              <w:t>3.092</w:t>
            </w:r>
          </w:p>
        </w:tc>
        <w:tc>
          <w:tcPr>
            <w:tcW w:type="dxa" w:w="669"/>
          </w:tcPr>
          <w:p>
            <w:r/>
            <w:r>
              <w:rPr>
                <w:rFonts w:ascii="Calibri" w:hAnsi="Calibri"/>
                <w:sz w:val="20"/>
              </w:rPr>
              <w:t>3.654</w:t>
            </w:r>
          </w:p>
        </w:tc>
        <w:tc>
          <w:tcPr>
            <w:tcW w:type="dxa" w:w="669"/>
          </w:tcPr>
          <w:p>
            <w:r/>
            <w:r>
              <w:rPr>
                <w:rFonts w:ascii="Calibri" w:hAnsi="Calibri"/>
                <w:sz w:val="20"/>
              </w:rPr>
              <w:t>0.938</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4.971</w:t>
            </w:r>
          </w:p>
        </w:tc>
        <w:tc>
          <w:tcPr>
            <w:tcW w:type="dxa" w:w="669"/>
          </w:tcPr>
          <w:p>
            <w:r/>
            <w:r>
              <w:rPr>
                <w:rFonts w:ascii="Calibri" w:hAnsi="Calibri"/>
                <w:sz w:val="20"/>
              </w:rPr>
              <w:t>4.277</w:t>
            </w:r>
          </w:p>
        </w:tc>
        <w:tc>
          <w:tcPr>
            <w:tcW w:type="dxa" w:w="669"/>
          </w:tcPr>
          <w:p>
            <w:r/>
            <w:r>
              <w:rPr>
                <w:rFonts w:ascii="Calibri" w:hAnsi="Calibri"/>
                <w:sz w:val="20"/>
              </w:rPr>
              <w:t>5.723</w:t>
            </w:r>
          </w:p>
        </w:tc>
        <w:tc>
          <w:tcPr>
            <w:tcW w:type="dxa" w:w="669"/>
          </w:tcPr>
          <w:p>
            <w:r/>
            <w:r>
              <w:rPr>
                <w:rFonts w:ascii="Calibri" w:hAnsi="Calibri"/>
                <w:sz w:val="20"/>
              </w:rPr>
              <w:t>0.999</w:t>
            </w:r>
          </w:p>
        </w:tc>
        <w:tc>
          <w:tcPr>
            <w:tcW w:type="dxa" w:w="669"/>
          </w:tcPr>
          <w:p>
            <w:r/>
            <w:r>
              <w:rPr>
                <w:rFonts w:ascii="Calibri" w:hAnsi="Calibri"/>
                <w:sz w:val="20"/>
              </w:rPr>
              <w:t>0.866</w:t>
            </w:r>
          </w:p>
        </w:tc>
        <w:tc>
          <w:tcPr>
            <w:tcW w:type="dxa" w:w="669"/>
          </w:tcPr>
          <w:p>
            <w:r/>
            <w:r>
              <w:rPr>
                <w:rFonts w:ascii="Calibri" w:hAnsi="Calibri"/>
                <w:sz w:val="20"/>
              </w:rPr>
              <w:t>1.13</w:t>
            </w:r>
          </w:p>
        </w:tc>
        <w:tc>
          <w:tcPr>
            <w:tcW w:type="dxa" w:w="669"/>
          </w:tcPr>
          <w:p>
            <w:r/>
            <w:r>
              <w:rPr>
                <w:rFonts w:ascii="Calibri" w:hAnsi="Calibri"/>
                <w:sz w:val="20"/>
              </w:rPr>
              <w:t>3.972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6.546</w:t>
            </w:r>
          </w:p>
        </w:tc>
        <w:tc>
          <w:tcPr>
            <w:tcW w:type="dxa" w:w="669"/>
          </w:tcPr>
          <w:p>
            <w:r/>
            <w:r>
              <w:rPr>
                <w:rFonts w:ascii="Calibri" w:hAnsi="Calibri"/>
                <w:sz w:val="20"/>
              </w:rPr>
              <w:t>4.416</w:t>
            </w:r>
          </w:p>
        </w:tc>
        <w:tc>
          <w:tcPr>
            <w:tcW w:type="dxa" w:w="669"/>
          </w:tcPr>
          <w:p>
            <w:r/>
            <w:r>
              <w:rPr>
                <w:rFonts w:ascii="Calibri" w:hAnsi="Calibri"/>
                <w:sz w:val="20"/>
              </w:rPr>
              <w:t>8.878</w:t>
            </w:r>
          </w:p>
        </w:tc>
        <w:tc>
          <w:tcPr>
            <w:tcW w:type="dxa" w:w="669"/>
          </w:tcPr>
          <w:p>
            <w:r/>
            <w:r>
              <w:rPr>
                <w:rFonts w:ascii="Calibri" w:hAnsi="Calibri"/>
                <w:sz w:val="20"/>
              </w:rPr>
              <w:t>6.666</w:t>
            </w:r>
          </w:p>
        </w:tc>
        <w:tc>
          <w:tcPr>
            <w:tcW w:type="dxa" w:w="669"/>
          </w:tcPr>
          <w:p>
            <w:r/>
            <w:r>
              <w:rPr>
                <w:rFonts w:ascii="Calibri" w:hAnsi="Calibri"/>
                <w:sz w:val="20"/>
              </w:rPr>
              <w:t>4.437</w:t>
            </w:r>
          </w:p>
        </w:tc>
        <w:tc>
          <w:tcPr>
            <w:tcW w:type="dxa" w:w="669"/>
          </w:tcPr>
          <w:p>
            <w:r/>
            <w:r>
              <w:rPr>
                <w:rFonts w:ascii="Calibri" w:hAnsi="Calibri"/>
                <w:sz w:val="20"/>
              </w:rPr>
              <w:t>9.096</w:t>
            </w:r>
          </w:p>
        </w:tc>
        <w:tc>
          <w:tcPr>
            <w:tcW w:type="dxa" w:w="669"/>
          </w:tcPr>
          <w:p>
            <w:r/>
            <w:r>
              <w:rPr>
                <w:rFonts w:ascii="Calibri" w:hAnsi="Calibri"/>
                <w:sz w:val="20"/>
              </w:rPr>
              <w:t>-0.12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2.756</w:t>
            </w:r>
          </w:p>
        </w:tc>
        <w:tc>
          <w:tcPr>
            <w:tcW w:type="dxa" w:w="669"/>
          </w:tcPr>
          <w:p>
            <w:r/>
            <w:r>
              <w:rPr>
                <w:rFonts w:ascii="Calibri" w:hAnsi="Calibri"/>
                <w:sz w:val="20"/>
              </w:rPr>
              <w:t>2.333</w:t>
            </w:r>
          </w:p>
        </w:tc>
        <w:tc>
          <w:tcPr>
            <w:tcW w:type="dxa" w:w="669"/>
          </w:tcPr>
          <w:p>
            <w:r/>
            <w:r>
              <w:rPr>
                <w:rFonts w:ascii="Calibri" w:hAnsi="Calibri"/>
                <w:sz w:val="20"/>
              </w:rPr>
              <w:t>3.215</w:t>
            </w:r>
          </w:p>
        </w:tc>
        <w:tc>
          <w:tcPr>
            <w:tcW w:type="dxa" w:w="669"/>
          </w:tcPr>
          <w:p>
            <w:r/>
            <w:r>
              <w:rPr>
                <w:rFonts w:ascii="Calibri" w:hAnsi="Calibri"/>
                <w:sz w:val="20"/>
              </w:rPr>
              <w:t>2.818</w:t>
            </w:r>
          </w:p>
        </w:tc>
        <w:tc>
          <w:tcPr>
            <w:tcW w:type="dxa" w:w="669"/>
          </w:tcPr>
          <w:p>
            <w:r/>
            <w:r>
              <w:rPr>
                <w:rFonts w:ascii="Calibri" w:hAnsi="Calibri"/>
                <w:sz w:val="20"/>
              </w:rPr>
              <w:t>2.398</w:t>
            </w:r>
          </w:p>
        </w:tc>
        <w:tc>
          <w:tcPr>
            <w:tcW w:type="dxa" w:w="669"/>
          </w:tcPr>
          <w:p>
            <w:r/>
            <w:r>
              <w:rPr>
                <w:rFonts w:ascii="Calibri" w:hAnsi="Calibri"/>
                <w:sz w:val="20"/>
              </w:rPr>
              <w:t>3.273</w:t>
            </w:r>
          </w:p>
        </w:tc>
        <w:tc>
          <w:tcPr>
            <w:tcW w:type="dxa" w:w="669"/>
          </w:tcPr>
          <w:p>
            <w:r/>
            <w:r>
              <w:rPr>
                <w:rFonts w:ascii="Calibri" w:hAnsi="Calibri"/>
                <w:sz w:val="20"/>
              </w:rPr>
              <w:t>-0.062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17.583</w:t>
            </w:r>
          </w:p>
        </w:tc>
        <w:tc>
          <w:tcPr>
            <w:tcW w:type="dxa" w:w="669"/>
          </w:tcPr>
          <w:p>
            <w:r/>
            <w:r>
              <w:rPr>
                <w:rFonts w:ascii="Calibri" w:hAnsi="Calibri"/>
                <w:sz w:val="20"/>
              </w:rPr>
              <w:t>6.179</w:t>
            </w:r>
          </w:p>
        </w:tc>
        <w:tc>
          <w:tcPr>
            <w:tcW w:type="dxa" w:w="669"/>
          </w:tcPr>
          <w:p>
            <w:r/>
            <w:r>
              <w:rPr>
                <w:rFonts w:ascii="Calibri" w:hAnsi="Calibri"/>
                <w:sz w:val="20"/>
              </w:rPr>
              <w:t>27.143</w:t>
            </w:r>
          </w:p>
        </w:tc>
        <w:tc>
          <w:tcPr>
            <w:tcW w:type="dxa" w:w="669"/>
          </w:tcPr>
          <w:p>
            <w:r/>
            <w:r>
              <w:rPr>
                <w:rFonts w:ascii="Calibri" w:hAnsi="Calibri"/>
                <w:sz w:val="20"/>
              </w:rPr>
              <w:t>18.2</w:t>
            </w:r>
          </w:p>
        </w:tc>
        <w:tc>
          <w:tcPr>
            <w:tcW w:type="dxa" w:w="669"/>
          </w:tcPr>
          <w:p>
            <w:r/>
            <w:r>
              <w:rPr>
                <w:rFonts w:ascii="Calibri" w:hAnsi="Calibri"/>
                <w:sz w:val="20"/>
              </w:rPr>
              <w:t>6.651</w:t>
            </w:r>
          </w:p>
        </w:tc>
        <w:tc>
          <w:tcPr>
            <w:tcW w:type="dxa" w:w="669"/>
          </w:tcPr>
          <w:p>
            <w:r/>
            <w:r>
              <w:rPr>
                <w:rFonts w:ascii="Calibri" w:hAnsi="Calibri"/>
                <w:sz w:val="20"/>
              </w:rPr>
              <w:t>28.048</w:t>
            </w:r>
          </w:p>
        </w:tc>
        <w:tc>
          <w:tcPr>
            <w:tcW w:type="dxa" w:w="669"/>
          </w:tcPr>
          <w:p>
            <w:r/>
            <w:r>
              <w:rPr>
                <w:rFonts w:ascii="Calibri" w:hAnsi="Calibri"/>
                <w:sz w:val="20"/>
              </w:rPr>
              <w:t>-0.617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4.317</w:t>
            </w:r>
          </w:p>
        </w:tc>
        <w:tc>
          <w:tcPr>
            <w:tcW w:type="dxa" w:w="669"/>
          </w:tcPr>
          <w:p>
            <w:r/>
            <w:r>
              <w:rPr>
                <w:rFonts w:ascii="Calibri" w:hAnsi="Calibri"/>
                <w:sz w:val="20"/>
              </w:rPr>
              <w:t>3.697</w:t>
            </w:r>
          </w:p>
        </w:tc>
        <w:tc>
          <w:tcPr>
            <w:tcW w:type="dxa" w:w="669"/>
          </w:tcPr>
          <w:p>
            <w:r/>
            <w:r>
              <w:rPr>
                <w:rFonts w:ascii="Calibri" w:hAnsi="Calibri"/>
                <w:sz w:val="20"/>
              </w:rPr>
              <w:t>4.936</w:t>
            </w:r>
          </w:p>
        </w:tc>
        <w:tc>
          <w:tcPr>
            <w:tcW w:type="dxa" w:w="669"/>
          </w:tcPr>
          <w:p>
            <w:r/>
            <w:r>
              <w:rPr>
                <w:rFonts w:ascii="Calibri" w:hAnsi="Calibri"/>
                <w:sz w:val="20"/>
              </w:rPr>
              <w:t>4.277</w:t>
            </w:r>
          </w:p>
        </w:tc>
        <w:tc>
          <w:tcPr>
            <w:tcW w:type="dxa" w:w="669"/>
          </w:tcPr>
          <w:p>
            <w:r/>
            <w:r>
              <w:rPr>
                <w:rFonts w:ascii="Calibri" w:hAnsi="Calibri"/>
                <w:sz w:val="20"/>
              </w:rPr>
              <w:t>3.66</w:t>
            </w:r>
          </w:p>
        </w:tc>
        <w:tc>
          <w:tcPr>
            <w:tcW w:type="dxa" w:w="669"/>
          </w:tcPr>
          <w:p>
            <w:r/>
            <w:r>
              <w:rPr>
                <w:rFonts w:ascii="Calibri" w:hAnsi="Calibri"/>
                <w:sz w:val="20"/>
              </w:rPr>
              <w:t>4.894</w:t>
            </w:r>
          </w:p>
        </w:tc>
        <w:tc>
          <w:tcPr>
            <w:tcW w:type="dxa" w:w="669"/>
          </w:tcPr>
          <w:p>
            <w:r/>
            <w:r>
              <w:rPr>
                <w:rFonts w:ascii="Calibri" w:hAnsi="Calibri"/>
                <w:sz w:val="20"/>
              </w:rPr>
              <w:t>0.04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4.971</w:t>
            </w:r>
          </w:p>
        </w:tc>
        <w:tc>
          <w:tcPr>
            <w:tcW w:type="dxa" w:w="669"/>
          </w:tcPr>
          <w:p>
            <w:r/>
            <w:r>
              <w:rPr>
                <w:rFonts w:ascii="Calibri" w:hAnsi="Calibri"/>
                <w:sz w:val="20"/>
              </w:rPr>
              <w:t>4.277</w:t>
            </w:r>
          </w:p>
        </w:tc>
        <w:tc>
          <w:tcPr>
            <w:tcW w:type="dxa" w:w="669"/>
          </w:tcPr>
          <w:p>
            <w:r/>
            <w:r>
              <w:rPr>
                <w:rFonts w:ascii="Calibri" w:hAnsi="Calibri"/>
                <w:sz w:val="20"/>
              </w:rPr>
              <w:t>5.723</w:t>
            </w:r>
          </w:p>
        </w:tc>
        <w:tc>
          <w:tcPr>
            <w:tcW w:type="dxa" w:w="669"/>
          </w:tcPr>
          <w:p>
            <w:r/>
            <w:r>
              <w:rPr>
                <w:rFonts w:ascii="Calibri" w:hAnsi="Calibri"/>
                <w:sz w:val="20"/>
              </w:rPr>
              <w:t>4.886</w:t>
            </w:r>
          </w:p>
        </w:tc>
        <w:tc>
          <w:tcPr>
            <w:tcW w:type="dxa" w:w="669"/>
          </w:tcPr>
          <w:p>
            <w:r/>
            <w:r>
              <w:rPr>
                <w:rFonts w:ascii="Calibri" w:hAnsi="Calibri"/>
                <w:sz w:val="20"/>
              </w:rPr>
              <w:t>4.18</w:t>
            </w:r>
          </w:p>
        </w:tc>
        <w:tc>
          <w:tcPr>
            <w:tcW w:type="dxa" w:w="669"/>
          </w:tcPr>
          <w:p>
            <w:r/>
            <w:r>
              <w:rPr>
                <w:rFonts w:ascii="Calibri" w:hAnsi="Calibri"/>
                <w:sz w:val="20"/>
              </w:rPr>
              <w:t>5.646</w:t>
            </w:r>
          </w:p>
        </w:tc>
        <w:tc>
          <w:tcPr>
            <w:tcW w:type="dxa" w:w="669"/>
          </w:tcPr>
          <w:p>
            <w:r/>
            <w:r>
              <w:rPr>
                <w:rFonts w:ascii="Calibri" w:hAnsi="Calibri"/>
                <w:sz w:val="20"/>
              </w:rPr>
              <w:t>0.085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72.476</w:t>
            </w:r>
          </w:p>
        </w:tc>
        <w:tc>
          <w:tcPr>
            <w:tcW w:type="dxa" w:w="669"/>
          </w:tcPr>
          <w:p>
            <w:r/>
            <w:r>
              <w:rPr>
                <w:rFonts w:ascii="Calibri" w:hAnsi="Calibri"/>
                <w:sz w:val="20"/>
              </w:rPr>
              <w:t>58.518</w:t>
            </w:r>
          </w:p>
        </w:tc>
        <w:tc>
          <w:tcPr>
            <w:tcW w:type="dxa" w:w="669"/>
          </w:tcPr>
          <w:p>
            <w:r/>
            <w:r>
              <w:rPr>
                <w:rFonts w:ascii="Calibri" w:hAnsi="Calibri"/>
                <w:sz w:val="20"/>
              </w:rPr>
              <w:t>87.569</w:t>
            </w:r>
          </w:p>
        </w:tc>
        <w:tc>
          <w:tcPr>
            <w:tcW w:type="dxa" w:w="669"/>
          </w:tcPr>
          <w:p>
            <w:r/>
            <w:r>
              <w:rPr>
                <w:rFonts w:ascii="Calibri" w:hAnsi="Calibri"/>
                <w:sz w:val="20"/>
              </w:rPr>
              <w:t>68.733</w:t>
            </w:r>
          </w:p>
        </w:tc>
        <w:tc>
          <w:tcPr>
            <w:tcW w:type="dxa" w:w="669"/>
          </w:tcPr>
          <w:p>
            <w:r/>
            <w:r>
              <w:rPr>
                <w:rFonts w:ascii="Calibri" w:hAnsi="Calibri"/>
                <w:sz w:val="20"/>
              </w:rPr>
              <w:t>56.918</w:t>
            </w:r>
          </w:p>
        </w:tc>
        <w:tc>
          <w:tcPr>
            <w:tcW w:type="dxa" w:w="669"/>
          </w:tcPr>
          <w:p>
            <w:r/>
            <w:r>
              <w:rPr>
                <w:rFonts w:ascii="Calibri" w:hAnsi="Calibri"/>
                <w:sz w:val="20"/>
              </w:rPr>
              <w:t>82.09</w:t>
            </w:r>
          </w:p>
        </w:tc>
        <w:tc>
          <w:tcPr>
            <w:tcW w:type="dxa" w:w="669"/>
          </w:tcPr>
          <w:p>
            <w:r/>
            <w:r>
              <w:rPr>
                <w:rFonts w:ascii="Calibri" w:hAnsi="Calibri"/>
                <w:sz w:val="20"/>
              </w:rPr>
              <w:t>3.743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51.161</w:t>
            </w:r>
          </w:p>
        </w:tc>
        <w:tc>
          <w:tcPr>
            <w:tcW w:type="dxa" w:w="669"/>
          </w:tcPr>
          <w:p>
            <w:r/>
            <w:r>
              <w:rPr>
                <w:rFonts w:ascii="Calibri" w:hAnsi="Calibri"/>
                <w:sz w:val="20"/>
              </w:rPr>
              <w:t>40.49</w:t>
            </w:r>
          </w:p>
        </w:tc>
        <w:tc>
          <w:tcPr>
            <w:tcW w:type="dxa" w:w="669"/>
          </w:tcPr>
          <w:p>
            <w:r/>
            <w:r>
              <w:rPr>
                <w:rFonts w:ascii="Calibri" w:hAnsi="Calibri"/>
                <w:sz w:val="20"/>
              </w:rPr>
              <w:t>64.76</w:t>
            </w:r>
          </w:p>
        </w:tc>
        <w:tc>
          <w:tcPr>
            <w:tcW w:type="dxa" w:w="669"/>
          </w:tcPr>
          <w:p>
            <w:r/>
            <w:r>
              <w:rPr>
                <w:rFonts w:ascii="Calibri" w:hAnsi="Calibri"/>
                <w:sz w:val="20"/>
              </w:rPr>
              <w:t>50.478</w:t>
            </w:r>
          </w:p>
        </w:tc>
        <w:tc>
          <w:tcPr>
            <w:tcW w:type="dxa" w:w="669"/>
          </w:tcPr>
          <w:p>
            <w:r/>
            <w:r>
              <w:rPr>
                <w:rFonts w:ascii="Calibri" w:hAnsi="Calibri"/>
                <w:sz w:val="20"/>
              </w:rPr>
              <w:t>39.891</w:t>
            </w:r>
          </w:p>
        </w:tc>
        <w:tc>
          <w:tcPr>
            <w:tcW w:type="dxa" w:w="669"/>
          </w:tcPr>
          <w:p>
            <w:r/>
            <w:r>
              <w:rPr>
                <w:rFonts w:ascii="Calibri" w:hAnsi="Calibri"/>
                <w:sz w:val="20"/>
              </w:rPr>
              <w:t>63.801</w:t>
            </w:r>
          </w:p>
        </w:tc>
        <w:tc>
          <w:tcPr>
            <w:tcW w:type="dxa" w:w="669"/>
          </w:tcPr>
          <w:p>
            <w:r/>
            <w:r>
              <w:rPr>
                <w:rFonts w:ascii="Calibri" w:hAnsi="Calibri"/>
                <w:sz w:val="20"/>
              </w:rPr>
              <w:t>0.683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166.311</w:t>
            </w:r>
          </w:p>
        </w:tc>
        <w:tc>
          <w:tcPr>
            <w:tcW w:type="dxa" w:w="669"/>
          </w:tcPr>
          <w:p>
            <w:r/>
            <w:r>
              <w:rPr>
                <w:rFonts w:ascii="Calibri" w:hAnsi="Calibri"/>
                <w:sz w:val="20"/>
              </w:rPr>
              <w:t>92.692</w:t>
            </w:r>
          </w:p>
        </w:tc>
        <w:tc>
          <w:tcPr>
            <w:tcW w:type="dxa" w:w="669"/>
          </w:tcPr>
          <w:p>
            <w:r/>
            <w:r>
              <w:rPr>
                <w:rFonts w:ascii="Calibri" w:hAnsi="Calibri"/>
                <w:sz w:val="20"/>
              </w:rPr>
              <w:t>236.514</w:t>
            </w:r>
          </w:p>
        </w:tc>
        <w:tc>
          <w:tcPr>
            <w:tcW w:type="dxa" w:w="669"/>
          </w:tcPr>
          <w:p>
            <w:r/>
            <w:r>
              <w:rPr>
                <w:rFonts w:ascii="Calibri" w:hAnsi="Calibri"/>
                <w:sz w:val="20"/>
              </w:rPr>
              <w:t>147.758</w:t>
            </w:r>
          </w:p>
        </w:tc>
        <w:tc>
          <w:tcPr>
            <w:tcW w:type="dxa" w:w="669"/>
          </w:tcPr>
          <w:p>
            <w:r/>
            <w:r>
              <w:rPr>
                <w:rFonts w:ascii="Calibri" w:hAnsi="Calibri"/>
                <w:sz w:val="20"/>
              </w:rPr>
              <w:t>80.038</w:t>
            </w:r>
          </w:p>
        </w:tc>
        <w:tc>
          <w:tcPr>
            <w:tcW w:type="dxa" w:w="669"/>
          </w:tcPr>
          <w:p>
            <w:r/>
            <w:r>
              <w:rPr>
                <w:rFonts w:ascii="Calibri" w:hAnsi="Calibri"/>
                <w:sz w:val="20"/>
              </w:rPr>
              <w:t>211.781</w:t>
            </w:r>
          </w:p>
        </w:tc>
        <w:tc>
          <w:tcPr>
            <w:tcW w:type="dxa" w:w="669"/>
          </w:tcPr>
          <w:p>
            <w:r/>
            <w:r>
              <w:rPr>
                <w:rFonts w:ascii="Calibri" w:hAnsi="Calibri"/>
                <w:sz w:val="20"/>
              </w:rPr>
              <w:t>18.553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77.724</w:t>
            </w:r>
          </w:p>
        </w:tc>
        <w:tc>
          <w:tcPr>
            <w:tcW w:type="dxa" w:w="669"/>
          </w:tcPr>
          <w:p>
            <w:r/>
            <w:r>
              <w:rPr>
                <w:rFonts w:ascii="Calibri" w:hAnsi="Calibri"/>
                <w:sz w:val="20"/>
              </w:rPr>
              <w:t>67.891</w:t>
            </w:r>
          </w:p>
        </w:tc>
        <w:tc>
          <w:tcPr>
            <w:tcW w:type="dxa" w:w="669"/>
          </w:tcPr>
          <w:p>
            <w:r/>
            <w:r>
              <w:rPr>
                <w:rFonts w:ascii="Calibri" w:hAnsi="Calibri"/>
                <w:sz w:val="20"/>
              </w:rPr>
              <w:t>86.979</w:t>
            </w:r>
          </w:p>
        </w:tc>
        <w:tc>
          <w:tcPr>
            <w:tcW w:type="dxa" w:w="669"/>
          </w:tcPr>
          <w:p>
            <w:r/>
            <w:r>
              <w:rPr>
                <w:rFonts w:ascii="Calibri" w:hAnsi="Calibri"/>
                <w:sz w:val="20"/>
              </w:rPr>
              <w:t>78.336</w:t>
            </w:r>
          </w:p>
        </w:tc>
        <w:tc>
          <w:tcPr>
            <w:tcW w:type="dxa" w:w="669"/>
          </w:tcPr>
          <w:p>
            <w:r/>
            <w:r>
              <w:rPr>
                <w:rFonts w:ascii="Calibri" w:hAnsi="Calibri"/>
                <w:sz w:val="20"/>
              </w:rPr>
              <w:t>67.812</w:t>
            </w:r>
          </w:p>
        </w:tc>
        <w:tc>
          <w:tcPr>
            <w:tcW w:type="dxa" w:w="669"/>
          </w:tcPr>
          <w:p>
            <w:r/>
            <w:r>
              <w:rPr>
                <w:rFonts w:ascii="Calibri" w:hAnsi="Calibri"/>
                <w:sz w:val="20"/>
              </w:rPr>
              <w:t>88.093</w:t>
            </w:r>
          </w:p>
        </w:tc>
        <w:tc>
          <w:tcPr>
            <w:tcW w:type="dxa" w:w="669"/>
          </w:tcPr>
          <w:p>
            <w:r/>
            <w:r>
              <w:rPr>
                <w:rFonts w:ascii="Calibri" w:hAnsi="Calibri"/>
                <w:sz w:val="20"/>
              </w:rPr>
              <w:t>-0.612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44.594</w:t>
            </w:r>
          </w:p>
        </w:tc>
        <w:tc>
          <w:tcPr>
            <w:tcW w:type="dxa" w:w="669"/>
          </w:tcPr>
          <w:p>
            <w:r/>
            <w:r>
              <w:rPr>
                <w:rFonts w:ascii="Calibri" w:hAnsi="Calibri"/>
                <w:sz w:val="20"/>
              </w:rPr>
              <w:t>38.464</w:t>
            </w:r>
          </w:p>
        </w:tc>
        <w:tc>
          <w:tcPr>
            <w:tcW w:type="dxa" w:w="669"/>
          </w:tcPr>
          <w:p>
            <w:r/>
            <w:r>
              <w:rPr>
                <w:rFonts w:ascii="Calibri" w:hAnsi="Calibri"/>
                <w:sz w:val="20"/>
              </w:rPr>
              <w:t>51.046</w:t>
            </w:r>
          </w:p>
        </w:tc>
        <w:tc>
          <w:tcPr>
            <w:tcW w:type="dxa" w:w="669"/>
          </w:tcPr>
          <w:p>
            <w:r/>
            <w:r>
              <w:rPr>
                <w:rFonts w:ascii="Calibri" w:hAnsi="Calibri"/>
                <w:sz w:val="20"/>
              </w:rPr>
              <w:t>43.746</w:t>
            </w:r>
          </w:p>
        </w:tc>
        <w:tc>
          <w:tcPr>
            <w:tcW w:type="dxa" w:w="669"/>
          </w:tcPr>
          <w:p>
            <w:r/>
            <w:r>
              <w:rPr>
                <w:rFonts w:ascii="Calibri" w:hAnsi="Calibri"/>
                <w:sz w:val="20"/>
              </w:rPr>
              <w:t>36.995</w:t>
            </w:r>
          </w:p>
        </w:tc>
        <w:tc>
          <w:tcPr>
            <w:tcW w:type="dxa" w:w="669"/>
          </w:tcPr>
          <w:p>
            <w:r/>
            <w:r>
              <w:rPr>
                <w:rFonts w:ascii="Calibri" w:hAnsi="Calibri"/>
                <w:sz w:val="20"/>
              </w:rPr>
              <w:t>50.856</w:t>
            </w:r>
          </w:p>
        </w:tc>
        <w:tc>
          <w:tcPr>
            <w:tcW w:type="dxa" w:w="669"/>
          </w:tcPr>
          <w:p>
            <w:r/>
            <w:r>
              <w:rPr>
                <w:rFonts w:ascii="Calibri" w:hAnsi="Calibri"/>
                <w:sz w:val="20"/>
              </w:rPr>
              <w:t>0.847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72.476</w:t>
            </w:r>
          </w:p>
        </w:tc>
        <w:tc>
          <w:tcPr>
            <w:tcW w:type="dxa" w:w="669"/>
          </w:tcPr>
          <w:p>
            <w:r/>
            <w:r>
              <w:rPr>
                <w:rFonts w:ascii="Calibri" w:hAnsi="Calibri"/>
                <w:sz w:val="20"/>
              </w:rPr>
              <w:t>58.518</w:t>
            </w:r>
          </w:p>
        </w:tc>
        <w:tc>
          <w:tcPr>
            <w:tcW w:type="dxa" w:w="669"/>
          </w:tcPr>
          <w:p>
            <w:r/>
            <w:r>
              <w:rPr>
                <w:rFonts w:ascii="Calibri" w:hAnsi="Calibri"/>
                <w:sz w:val="20"/>
              </w:rPr>
              <w:t>87.569</w:t>
            </w:r>
          </w:p>
        </w:tc>
        <w:tc>
          <w:tcPr>
            <w:tcW w:type="dxa" w:w="669"/>
          </w:tcPr>
          <w:p>
            <w:r/>
            <w:r>
              <w:rPr>
                <w:rFonts w:ascii="Calibri" w:hAnsi="Calibri"/>
                <w:sz w:val="20"/>
              </w:rPr>
              <w:t>70.645</w:t>
            </w:r>
          </w:p>
        </w:tc>
        <w:tc>
          <w:tcPr>
            <w:tcW w:type="dxa" w:w="669"/>
          </w:tcPr>
          <w:p>
            <w:r/>
            <w:r>
              <w:rPr>
                <w:rFonts w:ascii="Calibri" w:hAnsi="Calibri"/>
                <w:sz w:val="20"/>
              </w:rPr>
              <w:t>57.006</w:t>
            </w:r>
          </w:p>
        </w:tc>
        <w:tc>
          <w:tcPr>
            <w:tcW w:type="dxa" w:w="669"/>
          </w:tcPr>
          <w:p>
            <w:r/>
            <w:r>
              <w:rPr>
                <w:rFonts w:ascii="Calibri" w:hAnsi="Calibri"/>
                <w:sz w:val="20"/>
              </w:rPr>
              <w:t>85.433</w:t>
            </w:r>
          </w:p>
        </w:tc>
        <w:tc>
          <w:tcPr>
            <w:tcW w:type="dxa" w:w="669"/>
          </w:tcPr>
          <w:p>
            <w:r/>
            <w:r>
              <w:rPr>
                <w:rFonts w:ascii="Calibri" w:hAnsi="Calibri"/>
                <w:sz w:val="20"/>
              </w:rPr>
              <w:t>1.831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51.161</w:t>
            </w:r>
          </w:p>
        </w:tc>
        <w:tc>
          <w:tcPr>
            <w:tcW w:type="dxa" w:w="669"/>
          </w:tcPr>
          <w:p>
            <w:r/>
            <w:r>
              <w:rPr>
                <w:rFonts w:ascii="Calibri" w:hAnsi="Calibri"/>
                <w:sz w:val="20"/>
              </w:rPr>
              <w:t>40.49</w:t>
            </w:r>
          </w:p>
        </w:tc>
        <w:tc>
          <w:tcPr>
            <w:tcW w:type="dxa" w:w="669"/>
          </w:tcPr>
          <w:p>
            <w:r/>
            <w:r>
              <w:rPr>
                <w:rFonts w:ascii="Calibri" w:hAnsi="Calibri"/>
                <w:sz w:val="20"/>
              </w:rPr>
              <w:t>64.76</w:t>
            </w:r>
          </w:p>
        </w:tc>
        <w:tc>
          <w:tcPr>
            <w:tcW w:type="dxa" w:w="669"/>
          </w:tcPr>
          <w:p>
            <w:r/>
            <w:r>
              <w:rPr>
                <w:rFonts w:ascii="Calibri" w:hAnsi="Calibri"/>
                <w:sz w:val="20"/>
              </w:rPr>
              <w:t>52.701</w:t>
            </w:r>
          </w:p>
        </w:tc>
        <w:tc>
          <w:tcPr>
            <w:tcW w:type="dxa" w:w="669"/>
          </w:tcPr>
          <w:p>
            <w:r/>
            <w:r>
              <w:rPr>
                <w:rFonts w:ascii="Calibri" w:hAnsi="Calibri"/>
                <w:sz w:val="20"/>
              </w:rPr>
              <w:t>41.804</w:t>
            </w:r>
          </w:p>
        </w:tc>
        <w:tc>
          <w:tcPr>
            <w:tcW w:type="dxa" w:w="669"/>
          </w:tcPr>
          <w:p>
            <w:r/>
            <w:r>
              <w:rPr>
                <w:rFonts w:ascii="Calibri" w:hAnsi="Calibri"/>
                <w:sz w:val="20"/>
              </w:rPr>
              <w:t>66.88</w:t>
            </w:r>
          </w:p>
        </w:tc>
        <w:tc>
          <w:tcPr>
            <w:tcW w:type="dxa" w:w="669"/>
          </w:tcPr>
          <w:p>
            <w:r/>
            <w:r>
              <w:rPr>
                <w:rFonts w:ascii="Calibri" w:hAnsi="Calibri"/>
                <w:sz w:val="20"/>
              </w:rPr>
              <w:t>-1.54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166.311</w:t>
            </w:r>
          </w:p>
        </w:tc>
        <w:tc>
          <w:tcPr>
            <w:tcW w:type="dxa" w:w="669"/>
          </w:tcPr>
          <w:p>
            <w:r/>
            <w:r>
              <w:rPr>
                <w:rFonts w:ascii="Calibri" w:hAnsi="Calibri"/>
                <w:sz w:val="20"/>
              </w:rPr>
              <w:t>92.692</w:t>
            </w:r>
          </w:p>
        </w:tc>
        <w:tc>
          <w:tcPr>
            <w:tcW w:type="dxa" w:w="669"/>
          </w:tcPr>
          <w:p>
            <w:r/>
            <w:r>
              <w:rPr>
                <w:rFonts w:ascii="Calibri" w:hAnsi="Calibri"/>
                <w:sz w:val="20"/>
              </w:rPr>
              <w:t>236.514</w:t>
            </w:r>
          </w:p>
        </w:tc>
        <w:tc>
          <w:tcPr>
            <w:tcW w:type="dxa" w:w="669"/>
          </w:tcPr>
          <w:p>
            <w:r/>
            <w:r>
              <w:rPr>
                <w:rFonts w:ascii="Calibri" w:hAnsi="Calibri"/>
                <w:sz w:val="20"/>
              </w:rPr>
              <w:t>160.927</w:t>
            </w:r>
          </w:p>
        </w:tc>
        <w:tc>
          <w:tcPr>
            <w:tcW w:type="dxa" w:w="669"/>
          </w:tcPr>
          <w:p>
            <w:r/>
            <w:r>
              <w:rPr>
                <w:rFonts w:ascii="Calibri" w:hAnsi="Calibri"/>
                <w:sz w:val="20"/>
              </w:rPr>
              <w:t>87.517</w:t>
            </w:r>
          </w:p>
        </w:tc>
        <w:tc>
          <w:tcPr>
            <w:tcW w:type="dxa" w:w="669"/>
          </w:tcPr>
          <w:p>
            <w:r/>
            <w:r>
              <w:rPr>
                <w:rFonts w:ascii="Calibri" w:hAnsi="Calibri"/>
                <w:sz w:val="20"/>
              </w:rPr>
              <w:t>229.813</w:t>
            </w:r>
          </w:p>
        </w:tc>
        <w:tc>
          <w:tcPr>
            <w:tcW w:type="dxa" w:w="669"/>
          </w:tcPr>
          <w:p>
            <w:r/>
            <w:r>
              <w:rPr>
                <w:rFonts w:ascii="Calibri" w:hAnsi="Calibri"/>
                <w:sz w:val="20"/>
              </w:rPr>
              <w:t>5.384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77.724</w:t>
            </w:r>
          </w:p>
        </w:tc>
        <w:tc>
          <w:tcPr>
            <w:tcW w:type="dxa" w:w="669"/>
          </w:tcPr>
          <w:p>
            <w:r/>
            <w:r>
              <w:rPr>
                <w:rFonts w:ascii="Calibri" w:hAnsi="Calibri"/>
                <w:sz w:val="20"/>
              </w:rPr>
              <w:t>67.891</w:t>
            </w:r>
          </w:p>
        </w:tc>
        <w:tc>
          <w:tcPr>
            <w:tcW w:type="dxa" w:w="669"/>
          </w:tcPr>
          <w:p>
            <w:r/>
            <w:r>
              <w:rPr>
                <w:rFonts w:ascii="Calibri" w:hAnsi="Calibri"/>
                <w:sz w:val="20"/>
              </w:rPr>
              <w:t>86.979</w:t>
            </w:r>
          </w:p>
        </w:tc>
        <w:tc>
          <w:tcPr>
            <w:tcW w:type="dxa" w:w="669"/>
          </w:tcPr>
          <w:p>
            <w:r/>
            <w:r>
              <w:rPr>
                <w:rFonts w:ascii="Calibri" w:hAnsi="Calibri"/>
                <w:sz w:val="20"/>
              </w:rPr>
              <w:t>76.031</w:t>
            </w:r>
          </w:p>
        </w:tc>
        <w:tc>
          <w:tcPr>
            <w:tcW w:type="dxa" w:w="669"/>
          </w:tcPr>
          <w:p>
            <w:r/>
            <w:r>
              <w:rPr>
                <w:rFonts w:ascii="Calibri" w:hAnsi="Calibri"/>
                <w:sz w:val="20"/>
              </w:rPr>
              <w:t>66.652</w:t>
            </w:r>
          </w:p>
        </w:tc>
        <w:tc>
          <w:tcPr>
            <w:tcW w:type="dxa" w:w="669"/>
          </w:tcPr>
          <w:p>
            <w:r/>
            <w:r>
              <w:rPr>
                <w:rFonts w:ascii="Calibri" w:hAnsi="Calibri"/>
                <w:sz w:val="20"/>
              </w:rPr>
              <w:t>84.493</w:t>
            </w:r>
          </w:p>
        </w:tc>
        <w:tc>
          <w:tcPr>
            <w:tcW w:type="dxa" w:w="669"/>
          </w:tcPr>
          <w:p>
            <w:r/>
            <w:r>
              <w:rPr>
                <w:rFonts w:ascii="Calibri" w:hAnsi="Calibri"/>
                <w:sz w:val="20"/>
              </w:rPr>
              <w:t>1.693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44.594</w:t>
            </w:r>
          </w:p>
        </w:tc>
        <w:tc>
          <w:tcPr>
            <w:tcW w:type="dxa" w:w="669"/>
          </w:tcPr>
          <w:p>
            <w:r/>
            <w:r>
              <w:rPr>
                <w:rFonts w:ascii="Calibri" w:hAnsi="Calibri"/>
                <w:sz w:val="20"/>
              </w:rPr>
              <w:t>38.464</w:t>
            </w:r>
          </w:p>
        </w:tc>
        <w:tc>
          <w:tcPr>
            <w:tcW w:type="dxa" w:w="669"/>
          </w:tcPr>
          <w:p>
            <w:r/>
            <w:r>
              <w:rPr>
                <w:rFonts w:ascii="Calibri" w:hAnsi="Calibri"/>
                <w:sz w:val="20"/>
              </w:rPr>
              <w:t>51.046</w:t>
            </w:r>
          </w:p>
        </w:tc>
        <w:tc>
          <w:tcPr>
            <w:tcW w:type="dxa" w:w="669"/>
          </w:tcPr>
          <w:p>
            <w:r/>
            <w:r>
              <w:rPr>
                <w:rFonts w:ascii="Calibri" w:hAnsi="Calibri"/>
                <w:sz w:val="20"/>
              </w:rPr>
              <w:t>41.767</w:t>
            </w:r>
          </w:p>
        </w:tc>
        <w:tc>
          <w:tcPr>
            <w:tcW w:type="dxa" w:w="669"/>
          </w:tcPr>
          <w:p>
            <w:r/>
            <w:r>
              <w:rPr>
                <w:rFonts w:ascii="Calibri" w:hAnsi="Calibri"/>
                <w:sz w:val="20"/>
              </w:rPr>
              <w:t>36.335</w:t>
            </w:r>
          </w:p>
        </w:tc>
        <w:tc>
          <w:tcPr>
            <w:tcW w:type="dxa" w:w="669"/>
          </w:tcPr>
          <w:p>
            <w:r/>
            <w:r>
              <w:rPr>
                <w:rFonts w:ascii="Calibri" w:hAnsi="Calibri"/>
                <w:sz w:val="20"/>
              </w:rPr>
              <w:t>47.501</w:t>
            </w:r>
          </w:p>
        </w:tc>
        <w:tc>
          <w:tcPr>
            <w:tcW w:type="dxa" w:w="669"/>
          </w:tcPr>
          <w:p>
            <w:r/>
            <w:r>
              <w:rPr>
                <w:rFonts w:ascii="Calibri" w:hAnsi="Calibri"/>
                <w:sz w:val="20"/>
              </w:rPr>
              <w:t>2.826</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A</w:t>
            </w:r>
          </w:p>
        </w:tc>
        <w:tc>
          <w:tcPr>
            <w:tcW w:type="dxa" w:w="669"/>
          </w:tcPr>
          <w:p>
            <w:r/>
            <w:r>
              <w:rPr>
                <w:rFonts w:ascii="Calibri" w:hAnsi="Calibri"/>
                <w:sz w:val="20"/>
              </w:rPr>
              <w:t>13.664</w:t>
            </w:r>
          </w:p>
        </w:tc>
        <w:tc>
          <w:tcPr>
            <w:tcW w:type="dxa" w:w="669"/>
          </w:tcPr>
          <w:p>
            <w:r/>
            <w:r>
              <w:rPr>
                <w:rFonts w:ascii="Calibri" w:hAnsi="Calibri"/>
                <w:sz w:val="20"/>
              </w:rPr>
              <w:t>11.688</w:t>
            </w:r>
          </w:p>
        </w:tc>
        <w:tc>
          <w:tcPr>
            <w:tcW w:type="dxa" w:w="669"/>
          </w:tcPr>
          <w:p>
            <w:r/>
            <w:r>
              <w:rPr>
                <w:rFonts w:ascii="Calibri" w:hAnsi="Calibri"/>
                <w:sz w:val="20"/>
              </w:rPr>
              <w:t>15.661</w:t>
            </w:r>
          </w:p>
        </w:tc>
        <w:tc>
          <w:tcPr>
            <w:tcW w:type="dxa" w:w="669"/>
          </w:tcPr>
          <w:p>
            <w:r/>
            <w:r>
              <w:rPr>
                <w:rFonts w:ascii="Calibri" w:hAnsi="Calibri"/>
                <w:sz w:val="20"/>
              </w:rPr>
              <w:t>11.329</w:t>
            </w:r>
          </w:p>
        </w:tc>
        <w:tc>
          <w:tcPr>
            <w:tcW w:type="dxa" w:w="669"/>
          </w:tcPr>
          <w:p>
            <w:r/>
            <w:r>
              <w:rPr>
                <w:rFonts w:ascii="Calibri" w:hAnsi="Calibri"/>
                <w:sz w:val="20"/>
              </w:rPr>
              <w:t>9.799</w:t>
            </w:r>
          </w:p>
        </w:tc>
        <w:tc>
          <w:tcPr>
            <w:tcW w:type="dxa" w:w="669"/>
          </w:tcPr>
          <w:p>
            <w:r/>
            <w:r>
              <w:rPr>
                <w:rFonts w:ascii="Calibri" w:hAnsi="Calibri"/>
                <w:sz w:val="20"/>
              </w:rPr>
              <w:t>12.841</w:t>
            </w:r>
          </w:p>
        </w:tc>
        <w:tc>
          <w:tcPr>
            <w:tcW w:type="dxa" w:w="669"/>
          </w:tcPr>
          <w:p>
            <w:r/>
            <w:r>
              <w:rPr>
                <w:rFonts w:ascii="Calibri" w:hAnsi="Calibri"/>
                <w:sz w:val="20"/>
              </w:rPr>
              <w:t>2.334</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A</w:t>
            </w:r>
          </w:p>
        </w:tc>
        <w:tc>
          <w:tcPr>
            <w:tcW w:type="dxa" w:w="669"/>
          </w:tcPr>
          <w:p>
            <w:r/>
            <w:r>
              <w:rPr>
                <w:rFonts w:ascii="Calibri" w:hAnsi="Calibri"/>
                <w:sz w:val="20"/>
              </w:rPr>
              <w:t>4.366</w:t>
            </w:r>
          </w:p>
        </w:tc>
        <w:tc>
          <w:tcPr>
            <w:tcW w:type="dxa" w:w="669"/>
          </w:tcPr>
          <w:p>
            <w:r/>
            <w:r>
              <w:rPr>
                <w:rFonts w:ascii="Calibri" w:hAnsi="Calibri"/>
                <w:sz w:val="20"/>
              </w:rPr>
              <w:t>3.806</w:t>
            </w:r>
          </w:p>
        </w:tc>
        <w:tc>
          <w:tcPr>
            <w:tcW w:type="dxa" w:w="669"/>
          </w:tcPr>
          <w:p>
            <w:r/>
            <w:r>
              <w:rPr>
                <w:rFonts w:ascii="Calibri" w:hAnsi="Calibri"/>
                <w:sz w:val="20"/>
              </w:rPr>
              <w:t>5.006</w:t>
            </w:r>
          </w:p>
        </w:tc>
        <w:tc>
          <w:tcPr>
            <w:tcW w:type="dxa" w:w="669"/>
          </w:tcPr>
          <w:p>
            <w:r/>
            <w:r>
              <w:rPr>
                <w:rFonts w:ascii="Calibri" w:hAnsi="Calibri"/>
                <w:sz w:val="20"/>
              </w:rPr>
              <w:t>1.74</w:t>
            </w:r>
          </w:p>
        </w:tc>
        <w:tc>
          <w:tcPr>
            <w:tcW w:type="dxa" w:w="669"/>
          </w:tcPr>
          <w:p>
            <w:r/>
            <w:r>
              <w:rPr>
                <w:rFonts w:ascii="Calibri" w:hAnsi="Calibri"/>
                <w:sz w:val="20"/>
              </w:rPr>
              <w:t>1.573</w:t>
            </w:r>
          </w:p>
        </w:tc>
        <w:tc>
          <w:tcPr>
            <w:tcW w:type="dxa" w:w="669"/>
          </w:tcPr>
          <w:p>
            <w:r/>
            <w:r>
              <w:rPr>
                <w:rFonts w:ascii="Calibri" w:hAnsi="Calibri"/>
                <w:sz w:val="20"/>
              </w:rPr>
              <w:t>1.911</w:t>
            </w:r>
          </w:p>
        </w:tc>
        <w:tc>
          <w:tcPr>
            <w:tcW w:type="dxa" w:w="669"/>
          </w:tcPr>
          <w:p>
            <w:r/>
            <w:r>
              <w:rPr>
                <w:rFonts w:ascii="Calibri" w:hAnsi="Calibri"/>
                <w:sz w:val="20"/>
              </w:rPr>
              <w:t>2.626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A</w:t>
            </w:r>
          </w:p>
        </w:tc>
        <w:tc>
          <w:tcPr>
            <w:tcW w:type="dxa" w:w="669"/>
          </w:tcPr>
          <w:p>
            <w:r/>
            <w:r>
              <w:rPr>
                <w:rFonts w:ascii="Calibri" w:hAnsi="Calibri"/>
                <w:sz w:val="20"/>
              </w:rPr>
              <w:t>26.737</w:t>
            </w:r>
          </w:p>
        </w:tc>
        <w:tc>
          <w:tcPr>
            <w:tcW w:type="dxa" w:w="669"/>
          </w:tcPr>
          <w:p>
            <w:r/>
            <w:r>
              <w:rPr>
                <w:rFonts w:ascii="Calibri" w:hAnsi="Calibri"/>
                <w:sz w:val="20"/>
              </w:rPr>
              <w:t>21.71</w:t>
            </w:r>
          </w:p>
        </w:tc>
        <w:tc>
          <w:tcPr>
            <w:tcW w:type="dxa" w:w="669"/>
          </w:tcPr>
          <w:p>
            <w:r/>
            <w:r>
              <w:rPr>
                <w:rFonts w:ascii="Calibri" w:hAnsi="Calibri"/>
                <w:sz w:val="20"/>
              </w:rPr>
              <w:t>31.626</w:t>
            </w:r>
          </w:p>
        </w:tc>
        <w:tc>
          <w:tcPr>
            <w:tcW w:type="dxa" w:w="669"/>
          </w:tcPr>
          <w:p>
            <w:r/>
            <w:r>
              <w:rPr>
                <w:rFonts w:ascii="Calibri" w:hAnsi="Calibri"/>
                <w:sz w:val="20"/>
              </w:rPr>
              <w:t>26.061</w:t>
            </w:r>
          </w:p>
        </w:tc>
        <w:tc>
          <w:tcPr>
            <w:tcW w:type="dxa" w:w="669"/>
          </w:tcPr>
          <w:p>
            <w:r/>
            <w:r>
              <w:rPr>
                <w:rFonts w:ascii="Calibri" w:hAnsi="Calibri"/>
                <w:sz w:val="20"/>
              </w:rPr>
              <w:t>23.288</w:t>
            </w:r>
          </w:p>
        </w:tc>
        <w:tc>
          <w:tcPr>
            <w:tcW w:type="dxa" w:w="669"/>
          </w:tcPr>
          <w:p>
            <w:r/>
            <w:r>
              <w:rPr>
                <w:rFonts w:ascii="Calibri" w:hAnsi="Calibri"/>
                <w:sz w:val="20"/>
              </w:rPr>
              <w:t>29.197</w:t>
            </w:r>
          </w:p>
        </w:tc>
        <w:tc>
          <w:tcPr>
            <w:tcW w:type="dxa" w:w="669"/>
          </w:tcPr>
          <w:p>
            <w:r/>
            <w:r>
              <w:rPr>
                <w:rFonts w:ascii="Calibri" w:hAnsi="Calibri"/>
                <w:sz w:val="20"/>
              </w:rPr>
              <w:t>0.676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A</w:t>
            </w:r>
          </w:p>
        </w:tc>
        <w:tc>
          <w:tcPr>
            <w:tcW w:type="dxa" w:w="669"/>
          </w:tcPr>
          <w:p>
            <w:r/>
            <w:r>
              <w:rPr>
                <w:rFonts w:ascii="Calibri" w:hAnsi="Calibri"/>
                <w:sz w:val="20"/>
              </w:rPr>
              <w:t>10.748</w:t>
            </w:r>
          </w:p>
        </w:tc>
        <w:tc>
          <w:tcPr>
            <w:tcW w:type="dxa" w:w="669"/>
          </w:tcPr>
          <w:p>
            <w:r/>
            <w:r>
              <w:rPr>
                <w:rFonts w:ascii="Calibri" w:hAnsi="Calibri"/>
                <w:sz w:val="20"/>
              </w:rPr>
              <w:t>8.16</w:t>
            </w:r>
          </w:p>
        </w:tc>
        <w:tc>
          <w:tcPr>
            <w:tcW w:type="dxa" w:w="669"/>
          </w:tcPr>
          <w:p>
            <w:r/>
            <w:r>
              <w:rPr>
                <w:rFonts w:ascii="Calibri" w:hAnsi="Calibri"/>
                <w:sz w:val="20"/>
              </w:rPr>
              <w:t>13.191</w:t>
            </w:r>
          </w:p>
        </w:tc>
        <w:tc>
          <w:tcPr>
            <w:tcW w:type="dxa" w:w="669"/>
          </w:tcPr>
          <w:p>
            <w:r/>
            <w:r>
              <w:rPr>
                <w:rFonts w:ascii="Calibri" w:hAnsi="Calibri"/>
                <w:sz w:val="20"/>
              </w:rPr>
              <w:t>3.922</w:t>
            </w:r>
          </w:p>
        </w:tc>
        <w:tc>
          <w:tcPr>
            <w:tcW w:type="dxa" w:w="669"/>
          </w:tcPr>
          <w:p>
            <w:r/>
            <w:r>
              <w:rPr>
                <w:rFonts w:ascii="Calibri" w:hAnsi="Calibri"/>
                <w:sz w:val="20"/>
              </w:rPr>
              <w:t>3.71</w:t>
            </w:r>
          </w:p>
        </w:tc>
        <w:tc>
          <w:tcPr>
            <w:tcW w:type="dxa" w:w="669"/>
          </w:tcPr>
          <w:p>
            <w:r/>
            <w:r>
              <w:rPr>
                <w:rFonts w:ascii="Calibri" w:hAnsi="Calibri"/>
                <w:sz w:val="20"/>
              </w:rPr>
              <w:t>4.136</w:t>
            </w:r>
          </w:p>
        </w:tc>
        <w:tc>
          <w:tcPr>
            <w:tcW w:type="dxa" w:w="669"/>
          </w:tcPr>
          <w:p>
            <w:r/>
            <w:r>
              <w:rPr>
                <w:rFonts w:ascii="Calibri" w:hAnsi="Calibri"/>
                <w:sz w:val="20"/>
              </w:rPr>
              <w:t>6.826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A</w:t>
            </w:r>
          </w:p>
        </w:tc>
        <w:tc>
          <w:tcPr>
            <w:tcW w:type="dxa" w:w="669"/>
          </w:tcPr>
          <w:p>
            <w:r/>
            <w:r>
              <w:rPr>
                <w:rFonts w:ascii="Calibri" w:hAnsi="Calibri"/>
                <w:sz w:val="20"/>
              </w:rPr>
              <w:t>8.357</w:t>
            </w:r>
          </w:p>
        </w:tc>
        <w:tc>
          <w:tcPr>
            <w:tcW w:type="dxa" w:w="669"/>
          </w:tcPr>
          <w:p>
            <w:r/>
            <w:r>
              <w:rPr>
                <w:rFonts w:ascii="Calibri" w:hAnsi="Calibri"/>
                <w:sz w:val="20"/>
              </w:rPr>
              <w:t>7.091</w:t>
            </w:r>
          </w:p>
        </w:tc>
        <w:tc>
          <w:tcPr>
            <w:tcW w:type="dxa" w:w="669"/>
          </w:tcPr>
          <w:p>
            <w:r/>
            <w:r>
              <w:rPr>
                <w:rFonts w:ascii="Calibri" w:hAnsi="Calibri"/>
                <w:sz w:val="20"/>
              </w:rPr>
              <w:t>9.668</w:t>
            </w:r>
          </w:p>
        </w:tc>
        <w:tc>
          <w:tcPr>
            <w:tcW w:type="dxa" w:w="669"/>
          </w:tcPr>
          <w:p>
            <w:r/>
            <w:r>
              <w:rPr>
                <w:rFonts w:ascii="Calibri" w:hAnsi="Calibri"/>
                <w:sz w:val="20"/>
              </w:rPr>
              <w:t>1.166</w:t>
            </w:r>
          </w:p>
        </w:tc>
        <w:tc>
          <w:tcPr>
            <w:tcW w:type="dxa" w:w="669"/>
          </w:tcPr>
          <w:p>
            <w:r/>
            <w:r>
              <w:rPr>
                <w:rFonts w:ascii="Calibri" w:hAnsi="Calibri"/>
                <w:sz w:val="20"/>
              </w:rPr>
              <w:t>1.005</w:t>
            </w:r>
          </w:p>
        </w:tc>
        <w:tc>
          <w:tcPr>
            <w:tcW w:type="dxa" w:w="669"/>
          </w:tcPr>
          <w:p>
            <w:r/>
            <w:r>
              <w:rPr>
                <w:rFonts w:ascii="Calibri" w:hAnsi="Calibri"/>
                <w:sz w:val="20"/>
              </w:rPr>
              <w:t>1.328</w:t>
            </w:r>
          </w:p>
        </w:tc>
        <w:tc>
          <w:tcPr>
            <w:tcW w:type="dxa" w:w="669"/>
          </w:tcPr>
          <w:p>
            <w:r/>
            <w:r>
              <w:rPr>
                <w:rFonts w:ascii="Calibri" w:hAnsi="Calibri"/>
                <w:sz w:val="20"/>
              </w:rPr>
              <w:t>7.19</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B</w:t>
            </w:r>
          </w:p>
        </w:tc>
        <w:tc>
          <w:tcPr>
            <w:tcW w:type="dxa" w:w="669"/>
          </w:tcPr>
          <w:p>
            <w:r/>
            <w:r>
              <w:rPr>
                <w:rFonts w:ascii="Calibri" w:hAnsi="Calibri"/>
                <w:sz w:val="20"/>
              </w:rPr>
              <w:t>13.664</w:t>
            </w:r>
          </w:p>
        </w:tc>
        <w:tc>
          <w:tcPr>
            <w:tcW w:type="dxa" w:w="669"/>
          </w:tcPr>
          <w:p>
            <w:r/>
            <w:r>
              <w:rPr>
                <w:rFonts w:ascii="Calibri" w:hAnsi="Calibri"/>
                <w:sz w:val="20"/>
              </w:rPr>
              <w:t>11.688</w:t>
            </w:r>
          </w:p>
        </w:tc>
        <w:tc>
          <w:tcPr>
            <w:tcW w:type="dxa" w:w="669"/>
          </w:tcPr>
          <w:p>
            <w:r/>
            <w:r>
              <w:rPr>
                <w:rFonts w:ascii="Calibri" w:hAnsi="Calibri"/>
                <w:sz w:val="20"/>
              </w:rPr>
              <w:t>15.661</w:t>
            </w:r>
          </w:p>
        </w:tc>
        <w:tc>
          <w:tcPr>
            <w:tcW w:type="dxa" w:w="669"/>
          </w:tcPr>
          <w:p>
            <w:r/>
            <w:r>
              <w:rPr>
                <w:rFonts w:ascii="Calibri" w:hAnsi="Calibri"/>
                <w:sz w:val="20"/>
              </w:rPr>
              <w:t>13.513</w:t>
            </w:r>
          </w:p>
        </w:tc>
        <w:tc>
          <w:tcPr>
            <w:tcW w:type="dxa" w:w="669"/>
          </w:tcPr>
          <w:p>
            <w:r/>
            <w:r>
              <w:rPr>
                <w:rFonts w:ascii="Calibri" w:hAnsi="Calibri"/>
                <w:sz w:val="20"/>
              </w:rPr>
              <w:t>11.473</w:t>
            </w:r>
          </w:p>
        </w:tc>
        <w:tc>
          <w:tcPr>
            <w:tcW w:type="dxa" w:w="669"/>
          </w:tcPr>
          <w:p>
            <w:r/>
            <w:r>
              <w:rPr>
                <w:rFonts w:ascii="Calibri" w:hAnsi="Calibri"/>
                <w:sz w:val="20"/>
              </w:rPr>
              <w:t>15.572</w:t>
            </w:r>
          </w:p>
        </w:tc>
        <w:tc>
          <w:tcPr>
            <w:tcW w:type="dxa" w:w="669"/>
          </w:tcPr>
          <w:p>
            <w:r/>
            <w:r>
              <w:rPr>
                <w:rFonts w:ascii="Calibri" w:hAnsi="Calibri"/>
                <w:sz w:val="20"/>
              </w:rPr>
              <w:t>0.15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B</w:t>
            </w:r>
          </w:p>
        </w:tc>
        <w:tc>
          <w:tcPr>
            <w:tcW w:type="dxa" w:w="669"/>
          </w:tcPr>
          <w:p>
            <w:r/>
            <w:r>
              <w:rPr>
                <w:rFonts w:ascii="Calibri" w:hAnsi="Calibri"/>
                <w:sz w:val="20"/>
              </w:rPr>
              <w:t>4.366</w:t>
            </w:r>
          </w:p>
        </w:tc>
        <w:tc>
          <w:tcPr>
            <w:tcW w:type="dxa" w:w="669"/>
          </w:tcPr>
          <w:p>
            <w:r/>
            <w:r>
              <w:rPr>
                <w:rFonts w:ascii="Calibri" w:hAnsi="Calibri"/>
                <w:sz w:val="20"/>
              </w:rPr>
              <w:t>3.806</w:t>
            </w:r>
          </w:p>
        </w:tc>
        <w:tc>
          <w:tcPr>
            <w:tcW w:type="dxa" w:w="669"/>
          </w:tcPr>
          <w:p>
            <w:r/>
            <w:r>
              <w:rPr>
                <w:rFonts w:ascii="Calibri" w:hAnsi="Calibri"/>
                <w:sz w:val="20"/>
              </w:rPr>
              <w:t>5.006</w:t>
            </w:r>
          </w:p>
        </w:tc>
        <w:tc>
          <w:tcPr>
            <w:tcW w:type="dxa" w:w="669"/>
          </w:tcPr>
          <w:p>
            <w:r/>
            <w:r>
              <w:rPr>
                <w:rFonts w:ascii="Calibri" w:hAnsi="Calibri"/>
                <w:sz w:val="20"/>
              </w:rPr>
              <w:t>4.337</w:t>
            </w:r>
          </w:p>
        </w:tc>
        <w:tc>
          <w:tcPr>
            <w:tcW w:type="dxa" w:w="669"/>
          </w:tcPr>
          <w:p>
            <w:r/>
            <w:r>
              <w:rPr>
                <w:rFonts w:ascii="Calibri" w:hAnsi="Calibri"/>
                <w:sz w:val="20"/>
              </w:rPr>
              <w:t>3.774</w:t>
            </w:r>
          </w:p>
        </w:tc>
        <w:tc>
          <w:tcPr>
            <w:tcW w:type="dxa" w:w="669"/>
          </w:tcPr>
          <w:p>
            <w:r/>
            <w:r>
              <w:rPr>
                <w:rFonts w:ascii="Calibri" w:hAnsi="Calibri"/>
                <w:sz w:val="20"/>
              </w:rPr>
              <w:t>4.977</w:t>
            </w:r>
          </w:p>
        </w:tc>
        <w:tc>
          <w:tcPr>
            <w:tcW w:type="dxa" w:w="669"/>
          </w:tcPr>
          <w:p>
            <w:r/>
            <w:r>
              <w:rPr>
                <w:rFonts w:ascii="Calibri" w:hAnsi="Calibri"/>
                <w:sz w:val="20"/>
              </w:rPr>
              <w:t>0.029</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B</w:t>
            </w:r>
          </w:p>
        </w:tc>
        <w:tc>
          <w:tcPr>
            <w:tcW w:type="dxa" w:w="669"/>
          </w:tcPr>
          <w:p>
            <w:r/>
            <w:r>
              <w:rPr>
                <w:rFonts w:ascii="Calibri" w:hAnsi="Calibri"/>
                <w:sz w:val="20"/>
              </w:rPr>
              <w:t>26.737</w:t>
            </w:r>
          </w:p>
        </w:tc>
        <w:tc>
          <w:tcPr>
            <w:tcW w:type="dxa" w:w="669"/>
          </w:tcPr>
          <w:p>
            <w:r/>
            <w:r>
              <w:rPr>
                <w:rFonts w:ascii="Calibri" w:hAnsi="Calibri"/>
                <w:sz w:val="20"/>
              </w:rPr>
              <w:t>21.71</w:t>
            </w:r>
          </w:p>
        </w:tc>
        <w:tc>
          <w:tcPr>
            <w:tcW w:type="dxa" w:w="669"/>
          </w:tcPr>
          <w:p>
            <w:r/>
            <w:r>
              <w:rPr>
                <w:rFonts w:ascii="Calibri" w:hAnsi="Calibri"/>
                <w:sz w:val="20"/>
              </w:rPr>
              <w:t>31.626</w:t>
            </w:r>
          </w:p>
        </w:tc>
        <w:tc>
          <w:tcPr>
            <w:tcW w:type="dxa" w:w="669"/>
          </w:tcPr>
          <w:p>
            <w:r/>
            <w:r>
              <w:rPr>
                <w:rFonts w:ascii="Calibri" w:hAnsi="Calibri"/>
                <w:sz w:val="20"/>
              </w:rPr>
              <w:t>26.844</w:t>
            </w:r>
          </w:p>
        </w:tc>
        <w:tc>
          <w:tcPr>
            <w:tcW w:type="dxa" w:w="669"/>
          </w:tcPr>
          <w:p>
            <w:r/>
            <w:r>
              <w:rPr>
                <w:rFonts w:ascii="Calibri" w:hAnsi="Calibri"/>
                <w:sz w:val="20"/>
              </w:rPr>
              <w:t>21.568</w:t>
            </w:r>
          </w:p>
        </w:tc>
        <w:tc>
          <w:tcPr>
            <w:tcW w:type="dxa" w:w="669"/>
          </w:tcPr>
          <w:p>
            <w:r/>
            <w:r>
              <w:rPr>
                <w:rFonts w:ascii="Calibri" w:hAnsi="Calibri"/>
                <w:sz w:val="20"/>
              </w:rPr>
              <w:t>31.874</w:t>
            </w:r>
          </w:p>
        </w:tc>
        <w:tc>
          <w:tcPr>
            <w:tcW w:type="dxa" w:w="669"/>
          </w:tcPr>
          <w:p>
            <w:r/>
            <w:r>
              <w:rPr>
                <w:rFonts w:ascii="Calibri" w:hAnsi="Calibri"/>
                <w:sz w:val="20"/>
              </w:rPr>
              <w:t>-0.107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B</w:t>
            </w:r>
          </w:p>
        </w:tc>
        <w:tc>
          <w:tcPr>
            <w:tcW w:type="dxa" w:w="669"/>
          </w:tcPr>
          <w:p>
            <w:r/>
            <w:r>
              <w:rPr>
                <w:rFonts w:ascii="Calibri" w:hAnsi="Calibri"/>
                <w:sz w:val="20"/>
              </w:rPr>
              <w:t>10.748</w:t>
            </w:r>
          </w:p>
        </w:tc>
        <w:tc>
          <w:tcPr>
            <w:tcW w:type="dxa" w:w="669"/>
          </w:tcPr>
          <w:p>
            <w:r/>
            <w:r>
              <w:rPr>
                <w:rFonts w:ascii="Calibri" w:hAnsi="Calibri"/>
                <w:sz w:val="20"/>
              </w:rPr>
              <w:t>8.16</w:t>
            </w:r>
          </w:p>
        </w:tc>
        <w:tc>
          <w:tcPr>
            <w:tcW w:type="dxa" w:w="669"/>
          </w:tcPr>
          <w:p>
            <w:r/>
            <w:r>
              <w:rPr>
                <w:rFonts w:ascii="Calibri" w:hAnsi="Calibri"/>
                <w:sz w:val="20"/>
              </w:rPr>
              <w:t>13.191</w:t>
            </w:r>
          </w:p>
        </w:tc>
        <w:tc>
          <w:tcPr>
            <w:tcW w:type="dxa" w:w="669"/>
          </w:tcPr>
          <w:p>
            <w:r/>
            <w:r>
              <w:rPr>
                <w:rFonts w:ascii="Calibri" w:hAnsi="Calibri"/>
                <w:sz w:val="20"/>
              </w:rPr>
              <w:t>9.737</w:t>
            </w:r>
          </w:p>
        </w:tc>
        <w:tc>
          <w:tcPr>
            <w:tcW w:type="dxa" w:w="669"/>
          </w:tcPr>
          <w:p>
            <w:r/>
            <w:r>
              <w:rPr>
                <w:rFonts w:ascii="Calibri" w:hAnsi="Calibri"/>
                <w:sz w:val="20"/>
              </w:rPr>
              <w:t>7.705</w:t>
            </w:r>
          </w:p>
        </w:tc>
        <w:tc>
          <w:tcPr>
            <w:tcW w:type="dxa" w:w="669"/>
          </w:tcPr>
          <w:p>
            <w:r/>
            <w:r>
              <w:rPr>
                <w:rFonts w:ascii="Calibri" w:hAnsi="Calibri"/>
                <w:sz w:val="20"/>
              </w:rPr>
              <w:t>11.656</w:t>
            </w:r>
          </w:p>
        </w:tc>
        <w:tc>
          <w:tcPr>
            <w:tcW w:type="dxa" w:w="669"/>
          </w:tcPr>
          <w:p>
            <w:r/>
            <w:r>
              <w:rPr>
                <w:rFonts w:ascii="Calibri" w:hAnsi="Calibri"/>
                <w:sz w:val="20"/>
              </w:rPr>
              <w:t>1.012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B</w:t>
            </w:r>
          </w:p>
        </w:tc>
        <w:tc>
          <w:tcPr>
            <w:tcW w:type="dxa" w:w="669"/>
          </w:tcPr>
          <w:p>
            <w:r/>
            <w:r>
              <w:rPr>
                <w:rFonts w:ascii="Calibri" w:hAnsi="Calibri"/>
                <w:sz w:val="20"/>
              </w:rPr>
              <w:t>8.357</w:t>
            </w:r>
          </w:p>
        </w:tc>
        <w:tc>
          <w:tcPr>
            <w:tcW w:type="dxa" w:w="669"/>
          </w:tcPr>
          <w:p>
            <w:r/>
            <w:r>
              <w:rPr>
                <w:rFonts w:ascii="Calibri" w:hAnsi="Calibri"/>
                <w:sz w:val="20"/>
              </w:rPr>
              <w:t>7.091</w:t>
            </w:r>
          </w:p>
        </w:tc>
        <w:tc>
          <w:tcPr>
            <w:tcW w:type="dxa" w:w="669"/>
          </w:tcPr>
          <w:p>
            <w:r/>
            <w:r>
              <w:rPr>
                <w:rFonts w:ascii="Calibri" w:hAnsi="Calibri"/>
                <w:sz w:val="20"/>
              </w:rPr>
              <w:t>9.668</w:t>
            </w:r>
          </w:p>
        </w:tc>
        <w:tc>
          <w:tcPr>
            <w:tcW w:type="dxa" w:w="669"/>
          </w:tcPr>
          <w:p>
            <w:r/>
            <w:r>
              <w:rPr>
                <w:rFonts w:ascii="Calibri" w:hAnsi="Calibri"/>
                <w:sz w:val="20"/>
              </w:rPr>
              <w:t>8.471</w:t>
            </w:r>
          </w:p>
        </w:tc>
        <w:tc>
          <w:tcPr>
            <w:tcW w:type="dxa" w:w="669"/>
          </w:tcPr>
          <w:p>
            <w:r/>
            <w:r>
              <w:rPr>
                <w:rFonts w:ascii="Calibri" w:hAnsi="Calibri"/>
                <w:sz w:val="20"/>
              </w:rPr>
              <w:t>7.282</w:t>
            </w:r>
          </w:p>
        </w:tc>
        <w:tc>
          <w:tcPr>
            <w:tcW w:type="dxa" w:w="669"/>
          </w:tcPr>
          <w:p>
            <w:r/>
            <w:r>
              <w:rPr>
                <w:rFonts w:ascii="Calibri" w:hAnsi="Calibri"/>
                <w:sz w:val="20"/>
              </w:rPr>
              <w:t>9.693</w:t>
            </w:r>
          </w:p>
        </w:tc>
        <w:tc>
          <w:tcPr>
            <w:tcW w:type="dxa" w:w="669"/>
          </w:tcPr>
          <w:p>
            <w:r/>
            <w:r>
              <w:rPr>
                <w:rFonts w:ascii="Calibri" w:hAnsi="Calibri"/>
                <w:sz w:val="20"/>
              </w:rPr>
              <w:t>-0.115</w:t>
            </w:r>
          </w:p>
        </w:tc>
        <w:tc>
          <w:tcPr>
            <w:tcW w:type="dxa" w:w="669"/>
          </w:tcPr>
          <w:p>
            <w:r/>
            <w:r>
              <w:rPr>
                <w:rFonts w:ascii="Calibri" w:hAnsi="Calibri"/>
                <w:sz w:val="20"/>
              </w:rPr>
              <w:t>N</w:t>
            </w:r>
          </w:p>
        </w:tc>
      </w:tr>
    </w:tbl>
    <w:p>
      <w:r>
        <w:rPr>
          <w:i/>
          <w:sz w:val="18"/>
        </w:rPr>
        <w:t>[Table truncated to first 30 rows. Full table at tables\S8_10_bias_correction_regimewise.csv]</w:t>
      </w:r>
    </w:p>
    <w:p>
      <w:pPr>
        <w:pStyle w:val="Heading3"/>
      </w:pPr>
      <w:r>
        <w:t>Table S2. S8 5 1 regime rmse opx liq</w:t>
      </w:r>
    </w:p>
    <w:p>
      <w:r>
        <w:rPr>
          <w:i/>
          <w:sz w:val="20"/>
        </w:rPr>
        <w:t>Source: tables\S8_5_1_regime_rmse_opx_liq.csv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P_kbar.1</w:t>
            </w:r>
          </w:p>
        </w:tc>
        <w:tc>
          <w:tcPr>
            <w:tcW w:type="dxa" w:w="1872"/>
          </w:tcPr>
          <w:p>
            <w:r/>
            <w:r>
              <w:rPr>
                <w:rFonts w:ascii="Calibri" w:hAnsi="Calibri"/>
                <w:b/>
                <w:sz w:val="20"/>
              </w:rPr>
              <w:t>T_C</w:t>
            </w:r>
          </w:p>
        </w:tc>
        <w:tc>
          <w:tcPr>
            <w:tcW w:type="dxa" w:w="1872"/>
          </w:tcPr>
          <w:p>
            <w:r/>
            <w:r>
              <w:rPr>
                <w:rFonts w:ascii="Calibri" w:hAnsi="Calibri"/>
                <w:b/>
                <w:sz w:val="20"/>
              </w:rPr>
              <w:t>T_C.1</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our_method</w:t>
            </w:r>
          </w:p>
        </w:tc>
        <w:tc>
          <w:tcPr>
            <w:tcW w:type="dxa" w:w="1872"/>
          </w:tcPr>
          <w:p>
            <w:r/>
            <w:r>
              <w:rPr>
                <w:rFonts w:ascii="Calibri" w:hAnsi="Calibri"/>
                <w:sz w:val="20"/>
              </w:rPr>
              <w:t>Putirka</w:t>
            </w:r>
          </w:p>
        </w:tc>
        <w:tc>
          <w:tcPr>
            <w:tcW w:type="dxa" w:w="1872"/>
          </w:tcPr>
          <w:p>
            <w:r/>
            <w:r>
              <w:rPr>
                <w:rFonts w:ascii="Calibri" w:hAnsi="Calibri"/>
                <w:sz w:val="20"/>
              </w:rPr>
              <w:t>our_method</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3.886363899698184</w:t>
            </w:r>
          </w:p>
        </w:tc>
        <w:tc>
          <w:tcPr>
            <w:tcW w:type="dxa" w:w="1872"/>
          </w:tcPr>
          <w:p>
            <w:r/>
            <w:r>
              <w:rPr>
                <w:rFonts w:ascii="Calibri" w:hAnsi="Calibri"/>
                <w:sz w:val="20"/>
              </w:rPr>
              <w:t>2.6629062653698017</w:t>
            </w:r>
          </w:p>
        </w:tc>
        <w:tc>
          <w:tcPr>
            <w:tcW w:type="dxa" w:w="1872"/>
          </w:tcPr>
          <w:p>
            <w:r/>
            <w:r>
              <w:rPr>
                <w:rFonts w:ascii="Calibri" w:hAnsi="Calibri"/>
                <w:sz w:val="20"/>
              </w:rPr>
              <w:t>25.52386491004583</w:t>
            </w:r>
          </w:p>
        </w:tc>
        <w:tc>
          <w:tcPr>
            <w:tcW w:type="dxa" w:w="1872"/>
          </w:tcPr>
          <w:p>
            <w:r/>
            <w:r>
              <w:rPr>
                <w:rFonts w:ascii="Calibri" w:hAnsi="Calibri"/>
                <w:sz w:val="20"/>
              </w:rPr>
              <w:t>23.46950633881204</w:t>
            </w:r>
          </w:p>
        </w:tc>
      </w:tr>
      <w:tr>
        <w:tc>
          <w:tcPr>
            <w:tcW w:type="dxa" w:w="1872"/>
          </w:tcPr>
          <w:p>
            <w:r/>
            <w:r>
              <w:rPr>
                <w:rFonts w:ascii="Calibri" w:hAnsi="Calibri"/>
                <w:sz w:val="20"/>
              </w:rPr>
              <w:t>deep_crustal_MASH</w:t>
            </w:r>
          </w:p>
        </w:tc>
        <w:tc>
          <w:tcPr>
            <w:tcW w:type="dxa" w:w="1872"/>
          </w:tcPr>
          <w:p>
            <w:r/>
            <w:r>
              <w:rPr>
                <w:rFonts w:ascii="Calibri" w:hAnsi="Calibri"/>
                <w:sz w:val="20"/>
              </w:rPr>
              <w:t>2.3144340490953392</w:t>
            </w:r>
          </w:p>
        </w:tc>
        <w:tc>
          <w:tcPr>
            <w:tcW w:type="dxa" w:w="1872"/>
          </w:tcPr>
          <w:p>
            <w:r/>
            <w:r>
              <w:rPr>
                <w:rFonts w:ascii="Calibri" w:hAnsi="Calibri"/>
                <w:sz w:val="20"/>
              </w:rPr>
              <w:t>2.078945257682617</w:t>
            </w:r>
          </w:p>
        </w:tc>
        <w:tc>
          <w:tcPr>
            <w:tcW w:type="dxa" w:w="1872"/>
          </w:tcPr>
          <w:p>
            <w:r/>
            <w:r>
              <w:rPr>
                <w:rFonts w:ascii="Calibri" w:hAnsi="Calibri"/>
                <w:sz w:val="20"/>
              </w:rPr>
              <w:t>87.478244585471</w:t>
            </w:r>
          </w:p>
        </w:tc>
        <w:tc>
          <w:tcPr>
            <w:tcW w:type="dxa" w:w="1872"/>
          </w:tcPr>
          <w:p>
            <w:r/>
            <w:r>
              <w:rPr>
                <w:rFonts w:ascii="Calibri" w:hAnsi="Calibri"/>
                <w:sz w:val="20"/>
              </w:rPr>
              <w:t>78.46430905099997</w:t>
            </w:r>
          </w:p>
        </w:tc>
      </w:tr>
      <w:tr>
        <w:tc>
          <w:tcPr>
            <w:tcW w:type="dxa" w:w="1872"/>
          </w:tcPr>
          <w:p>
            <w:r/>
            <w:r>
              <w:rPr>
                <w:rFonts w:ascii="Calibri" w:hAnsi="Calibri"/>
                <w:sz w:val="20"/>
              </w:rPr>
              <w:t>lithospheric_mantle</w:t>
            </w:r>
          </w:p>
        </w:tc>
        <w:tc>
          <w:tcPr>
            <w:tcW w:type="dxa" w:w="1872"/>
          </w:tcPr>
          <w:p>
            <w:r/>
            <w:r>
              <w:rPr>
                <w:rFonts w:ascii="Calibri" w:hAnsi="Calibri"/>
                <w:sz w:val="20"/>
              </w:rPr>
              <w:t>4.659726169083871</w:t>
            </w:r>
          </w:p>
        </w:tc>
        <w:tc>
          <w:tcPr>
            <w:tcW w:type="dxa" w:w="1872"/>
          </w:tcPr>
          <w:p>
            <w:r/>
            <w:r>
              <w:rPr>
                <w:rFonts w:ascii="Calibri" w:hAnsi="Calibri"/>
                <w:sz w:val="20"/>
              </w:rPr>
              <w:t>4.538469782286738</w:t>
            </w:r>
          </w:p>
        </w:tc>
        <w:tc>
          <w:tcPr>
            <w:tcW w:type="dxa" w:w="1872"/>
          </w:tcPr>
          <w:p>
            <w:r/>
            <w:r>
              <w:rPr>
                <w:rFonts w:ascii="Calibri" w:hAnsi="Calibri"/>
                <w:sz w:val="20"/>
              </w:rPr>
              <w:t>79.65209323346028</w:t>
            </w:r>
          </w:p>
        </w:tc>
        <w:tc>
          <w:tcPr>
            <w:tcW w:type="dxa" w:w="1872"/>
          </w:tcPr>
          <w:p>
            <w:r/>
            <w:r>
              <w:rPr>
                <w:rFonts w:ascii="Calibri" w:hAnsi="Calibri"/>
                <w:sz w:val="20"/>
              </w:rPr>
              <w:t>93.6982941619437</w:t>
            </w:r>
          </w:p>
        </w:tc>
      </w:tr>
      <w:tr>
        <w:tc>
          <w:tcPr>
            <w:tcW w:type="dxa" w:w="1872"/>
          </w:tcPr>
          <w:p>
            <w:r/>
            <w:r>
              <w:rPr>
                <w:rFonts w:ascii="Calibri" w:hAnsi="Calibri"/>
                <w:sz w:val="20"/>
              </w:rPr>
              <w:t>deeper_mantle</w:t>
            </w:r>
          </w:p>
        </w:tc>
        <w:tc>
          <w:tcPr>
            <w:tcW w:type="dxa" w:w="1872"/>
          </w:tcPr>
          <w:p>
            <w:r/>
            <w:r>
              <w:rPr>
                <w:rFonts w:ascii="Calibri" w:hAnsi="Calibri"/>
                <w:sz w:val="20"/>
              </w:rPr>
              <w:t>8.51948552579252</w:t>
            </w:r>
          </w:p>
        </w:tc>
        <w:tc>
          <w:tcPr>
            <w:tcW w:type="dxa" w:w="1872"/>
          </w:tcPr>
          <w:p>
            <w:r/>
            <w:r>
              <w:rPr>
                <w:rFonts w:ascii="Calibri" w:hAnsi="Calibri"/>
                <w:sz w:val="20"/>
              </w:rPr>
              <w:t>4.555771723826939</w:t>
            </w:r>
          </w:p>
        </w:tc>
        <w:tc>
          <w:tcPr>
            <w:tcW w:type="dxa" w:w="1872"/>
          </w:tcPr>
          <w:p>
            <w:r/>
            <w:r>
              <w:rPr>
                <w:rFonts w:ascii="Calibri" w:hAnsi="Calibri"/>
                <w:sz w:val="20"/>
              </w:rPr>
              <w:t>85.50088439343597</w:t>
            </w:r>
          </w:p>
        </w:tc>
        <w:tc>
          <w:tcPr>
            <w:tcW w:type="dxa" w:w="1872"/>
          </w:tcPr>
          <w:p>
            <w:r/>
            <w:r>
              <w:rPr>
                <w:rFonts w:ascii="Calibri" w:hAnsi="Calibri"/>
                <w:sz w:val="20"/>
              </w:rPr>
              <w:t>105.60448966787888</w:t>
            </w:r>
          </w:p>
        </w:tc>
      </w:tr>
    </w:tbl>
    <w:p>
      <w:pPr>
        <w:pStyle w:val="Heading3"/>
      </w:pPr>
      <w:r>
        <w:t>Table S3. S8 5 2 regime rmse ci opx liq</w:t>
      </w:r>
    </w:p>
    <w:p>
      <w:r>
        <w:rPr>
          <w:i/>
          <w:sz w:val="20"/>
        </w:rPr>
        <w:t>Source: tables\S8_5_2_regime_rmse_ci_opx_liq.csv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P_kbar.1</w:t>
            </w:r>
          </w:p>
        </w:tc>
        <w:tc>
          <w:tcPr>
            <w:tcW w:type="dxa" w:w="1872"/>
          </w:tcPr>
          <w:p>
            <w:r/>
            <w:r>
              <w:rPr>
                <w:rFonts w:ascii="Calibri" w:hAnsi="Calibri"/>
                <w:b/>
                <w:sz w:val="20"/>
              </w:rPr>
              <w:t>T_C</w:t>
            </w:r>
          </w:p>
        </w:tc>
        <w:tc>
          <w:tcPr>
            <w:tcW w:type="dxa" w:w="1872"/>
          </w:tcPr>
          <w:p>
            <w:r/>
            <w:r>
              <w:rPr>
                <w:rFonts w:ascii="Calibri" w:hAnsi="Calibri"/>
                <w:b/>
                <w:sz w:val="20"/>
              </w:rPr>
              <w:t>T_C.1</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our_method</w:t>
            </w:r>
          </w:p>
        </w:tc>
        <w:tc>
          <w:tcPr>
            <w:tcW w:type="dxa" w:w="1872"/>
          </w:tcPr>
          <w:p>
            <w:r/>
            <w:r>
              <w:rPr>
                <w:rFonts w:ascii="Calibri" w:hAnsi="Calibri"/>
                <w:sz w:val="20"/>
              </w:rPr>
              <w:t>Putirka</w:t>
            </w:r>
          </w:p>
        </w:tc>
        <w:tc>
          <w:tcPr>
            <w:tcW w:type="dxa" w:w="1872"/>
          </w:tcPr>
          <w:p>
            <w:r/>
            <w:r>
              <w:rPr>
                <w:rFonts w:ascii="Calibri" w:hAnsi="Calibri"/>
                <w:sz w:val="20"/>
              </w:rPr>
              <w:t>our_method</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3.89 [3.24, 4.47]</w:t>
            </w:r>
          </w:p>
        </w:tc>
        <w:tc>
          <w:tcPr>
            <w:tcW w:type="dxa" w:w="1872"/>
          </w:tcPr>
          <w:p>
            <w:r/>
            <w:r>
              <w:rPr>
                <w:rFonts w:ascii="Calibri" w:hAnsi="Calibri"/>
                <w:sz w:val="20"/>
              </w:rPr>
              <w:t>2.66 [2.25, 3.13]</w:t>
            </w:r>
          </w:p>
        </w:tc>
        <w:tc>
          <w:tcPr>
            <w:tcW w:type="dxa" w:w="1872"/>
          </w:tcPr>
          <w:p>
            <w:r/>
            <w:r>
              <w:rPr>
                <w:rFonts w:ascii="Calibri" w:hAnsi="Calibri"/>
                <w:sz w:val="20"/>
              </w:rPr>
              <w:t>25.52 [16.32, 33.87]</w:t>
            </w:r>
          </w:p>
        </w:tc>
        <w:tc>
          <w:tcPr>
            <w:tcW w:type="dxa" w:w="1872"/>
          </w:tcPr>
          <w:p>
            <w:r/>
            <w:r>
              <w:rPr>
                <w:rFonts w:ascii="Calibri" w:hAnsi="Calibri"/>
                <w:sz w:val="20"/>
              </w:rPr>
              <w:t>23.47 [15.89, 30.40]</w:t>
            </w:r>
          </w:p>
        </w:tc>
      </w:tr>
      <w:tr>
        <w:tc>
          <w:tcPr>
            <w:tcW w:type="dxa" w:w="1872"/>
          </w:tcPr>
          <w:p>
            <w:r/>
            <w:r>
              <w:rPr>
                <w:rFonts w:ascii="Calibri" w:hAnsi="Calibri"/>
                <w:sz w:val="20"/>
              </w:rPr>
              <w:t>deep_crustal_MASH</w:t>
            </w:r>
          </w:p>
        </w:tc>
        <w:tc>
          <w:tcPr>
            <w:tcW w:type="dxa" w:w="1872"/>
          </w:tcPr>
          <w:p>
            <w:r/>
            <w:r>
              <w:rPr>
                <w:rFonts w:ascii="Calibri" w:hAnsi="Calibri"/>
                <w:sz w:val="20"/>
              </w:rPr>
              <w:t>2.31 [1.72, 2.85]</w:t>
            </w:r>
          </w:p>
        </w:tc>
        <w:tc>
          <w:tcPr>
            <w:tcW w:type="dxa" w:w="1872"/>
          </w:tcPr>
          <w:p>
            <w:r/>
            <w:r>
              <w:rPr>
                <w:rFonts w:ascii="Calibri" w:hAnsi="Calibri"/>
                <w:sz w:val="20"/>
              </w:rPr>
              <w:t>2.08 [1.62, 2.54]</w:t>
            </w:r>
          </w:p>
        </w:tc>
        <w:tc>
          <w:tcPr>
            <w:tcW w:type="dxa" w:w="1872"/>
          </w:tcPr>
          <w:p>
            <w:r/>
            <w:r>
              <w:rPr>
                <w:rFonts w:ascii="Calibri" w:hAnsi="Calibri"/>
                <w:sz w:val="20"/>
              </w:rPr>
              <w:t>87.48 [34.61, 120.83]</w:t>
            </w:r>
          </w:p>
        </w:tc>
        <w:tc>
          <w:tcPr>
            <w:tcW w:type="dxa" w:w="1872"/>
          </w:tcPr>
          <w:p>
            <w:r/>
            <w:r>
              <w:rPr>
                <w:rFonts w:ascii="Calibri" w:hAnsi="Calibri"/>
                <w:sz w:val="20"/>
              </w:rPr>
              <w:t>78.46 [29.85, 113.07]</w:t>
            </w:r>
          </w:p>
        </w:tc>
      </w:tr>
      <w:tr>
        <w:tc>
          <w:tcPr>
            <w:tcW w:type="dxa" w:w="1872"/>
          </w:tcPr>
          <w:p>
            <w:r/>
            <w:r>
              <w:rPr>
                <w:rFonts w:ascii="Calibri" w:hAnsi="Calibri"/>
                <w:sz w:val="20"/>
              </w:rPr>
              <w:t>lithospheric_mantle</w:t>
            </w:r>
          </w:p>
        </w:tc>
        <w:tc>
          <w:tcPr>
            <w:tcW w:type="dxa" w:w="1872"/>
          </w:tcPr>
          <w:p>
            <w:r/>
            <w:r>
              <w:rPr>
                <w:rFonts w:ascii="Calibri" w:hAnsi="Calibri"/>
                <w:sz w:val="20"/>
              </w:rPr>
              <w:t>4.66 [3.25, 5.96]</w:t>
            </w:r>
          </w:p>
        </w:tc>
        <w:tc>
          <w:tcPr>
            <w:tcW w:type="dxa" w:w="1872"/>
          </w:tcPr>
          <w:p>
            <w:r/>
            <w:r>
              <w:rPr>
                <w:rFonts w:ascii="Calibri" w:hAnsi="Calibri"/>
                <w:sz w:val="20"/>
              </w:rPr>
              <w:t>4.54 [3.49, 5.56]</w:t>
            </w:r>
          </w:p>
        </w:tc>
        <w:tc>
          <w:tcPr>
            <w:tcW w:type="dxa" w:w="1872"/>
          </w:tcPr>
          <w:p>
            <w:r/>
            <w:r>
              <w:rPr>
                <w:rFonts w:ascii="Calibri" w:hAnsi="Calibri"/>
                <w:sz w:val="20"/>
              </w:rPr>
              <w:t>79.65 [54.89, 107.41]</w:t>
            </w:r>
          </w:p>
        </w:tc>
        <w:tc>
          <w:tcPr>
            <w:tcW w:type="dxa" w:w="1872"/>
          </w:tcPr>
          <w:p>
            <w:r/>
            <w:r>
              <w:rPr>
                <w:rFonts w:ascii="Calibri" w:hAnsi="Calibri"/>
                <w:sz w:val="20"/>
              </w:rPr>
              <w:t>93.70 [77.31, 111.17]</w:t>
            </w:r>
          </w:p>
        </w:tc>
      </w:tr>
      <w:tr>
        <w:tc>
          <w:tcPr>
            <w:tcW w:type="dxa" w:w="1872"/>
          </w:tcPr>
          <w:p>
            <w:r/>
            <w:r>
              <w:rPr>
                <w:rFonts w:ascii="Calibri" w:hAnsi="Calibri"/>
                <w:sz w:val="20"/>
              </w:rPr>
              <w:t>deeper_mantle</w:t>
            </w:r>
          </w:p>
        </w:tc>
        <w:tc>
          <w:tcPr>
            <w:tcW w:type="dxa" w:w="1872"/>
          </w:tcPr>
          <w:p>
            <w:r/>
            <w:r>
              <w:rPr>
                <w:rFonts w:ascii="Calibri" w:hAnsi="Calibri"/>
                <w:sz w:val="20"/>
              </w:rPr>
              <w:t>8.52 [4.44, 11.14]</w:t>
            </w:r>
          </w:p>
        </w:tc>
        <w:tc>
          <w:tcPr>
            <w:tcW w:type="dxa" w:w="1872"/>
          </w:tcPr>
          <w:p>
            <w:r/>
            <w:r>
              <w:rPr>
                <w:rFonts w:ascii="Calibri" w:hAnsi="Calibri"/>
                <w:sz w:val="20"/>
              </w:rPr>
              <w:t>4.56 [3.19, 5.75]</w:t>
            </w:r>
          </w:p>
        </w:tc>
        <w:tc>
          <w:tcPr>
            <w:tcW w:type="dxa" w:w="1872"/>
          </w:tcPr>
          <w:p>
            <w:r/>
            <w:r>
              <w:rPr>
                <w:rFonts w:ascii="Calibri" w:hAnsi="Calibri"/>
                <w:sz w:val="20"/>
              </w:rPr>
              <w:t>85.50 [14.78, 123.50]</w:t>
            </w:r>
          </w:p>
        </w:tc>
        <w:tc>
          <w:tcPr>
            <w:tcW w:type="dxa" w:w="1872"/>
          </w:tcPr>
          <w:p>
            <w:r/>
            <w:r>
              <w:rPr>
                <w:rFonts w:ascii="Calibri" w:hAnsi="Calibri"/>
                <w:sz w:val="20"/>
              </w:rPr>
              <w:t>105.60 [75.14, 127.73]</w:t>
            </w:r>
          </w:p>
        </w:tc>
      </w:tr>
    </w:tbl>
    <w:p>
      <w:pPr>
        <w:pStyle w:val="Heading3"/>
      </w:pPr>
      <w:r>
        <w:t>Table S4. S8 5 3 regime claims audit opx liq</w:t>
      </w:r>
    </w:p>
    <w:p>
      <w:r>
        <w:rPr>
          <w:i/>
          <w:sz w:val="20"/>
        </w:rPr>
        <w:t>Source: tables\S8_5_3_regime_claims_audit_opx_liq.csv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Calibri" w:hAnsi="Calibri"/>
                <w:b/>
                <w:sz w:val="20"/>
              </w:rPr>
              <w:t>regime</w:t>
            </w:r>
          </w:p>
        </w:tc>
        <w:tc>
          <w:tcPr>
            <w:tcW w:type="dxa" w:w="1170"/>
          </w:tcPr>
          <w:p>
            <w:r/>
            <w:r>
              <w:rPr>
                <w:rFonts w:ascii="Calibri" w:hAnsi="Calibri"/>
                <w:b/>
                <w:sz w:val="20"/>
              </w:rPr>
              <w:t>target</w:t>
            </w:r>
          </w:p>
        </w:tc>
        <w:tc>
          <w:tcPr>
            <w:tcW w:type="dxa" w:w="1170"/>
          </w:tcPr>
          <w:p>
            <w:r/>
            <w:r>
              <w:rPr>
                <w:rFonts w:ascii="Calibri" w:hAnsi="Calibri"/>
                <w:b/>
                <w:sz w:val="20"/>
              </w:rPr>
              <w:t>n</w:t>
            </w:r>
          </w:p>
        </w:tc>
        <w:tc>
          <w:tcPr>
            <w:tcW w:type="dxa" w:w="1170"/>
          </w:tcPr>
          <w:p>
            <w:r/>
            <w:r>
              <w:rPr>
                <w:rFonts w:ascii="Calibri" w:hAnsi="Calibri"/>
                <w:b/>
                <w:sz w:val="20"/>
              </w:rPr>
              <w:t>sample_size_limited</w:t>
            </w:r>
          </w:p>
        </w:tc>
        <w:tc>
          <w:tcPr>
            <w:tcW w:type="dxa" w:w="1170"/>
          </w:tcPr>
          <w:p>
            <w:r/>
            <w:r>
              <w:rPr>
                <w:rFonts w:ascii="Calibri" w:hAnsi="Calibri"/>
                <w:b/>
                <w:sz w:val="20"/>
              </w:rPr>
              <w:t>our_rmse</w:t>
            </w:r>
          </w:p>
        </w:tc>
        <w:tc>
          <w:tcPr>
            <w:tcW w:type="dxa" w:w="1170"/>
          </w:tcPr>
          <w:p>
            <w:r/>
            <w:r>
              <w:rPr>
                <w:rFonts w:ascii="Calibri" w:hAnsi="Calibri"/>
                <w:b/>
                <w:sz w:val="20"/>
              </w:rPr>
              <w:t>putirka_rmse</w:t>
            </w:r>
          </w:p>
        </w:tc>
        <w:tc>
          <w:tcPr>
            <w:tcW w:type="dxa" w:w="1170"/>
          </w:tcPr>
          <w:p>
            <w:r/>
            <w:r>
              <w:rPr>
                <w:rFonts w:ascii="Calibri" w:hAnsi="Calibri"/>
                <w:b/>
                <w:sz w:val="20"/>
              </w:rPr>
              <w:t>ci_overlap</w:t>
            </w:r>
          </w:p>
        </w:tc>
        <w:tc>
          <w:tcPr>
            <w:tcW w:type="dxa" w:w="1170"/>
          </w:tcPr>
          <w:p>
            <w:r/>
            <w:r>
              <w:rPr>
                <w:rFonts w:ascii="Calibri" w:hAnsi="Calibri"/>
                <w:b/>
                <w:sz w:val="20"/>
              </w:rPr>
              <w:t>verdict</w:t>
            </w:r>
          </w:p>
        </w:tc>
      </w:tr>
      <w:tr>
        <w:tc>
          <w:tcPr>
            <w:tcW w:type="dxa" w:w="1170"/>
          </w:tcPr>
          <w:p>
            <w:r/>
            <w:r>
              <w:rPr>
                <w:rFonts w:ascii="Calibri" w:hAnsi="Calibri"/>
                <w:sz w:val="20"/>
              </w:rPr>
              <w:t>shallow_crustal</w:t>
            </w:r>
          </w:p>
        </w:tc>
        <w:tc>
          <w:tcPr>
            <w:tcW w:type="dxa" w:w="1170"/>
          </w:tcPr>
          <w:p>
            <w:r/>
            <w:r>
              <w:rPr>
                <w:rFonts w:ascii="Calibri" w:hAnsi="Calibri"/>
                <w:sz w:val="20"/>
              </w:rPr>
              <w:t>T_C</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23.47</w:t>
            </w:r>
          </w:p>
        </w:tc>
        <w:tc>
          <w:tcPr>
            <w:tcW w:type="dxa" w:w="1170"/>
          </w:tcPr>
          <w:p>
            <w:r/>
            <w:r>
              <w:rPr>
                <w:rFonts w:ascii="Calibri" w:hAnsi="Calibri"/>
                <w:sz w:val="20"/>
              </w:rPr>
              <w:t>25.524</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shallow_crustal</w:t>
            </w:r>
          </w:p>
        </w:tc>
        <w:tc>
          <w:tcPr>
            <w:tcW w:type="dxa" w:w="1170"/>
          </w:tcPr>
          <w:p>
            <w:r/>
            <w:r>
              <w:rPr>
                <w:rFonts w:ascii="Calibri" w:hAnsi="Calibri"/>
                <w:sz w:val="20"/>
              </w:rPr>
              <w:t>P_kbar</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2.663</w:t>
            </w:r>
          </w:p>
        </w:tc>
        <w:tc>
          <w:tcPr>
            <w:tcW w:type="dxa" w:w="1170"/>
          </w:tcPr>
          <w:p>
            <w:r/>
            <w:r>
              <w:rPr>
                <w:rFonts w:ascii="Calibri" w:hAnsi="Calibri"/>
                <w:sz w:val="20"/>
              </w:rPr>
              <w:t>3.886</w:t>
            </w:r>
          </w:p>
        </w:tc>
        <w:tc>
          <w:tcPr>
            <w:tcW w:type="dxa" w:w="1170"/>
          </w:tcPr>
          <w:p>
            <w:r/>
            <w:r>
              <w:rPr>
                <w:rFonts w:ascii="Calibri" w:hAnsi="Calibri"/>
                <w:sz w:val="20"/>
              </w:rPr>
              <w:t>False</w:t>
            </w:r>
          </w:p>
        </w:tc>
        <w:tc>
          <w:tcPr>
            <w:tcW w:type="dxa" w:w="1170"/>
          </w:tcPr>
          <w:p>
            <w:r/>
            <w:r>
              <w:rPr>
                <w:rFonts w:ascii="Calibri" w:hAnsi="Calibri"/>
                <w:sz w:val="20"/>
              </w:rPr>
              <w:t>our method outperforms Putirka</w:t>
            </w:r>
          </w:p>
        </w:tc>
      </w:tr>
      <w:tr>
        <w:tc>
          <w:tcPr>
            <w:tcW w:type="dxa" w:w="1170"/>
          </w:tcPr>
          <w:p>
            <w:r/>
            <w:r>
              <w:rPr>
                <w:rFonts w:ascii="Calibri" w:hAnsi="Calibri"/>
                <w:sz w:val="20"/>
              </w:rPr>
              <w:t>deep_crustal_MASH</w:t>
            </w:r>
          </w:p>
        </w:tc>
        <w:tc>
          <w:tcPr>
            <w:tcW w:type="dxa" w:w="1170"/>
          </w:tcPr>
          <w:p>
            <w:r/>
            <w:r>
              <w:rPr>
                <w:rFonts w:ascii="Calibri" w:hAnsi="Calibri"/>
                <w:sz w:val="20"/>
              </w:rPr>
              <w:t>T_C</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78.464</w:t>
            </w:r>
          </w:p>
        </w:tc>
        <w:tc>
          <w:tcPr>
            <w:tcW w:type="dxa" w:w="1170"/>
          </w:tcPr>
          <w:p>
            <w:r/>
            <w:r>
              <w:rPr>
                <w:rFonts w:ascii="Calibri" w:hAnsi="Calibri"/>
                <w:sz w:val="20"/>
              </w:rPr>
              <w:t>87.478</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deep_crustal_MASH</w:t>
            </w:r>
          </w:p>
        </w:tc>
        <w:tc>
          <w:tcPr>
            <w:tcW w:type="dxa" w:w="1170"/>
          </w:tcPr>
          <w:p>
            <w:r/>
            <w:r>
              <w:rPr>
                <w:rFonts w:ascii="Calibri" w:hAnsi="Calibri"/>
                <w:sz w:val="20"/>
              </w:rPr>
              <w:t>P_kbar</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2.079</w:t>
            </w:r>
          </w:p>
        </w:tc>
        <w:tc>
          <w:tcPr>
            <w:tcW w:type="dxa" w:w="1170"/>
          </w:tcPr>
          <w:p>
            <w:r/>
            <w:r>
              <w:rPr>
                <w:rFonts w:ascii="Calibri" w:hAnsi="Calibri"/>
                <w:sz w:val="20"/>
              </w:rPr>
              <w:t>2.314</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T_C</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93.698</w:t>
            </w:r>
          </w:p>
        </w:tc>
        <w:tc>
          <w:tcPr>
            <w:tcW w:type="dxa" w:w="1170"/>
          </w:tcPr>
          <w:p>
            <w:r/>
            <w:r>
              <w:rPr>
                <w:rFonts w:ascii="Calibri" w:hAnsi="Calibri"/>
                <w:sz w:val="20"/>
              </w:rPr>
              <w:t>79.652</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P_kbar</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4.538</w:t>
            </w:r>
          </w:p>
        </w:tc>
        <w:tc>
          <w:tcPr>
            <w:tcW w:type="dxa" w:w="1170"/>
          </w:tcPr>
          <w:p>
            <w:r/>
            <w:r>
              <w:rPr>
                <w:rFonts w:ascii="Calibri" w:hAnsi="Calibri"/>
                <w:sz w:val="20"/>
              </w:rPr>
              <w:t>4.66</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deeper_mantle</w:t>
            </w:r>
          </w:p>
        </w:tc>
        <w:tc>
          <w:tcPr>
            <w:tcW w:type="dxa" w:w="1170"/>
          </w:tcPr>
          <w:p>
            <w:r/>
            <w:r>
              <w:rPr>
                <w:rFonts w:ascii="Calibri" w:hAnsi="Calibri"/>
                <w:sz w:val="20"/>
              </w:rPr>
              <w:t>T_C</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105.604</w:t>
            </w:r>
          </w:p>
        </w:tc>
        <w:tc>
          <w:tcPr>
            <w:tcW w:type="dxa" w:w="1170"/>
          </w:tcPr>
          <w:p>
            <w:r/>
            <w:r>
              <w:rPr>
                <w:rFonts w:ascii="Calibri" w:hAnsi="Calibri"/>
                <w:sz w:val="20"/>
              </w:rPr>
              <w:t>85.501</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r>
        <w:tc>
          <w:tcPr>
            <w:tcW w:type="dxa" w:w="1170"/>
          </w:tcPr>
          <w:p>
            <w:r/>
            <w:r>
              <w:rPr>
                <w:rFonts w:ascii="Calibri" w:hAnsi="Calibri"/>
                <w:sz w:val="20"/>
              </w:rPr>
              <w:t>deeper_mantle</w:t>
            </w:r>
          </w:p>
        </w:tc>
        <w:tc>
          <w:tcPr>
            <w:tcW w:type="dxa" w:w="1170"/>
          </w:tcPr>
          <w:p>
            <w:r/>
            <w:r>
              <w:rPr>
                <w:rFonts w:ascii="Calibri" w:hAnsi="Calibri"/>
                <w:sz w:val="20"/>
              </w:rPr>
              <w:t>P_kbar</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4.556</w:t>
            </w:r>
          </w:p>
        </w:tc>
        <w:tc>
          <w:tcPr>
            <w:tcW w:type="dxa" w:w="1170"/>
          </w:tcPr>
          <w:p>
            <w:r/>
            <w:r>
              <w:rPr>
                <w:rFonts w:ascii="Calibri" w:hAnsi="Calibri"/>
                <w:sz w:val="20"/>
              </w:rPr>
              <w:t>8.519</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bl>
    <w:p>
      <w:pPr>
        <w:pStyle w:val="Heading3"/>
      </w:pPr>
      <w:r>
        <w:t>Table S5. S8 5 4 regime claims audit robust opx liq</w:t>
      </w:r>
    </w:p>
    <w:p>
      <w:r>
        <w:rPr>
          <w:i/>
          <w:sz w:val="20"/>
        </w:rPr>
        <w:t>Source: tables\S8_5_4_regime_claims_audit_robust_opx_liq.csv</w:t>
      </w:r>
    </w:p>
    <w:tbl>
      <w:tblPr>
        <w:tblStyle w:val="TableGrid"/>
        <w:tblW w:type="auto" w:w="0"/>
        <w:tblLook w:firstColumn="1" w:firstRow="1" w:lastColumn="0" w:lastRow="0" w:noHBand="0" w:noVBand="1" w:val="04A0"/>
      </w:tblPr>
      <w:tblGrid>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tblGrid>
      <w:tr>
        <w:tc>
          <w:tcPr>
            <w:tcW w:type="dxa" w:w="407"/>
          </w:tcPr>
          <w:p>
            <w:r/>
            <w:r>
              <w:rPr>
                <w:rFonts w:ascii="Calibri" w:hAnsi="Calibri"/>
                <w:b/>
                <w:sz w:val="20"/>
              </w:rPr>
              <w:t>regime</w:t>
            </w:r>
          </w:p>
        </w:tc>
        <w:tc>
          <w:tcPr>
            <w:tcW w:type="dxa" w:w="407"/>
          </w:tcPr>
          <w:p>
            <w:r/>
            <w:r>
              <w:rPr>
                <w:rFonts w:ascii="Calibri" w:hAnsi="Calibri"/>
                <w:b/>
                <w:sz w:val="20"/>
              </w:rPr>
              <w:t>target</w:t>
            </w:r>
          </w:p>
        </w:tc>
        <w:tc>
          <w:tcPr>
            <w:tcW w:type="dxa" w:w="407"/>
          </w:tcPr>
          <w:p>
            <w:r/>
            <w:r>
              <w:rPr>
                <w:rFonts w:ascii="Calibri" w:hAnsi="Calibri"/>
                <w:b/>
                <w:sz w:val="20"/>
              </w:rPr>
              <w:t>n</w:t>
            </w:r>
          </w:p>
        </w:tc>
        <w:tc>
          <w:tcPr>
            <w:tcW w:type="dxa" w:w="407"/>
          </w:tcPr>
          <w:p>
            <w:r/>
            <w:r>
              <w:rPr>
                <w:rFonts w:ascii="Calibri" w:hAnsi="Calibri"/>
                <w:b/>
                <w:sz w:val="20"/>
              </w:rPr>
              <w:t>sample_size_limited</w:t>
            </w:r>
          </w:p>
        </w:tc>
        <w:tc>
          <w:tcPr>
            <w:tcW w:type="dxa" w:w="407"/>
          </w:tcPr>
          <w:p>
            <w:r/>
            <w:r>
              <w:rPr>
                <w:rFonts w:ascii="Calibri" w:hAnsi="Calibri"/>
                <w:b/>
                <w:sz w:val="20"/>
              </w:rPr>
              <w:t>our_method_label</w:t>
            </w:r>
          </w:p>
        </w:tc>
        <w:tc>
          <w:tcPr>
            <w:tcW w:type="dxa" w:w="407"/>
          </w:tcPr>
          <w:p>
            <w:r/>
            <w:r>
              <w:rPr>
                <w:rFonts w:ascii="Calibri" w:hAnsi="Calibri"/>
                <w:b/>
                <w:sz w:val="20"/>
              </w:rPr>
              <w:t>our_rmse</w:t>
            </w:r>
          </w:p>
        </w:tc>
        <w:tc>
          <w:tcPr>
            <w:tcW w:type="dxa" w:w="407"/>
          </w:tcPr>
          <w:p>
            <w:r/>
            <w:r>
              <w:rPr>
                <w:rFonts w:ascii="Calibri" w:hAnsi="Calibri"/>
                <w:b/>
                <w:sz w:val="20"/>
              </w:rPr>
              <w:t>our_rmse_lo</w:t>
            </w:r>
          </w:p>
        </w:tc>
        <w:tc>
          <w:tcPr>
            <w:tcW w:type="dxa" w:w="407"/>
          </w:tcPr>
          <w:p>
            <w:r/>
            <w:r>
              <w:rPr>
                <w:rFonts w:ascii="Calibri" w:hAnsi="Calibri"/>
                <w:b/>
                <w:sz w:val="20"/>
              </w:rPr>
              <w:t>our_rmse_hi</w:t>
            </w:r>
          </w:p>
        </w:tc>
        <w:tc>
          <w:tcPr>
            <w:tcW w:type="dxa" w:w="407"/>
          </w:tcPr>
          <w:p>
            <w:r/>
            <w:r>
              <w:rPr>
                <w:rFonts w:ascii="Calibri" w:hAnsi="Calibri"/>
                <w:b/>
                <w:sz w:val="20"/>
              </w:rPr>
              <w:t>putirka_method</w:t>
            </w:r>
          </w:p>
        </w:tc>
        <w:tc>
          <w:tcPr>
            <w:tcW w:type="dxa" w:w="407"/>
          </w:tcPr>
          <w:p>
            <w:r/>
            <w:r>
              <w:rPr>
                <w:rFonts w:ascii="Calibri" w:hAnsi="Calibri"/>
                <w:b/>
                <w:sz w:val="20"/>
              </w:rPr>
              <w:t>putirka_rmse</w:t>
            </w:r>
          </w:p>
        </w:tc>
        <w:tc>
          <w:tcPr>
            <w:tcW w:type="dxa" w:w="407"/>
          </w:tcPr>
          <w:p>
            <w:r/>
            <w:r>
              <w:rPr>
                <w:rFonts w:ascii="Calibri" w:hAnsi="Calibri"/>
                <w:b/>
                <w:sz w:val="20"/>
              </w:rPr>
              <w:t>putirka_rmse_lo</w:t>
            </w:r>
          </w:p>
        </w:tc>
        <w:tc>
          <w:tcPr>
            <w:tcW w:type="dxa" w:w="407"/>
          </w:tcPr>
          <w:p>
            <w:r/>
            <w:r>
              <w:rPr>
                <w:rFonts w:ascii="Calibri" w:hAnsi="Calibri"/>
                <w:b/>
                <w:sz w:val="20"/>
              </w:rPr>
              <w:t>putirka_rmse_hi</w:t>
            </w:r>
          </w:p>
        </w:tc>
        <w:tc>
          <w:tcPr>
            <w:tcW w:type="dxa" w:w="407"/>
          </w:tcPr>
          <w:p>
            <w:r/>
            <w:r>
              <w:rPr>
                <w:rFonts w:ascii="Calibri" w:hAnsi="Calibri"/>
                <w:b/>
                <w:sz w:val="20"/>
              </w:rPr>
              <w:t>seed_rmse_mean</w:t>
            </w:r>
          </w:p>
        </w:tc>
        <w:tc>
          <w:tcPr>
            <w:tcW w:type="dxa" w:w="407"/>
          </w:tcPr>
          <w:p>
            <w:r/>
            <w:r>
              <w:rPr>
                <w:rFonts w:ascii="Calibri" w:hAnsi="Calibri"/>
                <w:b/>
                <w:sz w:val="20"/>
              </w:rPr>
              <w:t>seed_rmse_std</w:t>
            </w:r>
          </w:p>
        </w:tc>
        <w:tc>
          <w:tcPr>
            <w:tcW w:type="dxa" w:w="407"/>
          </w:tcPr>
          <w:p>
            <w:r/>
            <w:r>
              <w:rPr>
                <w:rFonts w:ascii="Calibri" w:hAnsi="Calibri"/>
                <w:b/>
                <w:sz w:val="20"/>
              </w:rPr>
              <w:t>seed_rmse_lo</w:t>
            </w:r>
          </w:p>
        </w:tc>
        <w:tc>
          <w:tcPr>
            <w:tcW w:type="dxa" w:w="407"/>
          </w:tcPr>
          <w:p>
            <w:r/>
            <w:r>
              <w:rPr>
                <w:rFonts w:ascii="Calibri" w:hAnsi="Calibri"/>
                <w:b/>
                <w:sz w:val="20"/>
              </w:rPr>
              <w:t>seed_rmse_hi</w:t>
            </w:r>
          </w:p>
        </w:tc>
        <w:tc>
          <w:tcPr>
            <w:tcW w:type="dxa" w:w="407"/>
          </w:tcPr>
          <w:p>
            <w:r/>
            <w:r>
              <w:rPr>
                <w:rFonts w:ascii="Calibri" w:hAnsi="Calibri"/>
                <w:b/>
                <w:sz w:val="20"/>
              </w:rPr>
              <w:t>seed_rmse_min</w:t>
            </w:r>
          </w:p>
        </w:tc>
        <w:tc>
          <w:tcPr>
            <w:tcW w:type="dxa" w:w="407"/>
          </w:tcPr>
          <w:p>
            <w:r/>
            <w:r>
              <w:rPr>
                <w:rFonts w:ascii="Calibri" w:hAnsi="Calibri"/>
                <w:b/>
                <w:sz w:val="20"/>
              </w:rPr>
              <w:t>seed_rmse_max</w:t>
            </w:r>
          </w:p>
        </w:tc>
        <w:tc>
          <w:tcPr>
            <w:tcW w:type="dxa" w:w="407"/>
          </w:tcPr>
          <w:p>
            <w:r/>
            <w:r>
              <w:rPr>
                <w:rFonts w:ascii="Calibri" w:hAnsi="Calibri"/>
                <w:b/>
                <w:sz w:val="20"/>
              </w:rPr>
              <w:t>seed_is_deterministic</w:t>
            </w:r>
          </w:p>
        </w:tc>
        <w:tc>
          <w:tcPr>
            <w:tcW w:type="dxa" w:w="407"/>
          </w:tcPr>
          <w:p>
            <w:r/>
            <w:r>
              <w:rPr>
                <w:rFonts w:ascii="Calibri" w:hAnsi="Calibri"/>
                <w:b/>
                <w:sz w:val="20"/>
              </w:rPr>
              <w:t>axis1_nonoverlap</w:t>
            </w:r>
          </w:p>
        </w:tc>
        <w:tc>
          <w:tcPr>
            <w:tcW w:type="dxa" w:w="407"/>
          </w:tcPr>
          <w:p>
            <w:r/>
            <w:r>
              <w:rPr>
                <w:rFonts w:ascii="Calibri" w:hAnsi="Calibri"/>
                <w:b/>
                <w:sz w:val="20"/>
              </w:rPr>
              <w:t>axis2_nonoverlap</w:t>
            </w:r>
          </w:p>
        </w:tc>
        <w:tc>
          <w:tcPr>
            <w:tcW w:type="dxa" w:w="407"/>
          </w:tcPr>
          <w:p>
            <w:r/>
            <w:r>
              <w:rPr>
                <w:rFonts w:ascii="Calibri" w:hAnsi="Calibri"/>
                <w:b/>
                <w:sz w:val="20"/>
              </w:rPr>
              <w:t>robust_verdict</w:t>
            </w:r>
          </w:p>
        </w:tc>
        <w:tc>
          <w:tcPr>
            <w:tcW w:type="dxa" w:w="407"/>
          </w:tcPr>
          <w:p>
            <w:r/>
            <w:r>
              <w:rPr>
                <w:rFonts w:ascii="Calibri" w:hAnsi="Calibri"/>
                <w:b/>
                <w:sz w:val="20"/>
              </w:rPr>
              <w:t>robust_outperforms</w:t>
            </w:r>
          </w:p>
        </w:tc>
      </w:tr>
      <w:tr>
        <w:tc>
          <w:tcPr>
            <w:tcW w:type="dxa" w:w="407"/>
          </w:tcPr>
          <w:p>
            <w:r/>
            <w:r>
              <w:rPr>
                <w:rFonts w:ascii="Calibri" w:hAnsi="Calibri"/>
                <w:sz w:val="20"/>
              </w:rPr>
              <w:t>shallow_crustal</w:t>
            </w:r>
          </w:p>
        </w:tc>
        <w:tc>
          <w:tcPr>
            <w:tcW w:type="dxa" w:w="407"/>
          </w:tcPr>
          <w:p>
            <w:r/>
            <w:r>
              <w:rPr>
                <w:rFonts w:ascii="Calibri" w:hAnsi="Calibri"/>
                <w:sz w:val="20"/>
              </w:rPr>
              <w:t>T_C</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ERT/pwlr</w:t>
            </w:r>
          </w:p>
        </w:tc>
        <w:tc>
          <w:tcPr>
            <w:tcW w:type="dxa" w:w="407"/>
          </w:tcPr>
          <w:p>
            <w:r/>
            <w:r>
              <w:rPr>
                <w:rFonts w:ascii="Calibri" w:hAnsi="Calibri"/>
                <w:sz w:val="20"/>
              </w:rPr>
              <w:t>23.47</w:t>
            </w:r>
          </w:p>
        </w:tc>
        <w:tc>
          <w:tcPr>
            <w:tcW w:type="dxa" w:w="407"/>
          </w:tcPr>
          <w:p>
            <w:r/>
            <w:r>
              <w:rPr>
                <w:rFonts w:ascii="Calibri" w:hAnsi="Calibri"/>
                <w:sz w:val="20"/>
              </w:rPr>
              <w:t>15.891</w:t>
            </w:r>
          </w:p>
        </w:tc>
        <w:tc>
          <w:tcPr>
            <w:tcW w:type="dxa" w:w="407"/>
          </w:tcPr>
          <w:p>
            <w:r/>
            <w:r>
              <w:rPr>
                <w:rFonts w:ascii="Calibri" w:hAnsi="Calibri"/>
                <w:sz w:val="20"/>
              </w:rPr>
              <w:t>30.399</w:t>
            </w:r>
          </w:p>
        </w:tc>
        <w:tc>
          <w:tcPr>
            <w:tcW w:type="dxa" w:w="407"/>
          </w:tcPr>
          <w:p>
            <w:r/>
            <w:r>
              <w:rPr>
                <w:rFonts w:ascii="Calibri" w:hAnsi="Calibri"/>
                <w:sz w:val="20"/>
              </w:rPr>
              <w:t>Putirka 28a</w:t>
            </w:r>
          </w:p>
        </w:tc>
        <w:tc>
          <w:tcPr>
            <w:tcW w:type="dxa" w:w="407"/>
          </w:tcPr>
          <w:p>
            <w:r/>
            <w:r>
              <w:rPr>
                <w:rFonts w:ascii="Calibri" w:hAnsi="Calibri"/>
                <w:sz w:val="20"/>
              </w:rPr>
              <w:t>25.524</w:t>
            </w:r>
          </w:p>
        </w:tc>
        <w:tc>
          <w:tcPr>
            <w:tcW w:type="dxa" w:w="407"/>
          </w:tcPr>
          <w:p>
            <w:r/>
            <w:r>
              <w:rPr>
                <w:rFonts w:ascii="Calibri" w:hAnsi="Calibri"/>
                <w:sz w:val="20"/>
              </w:rPr>
              <w:t>16.322</w:t>
            </w:r>
          </w:p>
        </w:tc>
        <w:tc>
          <w:tcPr>
            <w:tcW w:type="dxa" w:w="407"/>
          </w:tcPr>
          <w:p>
            <w:r/>
            <w:r>
              <w:rPr>
                <w:rFonts w:ascii="Calibri" w:hAnsi="Calibri"/>
                <w:sz w:val="20"/>
              </w:rPr>
              <w:t>33.871</w:t>
            </w:r>
          </w:p>
        </w:tc>
        <w:tc>
          <w:tcPr>
            <w:tcW w:type="dxa" w:w="407"/>
          </w:tcPr>
          <w:p>
            <w:r/>
            <w:r>
              <w:rPr>
                <w:rFonts w:ascii="Calibri" w:hAnsi="Calibri"/>
                <w:sz w:val="20"/>
              </w:rPr>
              <w:t>23.032</w:t>
            </w:r>
          </w:p>
        </w:tc>
        <w:tc>
          <w:tcPr>
            <w:tcW w:type="dxa" w:w="407"/>
          </w:tcPr>
          <w:p>
            <w:r/>
            <w:r>
              <w:rPr>
                <w:rFonts w:ascii="Calibri" w:hAnsi="Calibri"/>
                <w:sz w:val="20"/>
              </w:rPr>
              <w:t>0.457</w:t>
            </w:r>
          </w:p>
        </w:tc>
        <w:tc>
          <w:tcPr>
            <w:tcW w:type="dxa" w:w="407"/>
          </w:tcPr>
          <w:p>
            <w:r/>
            <w:r>
              <w:rPr>
                <w:rFonts w:ascii="Calibri" w:hAnsi="Calibri"/>
                <w:sz w:val="20"/>
              </w:rPr>
              <w:t>22.25</w:t>
            </w:r>
          </w:p>
        </w:tc>
        <w:tc>
          <w:tcPr>
            <w:tcW w:type="dxa" w:w="407"/>
          </w:tcPr>
          <w:p>
            <w:r/>
            <w:r>
              <w:rPr>
                <w:rFonts w:ascii="Calibri" w:hAnsi="Calibri"/>
                <w:sz w:val="20"/>
              </w:rPr>
              <w:t>23.78</w:t>
            </w:r>
          </w:p>
        </w:tc>
        <w:tc>
          <w:tcPr>
            <w:tcW w:type="dxa" w:w="407"/>
          </w:tcPr>
          <w:p>
            <w:r/>
            <w:r>
              <w:rPr>
                <w:rFonts w:ascii="Calibri" w:hAnsi="Calibri"/>
                <w:sz w:val="20"/>
              </w:rPr>
              <w:t>22.191</w:t>
            </w:r>
          </w:p>
        </w:tc>
        <w:tc>
          <w:tcPr>
            <w:tcW w:type="dxa" w:w="407"/>
          </w:tcPr>
          <w:p>
            <w:r/>
            <w:r>
              <w:rPr>
                <w:rFonts w:ascii="Calibri" w:hAnsi="Calibri"/>
                <w:sz w:val="20"/>
              </w:rPr>
              <w:t>23.872</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shallow_crustal</w:t>
            </w:r>
          </w:p>
        </w:tc>
        <w:tc>
          <w:tcPr>
            <w:tcW w:type="dxa" w:w="407"/>
          </w:tcPr>
          <w:p>
            <w:r/>
            <w:r>
              <w:rPr>
                <w:rFonts w:ascii="Calibri" w:hAnsi="Calibri"/>
                <w:sz w:val="20"/>
              </w:rPr>
              <w:t>P_kbar</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2.663</w:t>
            </w:r>
          </w:p>
        </w:tc>
        <w:tc>
          <w:tcPr>
            <w:tcW w:type="dxa" w:w="407"/>
          </w:tcPr>
          <w:p>
            <w:r/>
            <w:r>
              <w:rPr>
                <w:rFonts w:ascii="Calibri" w:hAnsi="Calibri"/>
                <w:sz w:val="20"/>
              </w:rPr>
              <w:t>2.245</w:t>
            </w:r>
          </w:p>
        </w:tc>
        <w:tc>
          <w:tcPr>
            <w:tcW w:type="dxa" w:w="407"/>
          </w:tcPr>
          <w:p>
            <w:r/>
            <w:r>
              <w:rPr>
                <w:rFonts w:ascii="Calibri" w:hAnsi="Calibri"/>
                <w:sz w:val="20"/>
              </w:rPr>
              <w:t>3.134</w:t>
            </w:r>
          </w:p>
        </w:tc>
        <w:tc>
          <w:tcPr>
            <w:tcW w:type="dxa" w:w="407"/>
          </w:tcPr>
          <w:p>
            <w:r/>
            <w:r>
              <w:rPr>
                <w:rFonts w:ascii="Calibri" w:hAnsi="Calibri"/>
                <w:sz w:val="20"/>
              </w:rPr>
              <w:t>Putirka 29a</w:t>
            </w:r>
          </w:p>
        </w:tc>
        <w:tc>
          <w:tcPr>
            <w:tcW w:type="dxa" w:w="407"/>
          </w:tcPr>
          <w:p>
            <w:r/>
            <w:r>
              <w:rPr>
                <w:rFonts w:ascii="Calibri" w:hAnsi="Calibri"/>
                <w:sz w:val="20"/>
              </w:rPr>
              <w:t>3.886</w:t>
            </w:r>
          </w:p>
        </w:tc>
        <w:tc>
          <w:tcPr>
            <w:tcW w:type="dxa" w:w="407"/>
          </w:tcPr>
          <w:p>
            <w:r/>
            <w:r>
              <w:rPr>
                <w:rFonts w:ascii="Calibri" w:hAnsi="Calibri"/>
                <w:sz w:val="20"/>
              </w:rPr>
              <w:t>3.236</w:t>
            </w:r>
          </w:p>
        </w:tc>
        <w:tc>
          <w:tcPr>
            <w:tcW w:type="dxa" w:w="407"/>
          </w:tcPr>
          <w:p>
            <w:r/>
            <w:r>
              <w:rPr>
                <w:rFonts w:ascii="Calibri" w:hAnsi="Calibri"/>
                <w:sz w:val="20"/>
              </w:rPr>
              <w:t>4.472</w:t>
            </w:r>
          </w:p>
        </w:tc>
        <w:tc>
          <w:tcPr>
            <w:tcW w:type="dxa" w:w="407"/>
          </w:tcPr>
          <w:p>
            <w:r/>
            <w:r>
              <w:rPr>
                <w:rFonts w:ascii="Calibri" w:hAnsi="Calibri"/>
                <w:sz w:val="20"/>
              </w:rPr>
              <w:t>2.663</w:t>
            </w:r>
          </w:p>
        </w:tc>
        <w:tc>
          <w:tcPr>
            <w:tcW w:type="dxa" w:w="407"/>
          </w:tcPr>
          <w:p>
            <w:r/>
            <w:r>
              <w:rPr>
                <w:rFonts w:ascii="Calibri" w:hAnsi="Calibri"/>
                <w:sz w:val="20"/>
              </w:rPr>
              <w:t>0.0</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False</w:t>
            </w:r>
          </w:p>
        </w:tc>
        <w:tc>
          <w:tcPr>
            <w:tcW w:type="dxa" w:w="407"/>
          </w:tcPr>
          <w:p>
            <w:r/>
            <w:r>
              <w:rPr>
                <w:rFonts w:ascii="Calibri" w:hAnsi="Calibri"/>
                <w:sz w:val="20"/>
              </w:rPr>
              <w:t>True</w:t>
            </w:r>
          </w:p>
        </w:tc>
        <w:tc>
          <w:tcPr>
            <w:tcW w:type="dxa" w:w="407"/>
          </w:tcPr>
          <w:p>
            <w:r/>
            <w:r>
              <w:rPr>
                <w:rFonts w:ascii="Calibri" w:hAnsi="Calibri"/>
                <w:sz w:val="20"/>
              </w:rPr>
              <w:t>True</w:t>
            </w:r>
          </w:p>
        </w:tc>
        <w:tc>
          <w:tcPr>
            <w:tcW w:type="dxa" w:w="407"/>
          </w:tcPr>
          <w:p>
            <w:r/>
            <w:r>
              <w:rPr>
                <w:rFonts w:ascii="Calibri" w:hAnsi="Calibri"/>
                <w:sz w:val="20"/>
              </w:rPr>
              <w:t>our method outperforms Putirka (robust)</w:t>
            </w:r>
          </w:p>
        </w:tc>
        <w:tc>
          <w:tcPr>
            <w:tcW w:type="dxa" w:w="407"/>
          </w:tcPr>
          <w:p>
            <w:r/>
            <w:r>
              <w:rPr>
                <w:rFonts w:ascii="Calibri" w:hAnsi="Calibri"/>
                <w:sz w:val="20"/>
              </w:rPr>
              <w:t>True</w:t>
            </w:r>
          </w:p>
        </w:tc>
      </w:tr>
      <w:tr>
        <w:tc>
          <w:tcPr>
            <w:tcW w:type="dxa" w:w="407"/>
          </w:tcPr>
          <w:p>
            <w:r/>
            <w:r>
              <w:rPr>
                <w:rFonts w:ascii="Calibri" w:hAnsi="Calibri"/>
                <w:sz w:val="20"/>
              </w:rPr>
              <w:t>deep_crustal_MASH</w:t>
            </w:r>
          </w:p>
        </w:tc>
        <w:tc>
          <w:tcPr>
            <w:tcW w:type="dxa" w:w="407"/>
          </w:tcPr>
          <w:p>
            <w:r/>
            <w:r>
              <w:rPr>
                <w:rFonts w:ascii="Calibri" w:hAnsi="Calibri"/>
                <w:sz w:val="20"/>
              </w:rPr>
              <w:t>T_C</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78.464</w:t>
            </w:r>
          </w:p>
        </w:tc>
        <w:tc>
          <w:tcPr>
            <w:tcW w:type="dxa" w:w="407"/>
          </w:tcPr>
          <w:p>
            <w:r/>
            <w:r>
              <w:rPr>
                <w:rFonts w:ascii="Calibri" w:hAnsi="Calibri"/>
                <w:sz w:val="20"/>
              </w:rPr>
              <w:t>29.846</w:t>
            </w:r>
          </w:p>
        </w:tc>
        <w:tc>
          <w:tcPr>
            <w:tcW w:type="dxa" w:w="407"/>
          </w:tcPr>
          <w:p>
            <w:r/>
            <w:r>
              <w:rPr>
                <w:rFonts w:ascii="Calibri" w:hAnsi="Calibri"/>
                <w:sz w:val="20"/>
              </w:rPr>
              <w:t>113.072</w:t>
            </w:r>
          </w:p>
        </w:tc>
        <w:tc>
          <w:tcPr>
            <w:tcW w:type="dxa" w:w="407"/>
          </w:tcPr>
          <w:p>
            <w:r/>
            <w:r>
              <w:rPr>
                <w:rFonts w:ascii="Calibri" w:hAnsi="Calibri"/>
                <w:sz w:val="20"/>
              </w:rPr>
              <w:t>Putirka 28a</w:t>
            </w:r>
          </w:p>
        </w:tc>
        <w:tc>
          <w:tcPr>
            <w:tcW w:type="dxa" w:w="407"/>
          </w:tcPr>
          <w:p>
            <w:r/>
            <w:r>
              <w:rPr>
                <w:rFonts w:ascii="Calibri" w:hAnsi="Calibri"/>
                <w:sz w:val="20"/>
              </w:rPr>
              <w:t>87.478</w:t>
            </w:r>
          </w:p>
        </w:tc>
        <w:tc>
          <w:tcPr>
            <w:tcW w:type="dxa" w:w="407"/>
          </w:tcPr>
          <w:p>
            <w:r/>
            <w:r>
              <w:rPr>
                <w:rFonts w:ascii="Calibri" w:hAnsi="Calibri"/>
                <w:sz w:val="20"/>
              </w:rPr>
              <w:t>34.612</w:t>
            </w:r>
          </w:p>
        </w:tc>
        <w:tc>
          <w:tcPr>
            <w:tcW w:type="dxa" w:w="407"/>
          </w:tcPr>
          <w:p>
            <w:r/>
            <w:r>
              <w:rPr>
                <w:rFonts w:ascii="Calibri" w:hAnsi="Calibri"/>
                <w:sz w:val="20"/>
              </w:rPr>
              <w:t>120.826</w:t>
            </w:r>
          </w:p>
        </w:tc>
        <w:tc>
          <w:tcPr>
            <w:tcW w:type="dxa" w:w="407"/>
          </w:tcPr>
          <w:p>
            <w:r/>
            <w:r>
              <w:rPr>
                <w:rFonts w:ascii="Calibri" w:hAnsi="Calibri"/>
                <w:sz w:val="20"/>
              </w:rPr>
              <w:t>78.464</w:t>
            </w:r>
          </w:p>
        </w:tc>
        <w:tc>
          <w:tcPr>
            <w:tcW w:type="dxa" w:w="407"/>
          </w:tcPr>
          <w:p>
            <w:r/>
            <w:r>
              <w:rPr>
                <w:rFonts w:ascii="Calibri" w:hAnsi="Calibri"/>
                <w:sz w:val="20"/>
              </w:rPr>
              <w:t>0.0</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deep_crustal_MASH</w:t>
            </w:r>
          </w:p>
        </w:tc>
        <w:tc>
          <w:tcPr>
            <w:tcW w:type="dxa" w:w="407"/>
          </w:tcPr>
          <w:p>
            <w:r/>
            <w:r>
              <w:rPr>
                <w:rFonts w:ascii="Calibri" w:hAnsi="Calibri"/>
                <w:sz w:val="20"/>
              </w:rPr>
              <w:t>P_kbar</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MLP/raw</w:t>
            </w:r>
          </w:p>
        </w:tc>
        <w:tc>
          <w:tcPr>
            <w:tcW w:type="dxa" w:w="407"/>
          </w:tcPr>
          <w:p>
            <w:r/>
            <w:r>
              <w:rPr>
                <w:rFonts w:ascii="Calibri" w:hAnsi="Calibri"/>
                <w:sz w:val="20"/>
              </w:rPr>
              <w:t>2.079</w:t>
            </w:r>
          </w:p>
        </w:tc>
        <w:tc>
          <w:tcPr>
            <w:tcW w:type="dxa" w:w="407"/>
          </w:tcPr>
          <w:p>
            <w:r/>
            <w:r>
              <w:rPr>
                <w:rFonts w:ascii="Calibri" w:hAnsi="Calibri"/>
                <w:sz w:val="20"/>
              </w:rPr>
              <w:t>1.624</w:t>
            </w:r>
          </w:p>
        </w:tc>
        <w:tc>
          <w:tcPr>
            <w:tcW w:type="dxa" w:w="407"/>
          </w:tcPr>
          <w:p>
            <w:r/>
            <w:r>
              <w:rPr>
                <w:rFonts w:ascii="Calibri" w:hAnsi="Calibri"/>
                <w:sz w:val="20"/>
              </w:rPr>
              <w:t>2.539</w:t>
            </w:r>
          </w:p>
        </w:tc>
        <w:tc>
          <w:tcPr>
            <w:tcW w:type="dxa" w:w="407"/>
          </w:tcPr>
          <w:p>
            <w:r/>
            <w:r>
              <w:rPr>
                <w:rFonts w:ascii="Calibri" w:hAnsi="Calibri"/>
                <w:sz w:val="20"/>
              </w:rPr>
              <w:t>Putirka 29a</w:t>
            </w:r>
          </w:p>
        </w:tc>
        <w:tc>
          <w:tcPr>
            <w:tcW w:type="dxa" w:w="407"/>
          </w:tcPr>
          <w:p>
            <w:r/>
            <w:r>
              <w:rPr>
                <w:rFonts w:ascii="Calibri" w:hAnsi="Calibri"/>
                <w:sz w:val="20"/>
              </w:rPr>
              <w:t>2.314</w:t>
            </w:r>
          </w:p>
        </w:tc>
        <w:tc>
          <w:tcPr>
            <w:tcW w:type="dxa" w:w="407"/>
          </w:tcPr>
          <w:p>
            <w:r/>
            <w:r>
              <w:rPr>
                <w:rFonts w:ascii="Calibri" w:hAnsi="Calibri"/>
                <w:sz w:val="20"/>
              </w:rPr>
              <w:t>1.722</w:t>
            </w:r>
          </w:p>
        </w:tc>
        <w:tc>
          <w:tcPr>
            <w:tcW w:type="dxa" w:w="407"/>
          </w:tcPr>
          <w:p>
            <w:r/>
            <w:r>
              <w:rPr>
                <w:rFonts w:ascii="Calibri" w:hAnsi="Calibri"/>
                <w:sz w:val="20"/>
              </w:rPr>
              <w:t>2.853</w:t>
            </w:r>
          </w:p>
        </w:tc>
        <w:tc>
          <w:tcPr>
            <w:tcW w:type="dxa" w:w="407"/>
          </w:tcPr>
          <w:p>
            <w:r/>
            <w:r>
              <w:rPr>
                <w:rFonts w:ascii="Calibri" w:hAnsi="Calibri"/>
                <w:sz w:val="20"/>
              </w:rPr>
              <w:t>2.539</w:t>
            </w:r>
          </w:p>
        </w:tc>
        <w:tc>
          <w:tcPr>
            <w:tcW w:type="dxa" w:w="407"/>
          </w:tcPr>
          <w:p>
            <w:r/>
            <w:r>
              <w:rPr>
                <w:rFonts w:ascii="Calibri" w:hAnsi="Calibri"/>
                <w:sz w:val="20"/>
              </w:rPr>
              <w:t>0.274</w:t>
            </w:r>
          </w:p>
        </w:tc>
        <w:tc>
          <w:tcPr>
            <w:tcW w:type="dxa" w:w="407"/>
          </w:tcPr>
          <w:p>
            <w:r/>
            <w:r>
              <w:rPr>
                <w:rFonts w:ascii="Calibri" w:hAnsi="Calibri"/>
                <w:sz w:val="20"/>
              </w:rPr>
              <w:t>2.042</w:t>
            </w:r>
          </w:p>
        </w:tc>
        <w:tc>
          <w:tcPr>
            <w:tcW w:type="dxa" w:w="407"/>
          </w:tcPr>
          <w:p>
            <w:r/>
            <w:r>
              <w:rPr>
                <w:rFonts w:ascii="Calibri" w:hAnsi="Calibri"/>
                <w:sz w:val="20"/>
              </w:rPr>
              <w:t>2.99</w:t>
            </w:r>
          </w:p>
        </w:tc>
        <w:tc>
          <w:tcPr>
            <w:tcW w:type="dxa" w:w="407"/>
          </w:tcPr>
          <w:p>
            <w:r/>
            <w:r>
              <w:rPr>
                <w:rFonts w:ascii="Calibri" w:hAnsi="Calibri"/>
                <w:sz w:val="20"/>
              </w:rPr>
              <w:t>2.008</w:t>
            </w:r>
          </w:p>
        </w:tc>
        <w:tc>
          <w:tcPr>
            <w:tcW w:type="dxa" w:w="407"/>
          </w:tcPr>
          <w:p>
            <w:r/>
            <w:r>
              <w:rPr>
                <w:rFonts w:ascii="Calibri" w:hAnsi="Calibri"/>
                <w:sz w:val="20"/>
              </w:rPr>
              <w:t>3.074</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T_C</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93.698</w:t>
            </w:r>
          </w:p>
        </w:tc>
        <w:tc>
          <w:tcPr>
            <w:tcW w:type="dxa" w:w="407"/>
          </w:tcPr>
          <w:p>
            <w:r/>
            <w:r>
              <w:rPr>
                <w:rFonts w:ascii="Calibri" w:hAnsi="Calibri"/>
                <w:sz w:val="20"/>
              </w:rPr>
              <w:t>77.308</w:t>
            </w:r>
          </w:p>
        </w:tc>
        <w:tc>
          <w:tcPr>
            <w:tcW w:type="dxa" w:w="407"/>
          </w:tcPr>
          <w:p>
            <w:r/>
            <w:r>
              <w:rPr>
                <w:rFonts w:ascii="Calibri" w:hAnsi="Calibri"/>
                <w:sz w:val="20"/>
              </w:rPr>
              <w:t>111.17</w:t>
            </w:r>
          </w:p>
        </w:tc>
        <w:tc>
          <w:tcPr>
            <w:tcW w:type="dxa" w:w="407"/>
          </w:tcPr>
          <w:p>
            <w:r/>
            <w:r>
              <w:rPr>
                <w:rFonts w:ascii="Calibri" w:hAnsi="Calibri"/>
                <w:sz w:val="20"/>
              </w:rPr>
              <w:t>Putirka 28a</w:t>
            </w:r>
          </w:p>
        </w:tc>
        <w:tc>
          <w:tcPr>
            <w:tcW w:type="dxa" w:w="407"/>
          </w:tcPr>
          <w:p>
            <w:r/>
            <w:r>
              <w:rPr>
                <w:rFonts w:ascii="Calibri" w:hAnsi="Calibri"/>
                <w:sz w:val="20"/>
              </w:rPr>
              <w:t>79.652</w:t>
            </w:r>
          </w:p>
        </w:tc>
        <w:tc>
          <w:tcPr>
            <w:tcW w:type="dxa" w:w="407"/>
          </w:tcPr>
          <w:p>
            <w:r/>
            <w:r>
              <w:rPr>
                <w:rFonts w:ascii="Calibri" w:hAnsi="Calibri"/>
                <w:sz w:val="20"/>
              </w:rPr>
              <w:t>54.887</w:t>
            </w:r>
          </w:p>
        </w:tc>
        <w:tc>
          <w:tcPr>
            <w:tcW w:type="dxa" w:w="407"/>
          </w:tcPr>
          <w:p>
            <w:r/>
            <w:r>
              <w:rPr>
                <w:rFonts w:ascii="Calibri" w:hAnsi="Calibri"/>
                <w:sz w:val="20"/>
              </w:rPr>
              <w:t>107.41</w:t>
            </w:r>
          </w:p>
        </w:tc>
        <w:tc>
          <w:tcPr>
            <w:tcW w:type="dxa" w:w="407"/>
          </w:tcPr>
          <w:p>
            <w:r/>
            <w:r>
              <w:rPr>
                <w:rFonts w:ascii="Calibri" w:hAnsi="Calibri"/>
                <w:sz w:val="20"/>
              </w:rPr>
              <w:t>93.698</w:t>
            </w:r>
          </w:p>
        </w:tc>
        <w:tc>
          <w:tcPr>
            <w:tcW w:type="dxa" w:w="407"/>
          </w:tcPr>
          <w:p>
            <w:r/>
            <w:r>
              <w:rPr>
                <w:rFonts w:ascii="Calibri" w:hAnsi="Calibri"/>
                <w:sz w:val="20"/>
              </w:rPr>
              <w:t>0.0</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P_kbar</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CatBoost/raw</w:t>
            </w:r>
          </w:p>
        </w:tc>
        <w:tc>
          <w:tcPr>
            <w:tcW w:type="dxa" w:w="407"/>
          </w:tcPr>
          <w:p>
            <w:r/>
            <w:r>
              <w:rPr>
                <w:rFonts w:ascii="Calibri" w:hAnsi="Calibri"/>
                <w:sz w:val="20"/>
              </w:rPr>
              <w:t>4.538</w:t>
            </w:r>
          </w:p>
        </w:tc>
        <w:tc>
          <w:tcPr>
            <w:tcW w:type="dxa" w:w="407"/>
          </w:tcPr>
          <w:p>
            <w:r/>
            <w:r>
              <w:rPr>
                <w:rFonts w:ascii="Calibri" w:hAnsi="Calibri"/>
                <w:sz w:val="20"/>
              </w:rPr>
              <w:t>3.487</w:t>
            </w:r>
          </w:p>
        </w:tc>
        <w:tc>
          <w:tcPr>
            <w:tcW w:type="dxa" w:w="407"/>
          </w:tcPr>
          <w:p>
            <w:r/>
            <w:r>
              <w:rPr>
                <w:rFonts w:ascii="Calibri" w:hAnsi="Calibri"/>
                <w:sz w:val="20"/>
              </w:rPr>
              <w:t>5.561</w:t>
            </w:r>
          </w:p>
        </w:tc>
        <w:tc>
          <w:tcPr>
            <w:tcW w:type="dxa" w:w="407"/>
          </w:tcPr>
          <w:p>
            <w:r/>
            <w:r>
              <w:rPr>
                <w:rFonts w:ascii="Calibri" w:hAnsi="Calibri"/>
                <w:sz w:val="20"/>
              </w:rPr>
              <w:t>Putirka 29a</w:t>
            </w:r>
          </w:p>
        </w:tc>
        <w:tc>
          <w:tcPr>
            <w:tcW w:type="dxa" w:w="407"/>
          </w:tcPr>
          <w:p>
            <w:r/>
            <w:r>
              <w:rPr>
                <w:rFonts w:ascii="Calibri" w:hAnsi="Calibri"/>
                <w:sz w:val="20"/>
              </w:rPr>
              <w:t>4.66</w:t>
            </w:r>
          </w:p>
        </w:tc>
        <w:tc>
          <w:tcPr>
            <w:tcW w:type="dxa" w:w="407"/>
          </w:tcPr>
          <w:p>
            <w:r/>
            <w:r>
              <w:rPr>
                <w:rFonts w:ascii="Calibri" w:hAnsi="Calibri"/>
                <w:sz w:val="20"/>
              </w:rPr>
              <w:t>3.25</w:t>
            </w:r>
          </w:p>
        </w:tc>
        <w:tc>
          <w:tcPr>
            <w:tcW w:type="dxa" w:w="407"/>
          </w:tcPr>
          <w:p>
            <w:r/>
            <w:r>
              <w:rPr>
                <w:rFonts w:ascii="Calibri" w:hAnsi="Calibri"/>
                <w:sz w:val="20"/>
              </w:rPr>
              <w:t>5.961</w:t>
            </w:r>
          </w:p>
        </w:tc>
        <w:tc>
          <w:tcPr>
            <w:tcW w:type="dxa" w:w="407"/>
          </w:tcPr>
          <w:p>
            <w:r/>
            <w:r>
              <w:rPr>
                <w:rFonts w:ascii="Calibri" w:hAnsi="Calibri"/>
                <w:sz w:val="20"/>
              </w:rPr>
              <w:t>4.574</w:t>
            </w:r>
          </w:p>
        </w:tc>
        <w:tc>
          <w:tcPr>
            <w:tcW w:type="dxa" w:w="407"/>
          </w:tcPr>
          <w:p>
            <w:r/>
            <w:r>
              <w:rPr>
                <w:rFonts w:ascii="Calibri" w:hAnsi="Calibri"/>
                <w:sz w:val="20"/>
              </w:rPr>
              <w:t>0.107</w:t>
            </w:r>
          </w:p>
        </w:tc>
        <w:tc>
          <w:tcPr>
            <w:tcW w:type="dxa" w:w="407"/>
          </w:tcPr>
          <w:p>
            <w:r/>
            <w:r>
              <w:rPr>
                <w:rFonts w:ascii="Calibri" w:hAnsi="Calibri"/>
                <w:sz w:val="20"/>
              </w:rPr>
              <w:t>4.396</w:t>
            </w:r>
          </w:p>
        </w:tc>
        <w:tc>
          <w:tcPr>
            <w:tcW w:type="dxa" w:w="407"/>
          </w:tcPr>
          <w:p>
            <w:r/>
            <w:r>
              <w:rPr>
                <w:rFonts w:ascii="Calibri" w:hAnsi="Calibri"/>
                <w:sz w:val="20"/>
              </w:rPr>
              <w:t>4.729</w:t>
            </w:r>
          </w:p>
        </w:tc>
        <w:tc>
          <w:tcPr>
            <w:tcW w:type="dxa" w:w="407"/>
          </w:tcPr>
          <w:p>
            <w:r/>
            <w:r>
              <w:rPr>
                <w:rFonts w:ascii="Calibri" w:hAnsi="Calibri"/>
                <w:sz w:val="20"/>
              </w:rPr>
              <w:t>4.38</w:t>
            </w:r>
          </w:p>
        </w:tc>
        <w:tc>
          <w:tcPr>
            <w:tcW w:type="dxa" w:w="407"/>
          </w:tcPr>
          <w:p>
            <w:r/>
            <w:r>
              <w:rPr>
                <w:rFonts w:ascii="Calibri" w:hAnsi="Calibri"/>
                <w:sz w:val="20"/>
              </w:rPr>
              <w:t>4.739</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T_C</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ElasticNet/pwlr</w:t>
            </w:r>
          </w:p>
        </w:tc>
        <w:tc>
          <w:tcPr>
            <w:tcW w:type="dxa" w:w="407"/>
          </w:tcPr>
          <w:p>
            <w:r/>
            <w:r>
              <w:rPr>
                <w:rFonts w:ascii="Calibri" w:hAnsi="Calibri"/>
                <w:sz w:val="20"/>
              </w:rPr>
              <w:t>105.604</w:t>
            </w:r>
          </w:p>
        </w:tc>
        <w:tc>
          <w:tcPr>
            <w:tcW w:type="dxa" w:w="407"/>
          </w:tcPr>
          <w:p>
            <w:r/>
            <w:r>
              <w:rPr>
                <w:rFonts w:ascii="Calibri" w:hAnsi="Calibri"/>
                <w:sz w:val="20"/>
              </w:rPr>
              <w:t>75.141</w:t>
            </w:r>
          </w:p>
        </w:tc>
        <w:tc>
          <w:tcPr>
            <w:tcW w:type="dxa" w:w="407"/>
          </w:tcPr>
          <w:p>
            <w:r/>
            <w:r>
              <w:rPr>
                <w:rFonts w:ascii="Calibri" w:hAnsi="Calibri"/>
                <w:sz w:val="20"/>
              </w:rPr>
              <w:t>127.729</w:t>
            </w:r>
          </w:p>
        </w:tc>
        <w:tc>
          <w:tcPr>
            <w:tcW w:type="dxa" w:w="407"/>
          </w:tcPr>
          <w:p>
            <w:r/>
            <w:r>
              <w:rPr>
                <w:rFonts w:ascii="Calibri" w:hAnsi="Calibri"/>
                <w:sz w:val="20"/>
              </w:rPr>
              <w:t>Putirka 28a</w:t>
            </w:r>
          </w:p>
        </w:tc>
        <w:tc>
          <w:tcPr>
            <w:tcW w:type="dxa" w:w="407"/>
          </w:tcPr>
          <w:p>
            <w:r/>
            <w:r>
              <w:rPr>
                <w:rFonts w:ascii="Calibri" w:hAnsi="Calibri"/>
                <w:sz w:val="20"/>
              </w:rPr>
              <w:t>85.501</w:t>
            </w:r>
          </w:p>
        </w:tc>
        <w:tc>
          <w:tcPr>
            <w:tcW w:type="dxa" w:w="407"/>
          </w:tcPr>
          <w:p>
            <w:r/>
            <w:r>
              <w:rPr>
                <w:rFonts w:ascii="Calibri" w:hAnsi="Calibri"/>
                <w:sz w:val="20"/>
              </w:rPr>
              <w:t>14.78</w:t>
            </w:r>
          </w:p>
        </w:tc>
        <w:tc>
          <w:tcPr>
            <w:tcW w:type="dxa" w:w="407"/>
          </w:tcPr>
          <w:p>
            <w:r/>
            <w:r>
              <w:rPr>
                <w:rFonts w:ascii="Calibri" w:hAnsi="Calibri"/>
                <w:sz w:val="20"/>
              </w:rPr>
              <w:t>123.499</w:t>
            </w:r>
          </w:p>
        </w:tc>
        <w:tc>
          <w:tcPr>
            <w:tcW w:type="dxa" w:w="407"/>
          </w:tcPr>
          <w:p>
            <w:r/>
            <w:r>
              <w:rPr>
                <w:rFonts w:ascii="Calibri" w:hAnsi="Calibri"/>
                <w:sz w:val="20"/>
              </w:rPr>
              <w:t>105.604</w:t>
            </w:r>
          </w:p>
        </w:tc>
        <w:tc>
          <w:tcPr>
            <w:tcW w:type="dxa" w:w="407"/>
          </w:tcPr>
          <w:p>
            <w:r/>
            <w:r>
              <w:rPr>
                <w:rFonts w:ascii="Calibri" w:hAnsi="Calibri"/>
                <w:sz w:val="20"/>
              </w:rPr>
              <w:t>0.0</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True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P_kbar</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MLP/alr</w:t>
            </w:r>
          </w:p>
        </w:tc>
        <w:tc>
          <w:tcPr>
            <w:tcW w:type="dxa" w:w="407"/>
          </w:tcPr>
          <w:p>
            <w:r/>
            <w:r>
              <w:rPr>
                <w:rFonts w:ascii="Calibri" w:hAnsi="Calibri"/>
                <w:sz w:val="20"/>
              </w:rPr>
              <w:t>4.556</w:t>
            </w:r>
          </w:p>
        </w:tc>
        <w:tc>
          <w:tcPr>
            <w:tcW w:type="dxa" w:w="407"/>
          </w:tcPr>
          <w:p>
            <w:r/>
            <w:r>
              <w:rPr>
                <w:rFonts w:ascii="Calibri" w:hAnsi="Calibri"/>
                <w:sz w:val="20"/>
              </w:rPr>
              <w:t>3.194</w:t>
            </w:r>
          </w:p>
        </w:tc>
        <w:tc>
          <w:tcPr>
            <w:tcW w:type="dxa" w:w="407"/>
          </w:tcPr>
          <w:p>
            <w:r/>
            <w:r>
              <w:rPr>
                <w:rFonts w:ascii="Calibri" w:hAnsi="Calibri"/>
                <w:sz w:val="20"/>
              </w:rPr>
              <w:t>5.746</w:t>
            </w:r>
          </w:p>
        </w:tc>
        <w:tc>
          <w:tcPr>
            <w:tcW w:type="dxa" w:w="407"/>
          </w:tcPr>
          <w:p>
            <w:r/>
            <w:r>
              <w:rPr>
                <w:rFonts w:ascii="Calibri" w:hAnsi="Calibri"/>
                <w:sz w:val="20"/>
              </w:rPr>
              <w:t>Putirka 29b</w:t>
            </w:r>
          </w:p>
        </w:tc>
        <w:tc>
          <w:tcPr>
            <w:tcW w:type="dxa" w:w="407"/>
          </w:tcPr>
          <w:p>
            <w:r/>
            <w:r>
              <w:rPr>
                <w:rFonts w:ascii="Calibri" w:hAnsi="Calibri"/>
                <w:sz w:val="20"/>
              </w:rPr>
              <w:t>8.519</w:t>
            </w:r>
          </w:p>
        </w:tc>
        <w:tc>
          <w:tcPr>
            <w:tcW w:type="dxa" w:w="407"/>
          </w:tcPr>
          <w:p>
            <w:r/>
            <w:r>
              <w:rPr>
                <w:rFonts w:ascii="Calibri" w:hAnsi="Calibri"/>
                <w:sz w:val="20"/>
              </w:rPr>
              <w:t>4.438</w:t>
            </w:r>
          </w:p>
        </w:tc>
        <w:tc>
          <w:tcPr>
            <w:tcW w:type="dxa" w:w="407"/>
          </w:tcPr>
          <w:p>
            <w:r/>
            <w:r>
              <w:rPr>
                <w:rFonts w:ascii="Calibri" w:hAnsi="Calibri"/>
                <w:sz w:val="20"/>
              </w:rPr>
              <w:t>11.137</w:t>
            </w:r>
          </w:p>
        </w:tc>
        <w:tc>
          <w:tcPr>
            <w:tcW w:type="dxa" w:w="407"/>
          </w:tcPr>
          <w:p>
            <w:r/>
            <w:r>
              <w:rPr>
                <w:rFonts w:ascii="Calibri" w:hAnsi="Calibri"/>
                <w:sz w:val="20"/>
              </w:rPr>
              <w:t>7.06</w:t>
            </w:r>
          </w:p>
        </w:tc>
        <w:tc>
          <w:tcPr>
            <w:tcW w:type="dxa" w:w="407"/>
          </w:tcPr>
          <w:p>
            <w:r/>
            <w:r>
              <w:rPr>
                <w:rFonts w:ascii="Calibri" w:hAnsi="Calibri"/>
                <w:sz w:val="20"/>
              </w:rPr>
              <w:t>4.439</w:t>
            </w:r>
          </w:p>
        </w:tc>
        <w:tc>
          <w:tcPr>
            <w:tcW w:type="dxa" w:w="407"/>
          </w:tcPr>
          <w:p>
            <w:r/>
            <w:r>
              <w:rPr>
                <w:rFonts w:ascii="Calibri" w:hAnsi="Calibri"/>
                <w:sz w:val="20"/>
              </w:rPr>
              <w:t>4.011</w:t>
            </w:r>
          </w:p>
        </w:tc>
        <w:tc>
          <w:tcPr>
            <w:tcW w:type="dxa" w:w="407"/>
          </w:tcPr>
          <w:p>
            <w:r/>
            <w:r>
              <w:rPr>
                <w:rFonts w:ascii="Calibri" w:hAnsi="Calibri"/>
                <w:sz w:val="20"/>
              </w:rPr>
              <w:t>18.394</w:t>
            </w:r>
          </w:p>
        </w:tc>
        <w:tc>
          <w:tcPr>
            <w:tcW w:type="dxa" w:w="407"/>
          </w:tcPr>
          <w:p>
            <w:r/>
            <w:r>
              <w:rPr>
                <w:rFonts w:ascii="Calibri" w:hAnsi="Calibri"/>
                <w:sz w:val="20"/>
              </w:rPr>
              <w:t>3.776</w:t>
            </w:r>
          </w:p>
        </w:tc>
        <w:tc>
          <w:tcPr>
            <w:tcW w:type="dxa" w:w="407"/>
          </w:tcPr>
          <w:p>
            <w:r/>
            <w:r>
              <w:rPr>
                <w:rFonts w:ascii="Calibri" w:hAnsi="Calibri"/>
                <w:sz w:val="20"/>
              </w:rPr>
              <w:t>24.02</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bl>
    <w:p>
      <w:pPr>
        <w:pStyle w:val="Heading3"/>
      </w:pPr>
      <w:r>
        <w:t>Table S6. S8 6 generalization opx liq</w:t>
      </w:r>
    </w:p>
    <w:p>
      <w:r>
        <w:rPr>
          <w:i/>
          <w:sz w:val="20"/>
        </w:rPr>
        <w:t>Source: tables\S8_6_generalization_opx_liq.csv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strategy</w:t>
            </w:r>
          </w:p>
        </w:tc>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n</w:t>
            </w:r>
          </w:p>
        </w:tc>
        <w:tc>
          <w:tcPr>
            <w:tcW w:type="dxa" w:w="720"/>
          </w:tcPr>
          <w:p>
            <w:r/>
            <w:r>
              <w:rPr>
                <w:rFonts w:ascii="Calibri" w:hAnsi="Calibri"/>
                <w:b/>
                <w:sz w:val="20"/>
              </w:rPr>
              <w:t>n_folds</w:t>
            </w:r>
          </w:p>
        </w:tc>
        <w:tc>
          <w:tcPr>
            <w:tcW w:type="dxa" w:w="720"/>
          </w:tcPr>
          <w:p>
            <w:r/>
            <w:r>
              <w:rPr>
                <w:rFonts w:ascii="Calibri" w:hAnsi="Calibri"/>
                <w:b/>
                <w:sz w:val="20"/>
              </w:rPr>
              <w:t>rmse</w:t>
            </w:r>
          </w:p>
        </w:tc>
        <w:tc>
          <w:tcPr>
            <w:tcW w:type="dxa" w:w="720"/>
          </w:tcPr>
          <w:p>
            <w:r/>
            <w:r>
              <w:rPr>
                <w:rFonts w:ascii="Calibri" w:hAnsi="Calibri"/>
                <w:b/>
                <w:sz w:val="20"/>
              </w:rPr>
              <w:t>rmse_lo</w:t>
            </w:r>
          </w:p>
        </w:tc>
        <w:tc>
          <w:tcPr>
            <w:tcW w:type="dxa" w:w="720"/>
          </w:tcPr>
          <w:p>
            <w:r/>
            <w:r>
              <w:rPr>
                <w:rFonts w:ascii="Calibri" w:hAnsi="Calibri"/>
                <w:b/>
                <w:sz w:val="20"/>
              </w:rPr>
              <w:t>rmse_hi</w:t>
            </w:r>
          </w:p>
        </w:tc>
        <w:tc>
          <w:tcPr>
            <w:tcW w:type="dxa" w:w="720"/>
          </w:tcPr>
          <w:p>
            <w:r/>
            <w:r>
              <w:rPr>
                <w:rFonts w:ascii="Calibri" w:hAnsi="Calibri"/>
                <w:b/>
                <w:sz w:val="20"/>
              </w:rPr>
              <w:t>mae</w:t>
            </w:r>
          </w:p>
        </w:tc>
        <w:tc>
          <w:tcPr>
            <w:tcW w:type="dxa" w:w="720"/>
          </w:tcPr>
          <w:p>
            <w:r/>
            <w:r>
              <w:rPr>
                <w:rFonts w:ascii="Calibri" w:hAnsi="Calibri"/>
                <w:b/>
                <w:sz w:val="20"/>
              </w:rPr>
              <w:t>mae_lo</w:t>
            </w:r>
          </w:p>
        </w:tc>
        <w:tc>
          <w:tcPr>
            <w:tcW w:type="dxa" w:w="720"/>
          </w:tcPr>
          <w:p>
            <w:r/>
            <w:r>
              <w:rPr>
                <w:rFonts w:ascii="Calibri" w:hAnsi="Calibri"/>
                <w:b/>
                <w:sz w:val="20"/>
              </w:rPr>
              <w:t>mae_hi</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69.4</w:t>
            </w:r>
          </w:p>
        </w:tc>
        <w:tc>
          <w:tcPr>
            <w:tcW w:type="dxa" w:w="720"/>
          </w:tcPr>
          <w:p>
            <w:r/>
            <w:r>
              <w:rPr>
                <w:rFonts w:ascii="Calibri" w:hAnsi="Calibri"/>
                <w:sz w:val="20"/>
              </w:rPr>
              <w:t>62.507</w:t>
            </w:r>
          </w:p>
        </w:tc>
        <w:tc>
          <w:tcPr>
            <w:tcW w:type="dxa" w:w="720"/>
          </w:tcPr>
          <w:p>
            <w:r/>
            <w:r>
              <w:rPr>
                <w:rFonts w:ascii="Calibri" w:hAnsi="Calibri"/>
                <w:sz w:val="20"/>
              </w:rPr>
              <w:t>76.348</w:t>
            </w:r>
          </w:p>
        </w:tc>
        <w:tc>
          <w:tcPr>
            <w:tcW w:type="dxa" w:w="720"/>
          </w:tcPr>
          <w:p>
            <w:r/>
            <w:r>
              <w:rPr>
                <w:rFonts w:ascii="Calibri" w:hAnsi="Calibri"/>
                <w:sz w:val="20"/>
              </w:rPr>
              <w:t>48.832</w:t>
            </w:r>
          </w:p>
        </w:tc>
        <w:tc>
          <w:tcPr>
            <w:tcW w:type="dxa" w:w="720"/>
          </w:tcPr>
          <w:p>
            <w:r/>
            <w:r>
              <w:rPr>
                <w:rFonts w:ascii="Calibri" w:hAnsi="Calibri"/>
                <w:sz w:val="20"/>
              </w:rPr>
              <w:t>45.167</w:t>
            </w:r>
          </w:p>
        </w:tc>
        <w:tc>
          <w:tcPr>
            <w:tcW w:type="dxa" w:w="720"/>
          </w:tcPr>
          <w:p>
            <w:r/>
            <w:r>
              <w:rPr>
                <w:rFonts w:ascii="Calibri" w:hAnsi="Calibri"/>
                <w:sz w:val="20"/>
              </w:rPr>
              <w:t>52.644</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68.644</w:t>
            </w:r>
          </w:p>
        </w:tc>
        <w:tc>
          <w:tcPr>
            <w:tcW w:type="dxa" w:w="720"/>
          </w:tcPr>
          <w:p>
            <w:r/>
            <w:r>
              <w:rPr>
                <w:rFonts w:ascii="Calibri" w:hAnsi="Calibri"/>
                <w:sz w:val="20"/>
              </w:rPr>
              <w:t>62.025</w:t>
            </w:r>
          </w:p>
        </w:tc>
        <w:tc>
          <w:tcPr>
            <w:tcW w:type="dxa" w:w="720"/>
          </w:tcPr>
          <w:p>
            <w:r/>
            <w:r>
              <w:rPr>
                <w:rFonts w:ascii="Calibri" w:hAnsi="Calibri"/>
                <w:sz w:val="20"/>
              </w:rPr>
              <w:t>75.792</w:t>
            </w:r>
          </w:p>
        </w:tc>
        <w:tc>
          <w:tcPr>
            <w:tcW w:type="dxa" w:w="720"/>
          </w:tcPr>
          <w:p>
            <w:r/>
            <w:r>
              <w:rPr>
                <w:rFonts w:ascii="Calibri" w:hAnsi="Calibri"/>
                <w:sz w:val="20"/>
              </w:rPr>
              <w:t>48.192</w:t>
            </w:r>
          </w:p>
        </w:tc>
        <w:tc>
          <w:tcPr>
            <w:tcW w:type="dxa" w:w="720"/>
          </w:tcPr>
          <w:p>
            <w:r/>
            <w:r>
              <w:rPr>
                <w:rFonts w:ascii="Calibri" w:hAnsi="Calibri"/>
                <w:sz w:val="20"/>
              </w:rPr>
              <w:t>44.565</w:t>
            </w:r>
          </w:p>
        </w:tc>
        <w:tc>
          <w:tcPr>
            <w:tcW w:type="dxa" w:w="720"/>
          </w:tcPr>
          <w:p>
            <w:r/>
            <w:r>
              <w:rPr>
                <w:rFonts w:ascii="Calibri" w:hAnsi="Calibri"/>
                <w:sz w:val="20"/>
              </w:rPr>
              <w:t>52.024</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70.95</w:t>
            </w:r>
          </w:p>
        </w:tc>
        <w:tc>
          <w:tcPr>
            <w:tcW w:type="dxa" w:w="720"/>
          </w:tcPr>
          <w:p>
            <w:r/>
            <w:r>
              <w:rPr>
                <w:rFonts w:ascii="Calibri" w:hAnsi="Calibri"/>
                <w:sz w:val="20"/>
              </w:rPr>
              <w:t>64.393</w:t>
            </w:r>
          </w:p>
        </w:tc>
        <w:tc>
          <w:tcPr>
            <w:tcW w:type="dxa" w:w="720"/>
          </w:tcPr>
          <w:p>
            <w:r/>
            <w:r>
              <w:rPr>
                <w:rFonts w:ascii="Calibri" w:hAnsi="Calibri"/>
                <w:sz w:val="20"/>
              </w:rPr>
              <w:t>77.817</w:t>
            </w:r>
          </w:p>
        </w:tc>
        <w:tc>
          <w:tcPr>
            <w:tcW w:type="dxa" w:w="720"/>
          </w:tcPr>
          <w:p>
            <w:r/>
            <w:r>
              <w:rPr>
                <w:rFonts w:ascii="Calibri" w:hAnsi="Calibri"/>
                <w:sz w:val="20"/>
              </w:rPr>
              <w:t>50.129</w:t>
            </w:r>
          </w:p>
        </w:tc>
        <w:tc>
          <w:tcPr>
            <w:tcW w:type="dxa" w:w="720"/>
          </w:tcPr>
          <w:p>
            <w:r/>
            <w:r>
              <w:rPr>
                <w:rFonts w:ascii="Calibri" w:hAnsi="Calibri"/>
                <w:sz w:val="20"/>
              </w:rPr>
              <w:t>46.432</w:t>
            </w:r>
          </w:p>
        </w:tc>
        <w:tc>
          <w:tcPr>
            <w:tcW w:type="dxa" w:w="720"/>
          </w:tcPr>
          <w:p>
            <w:r/>
            <w:r>
              <w:rPr>
                <w:rFonts w:ascii="Calibri" w:hAnsi="Calibri"/>
                <w:sz w:val="20"/>
              </w:rPr>
              <w:t>54.215</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69.897</w:t>
            </w:r>
          </w:p>
        </w:tc>
        <w:tc>
          <w:tcPr>
            <w:tcW w:type="dxa" w:w="720"/>
          </w:tcPr>
          <w:p>
            <w:r/>
            <w:r>
              <w:rPr>
                <w:rFonts w:ascii="Calibri" w:hAnsi="Calibri"/>
                <w:sz w:val="20"/>
              </w:rPr>
              <w:t>63.591</w:t>
            </w:r>
          </w:p>
        </w:tc>
        <w:tc>
          <w:tcPr>
            <w:tcW w:type="dxa" w:w="720"/>
          </w:tcPr>
          <w:p>
            <w:r/>
            <w:r>
              <w:rPr>
                <w:rFonts w:ascii="Calibri" w:hAnsi="Calibri"/>
                <w:sz w:val="20"/>
              </w:rPr>
              <w:t>76.646</w:t>
            </w:r>
          </w:p>
        </w:tc>
        <w:tc>
          <w:tcPr>
            <w:tcW w:type="dxa" w:w="720"/>
          </w:tcPr>
          <w:p>
            <w:r/>
            <w:r>
              <w:rPr>
                <w:rFonts w:ascii="Calibri" w:hAnsi="Calibri"/>
                <w:sz w:val="20"/>
              </w:rPr>
              <w:t>48.33</w:t>
            </w:r>
          </w:p>
        </w:tc>
        <w:tc>
          <w:tcPr>
            <w:tcW w:type="dxa" w:w="720"/>
          </w:tcPr>
          <w:p>
            <w:r/>
            <w:r>
              <w:rPr>
                <w:rFonts w:ascii="Calibri" w:hAnsi="Calibri"/>
                <w:sz w:val="20"/>
              </w:rPr>
              <w:t>44.377</w:t>
            </w:r>
          </w:p>
        </w:tc>
        <w:tc>
          <w:tcPr>
            <w:tcW w:type="dxa" w:w="720"/>
          </w:tcPr>
          <w:p>
            <w:r/>
            <w:r>
              <w:rPr>
                <w:rFonts w:ascii="Calibri" w:hAnsi="Calibri"/>
                <w:sz w:val="20"/>
              </w:rPr>
              <w:t>52.257</w:t>
            </w:r>
          </w:p>
        </w:tc>
      </w:tr>
      <w:tr>
        <w:tc>
          <w:tcPr>
            <w:tcW w:type="dxa" w:w="720"/>
          </w:tcPr>
          <w:p>
            <w:r/>
            <w:r>
              <w:rPr>
                <w:rFonts w:ascii="Calibri" w:hAnsi="Calibri"/>
                <w:sz w:val="20"/>
              </w:rPr>
              <w:t>LOSO</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4.588</w:t>
            </w:r>
          </w:p>
        </w:tc>
        <w:tc>
          <w:tcPr>
            <w:tcW w:type="dxa" w:w="720"/>
          </w:tcPr>
          <w:p>
            <w:r/>
            <w:r>
              <w:rPr>
                <w:rFonts w:ascii="Calibri" w:hAnsi="Calibri"/>
                <w:sz w:val="20"/>
              </w:rPr>
              <w:t>4.154</w:t>
            </w:r>
          </w:p>
        </w:tc>
        <w:tc>
          <w:tcPr>
            <w:tcW w:type="dxa" w:w="720"/>
          </w:tcPr>
          <w:p>
            <w:r/>
            <w:r>
              <w:rPr>
                <w:rFonts w:ascii="Calibri" w:hAnsi="Calibri"/>
                <w:sz w:val="20"/>
              </w:rPr>
              <w:t>5.063</w:t>
            </w:r>
          </w:p>
        </w:tc>
        <w:tc>
          <w:tcPr>
            <w:tcW w:type="dxa" w:w="720"/>
          </w:tcPr>
          <w:p>
            <w:r/>
            <w:r>
              <w:rPr>
                <w:rFonts w:ascii="Calibri" w:hAnsi="Calibri"/>
                <w:sz w:val="20"/>
              </w:rPr>
              <w:t>3.21</w:t>
            </w:r>
          </w:p>
        </w:tc>
        <w:tc>
          <w:tcPr>
            <w:tcW w:type="dxa" w:w="720"/>
          </w:tcPr>
          <w:p>
            <w:r/>
            <w:r>
              <w:rPr>
                <w:rFonts w:ascii="Calibri" w:hAnsi="Calibri"/>
                <w:sz w:val="20"/>
              </w:rPr>
              <w:t>2.966</w:t>
            </w:r>
          </w:p>
        </w:tc>
        <w:tc>
          <w:tcPr>
            <w:tcW w:type="dxa" w:w="720"/>
          </w:tcPr>
          <w:p>
            <w:r/>
            <w:r>
              <w:rPr>
                <w:rFonts w:ascii="Calibri" w:hAnsi="Calibri"/>
                <w:sz w:val="20"/>
              </w:rPr>
              <w:t>3.484</w:t>
            </w:r>
          </w:p>
        </w:tc>
      </w:tr>
      <w:tr>
        <w:tc>
          <w:tcPr>
            <w:tcW w:type="dxa" w:w="720"/>
          </w:tcPr>
          <w:p>
            <w:r/>
            <w:r>
              <w:rPr>
                <w:rFonts w:ascii="Calibri" w:hAnsi="Calibri"/>
                <w:sz w:val="20"/>
              </w:rPr>
              <w:t>ClusterKFold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7.286</w:t>
            </w:r>
          </w:p>
        </w:tc>
        <w:tc>
          <w:tcPr>
            <w:tcW w:type="dxa" w:w="720"/>
          </w:tcPr>
          <w:p>
            <w:r/>
            <w:r>
              <w:rPr>
                <w:rFonts w:ascii="Calibri" w:hAnsi="Calibri"/>
                <w:sz w:val="20"/>
              </w:rPr>
              <w:t>6.649</w:t>
            </w:r>
          </w:p>
        </w:tc>
        <w:tc>
          <w:tcPr>
            <w:tcW w:type="dxa" w:w="720"/>
          </w:tcPr>
          <w:p>
            <w:r/>
            <w:r>
              <w:rPr>
                <w:rFonts w:ascii="Calibri" w:hAnsi="Calibri"/>
                <w:sz w:val="20"/>
              </w:rPr>
              <w:t>7.87</w:t>
            </w:r>
          </w:p>
        </w:tc>
        <w:tc>
          <w:tcPr>
            <w:tcW w:type="dxa" w:w="720"/>
          </w:tcPr>
          <w:p>
            <w:r/>
            <w:r>
              <w:rPr>
                <w:rFonts w:ascii="Calibri" w:hAnsi="Calibri"/>
                <w:sz w:val="20"/>
              </w:rPr>
              <w:t>5.463</w:t>
            </w:r>
          </w:p>
        </w:tc>
        <w:tc>
          <w:tcPr>
            <w:tcW w:type="dxa" w:w="720"/>
          </w:tcPr>
          <w:p>
            <w:r/>
            <w:r>
              <w:rPr>
                <w:rFonts w:ascii="Calibri" w:hAnsi="Calibri"/>
                <w:sz w:val="20"/>
              </w:rPr>
              <w:t>5.061</w:t>
            </w:r>
          </w:p>
        </w:tc>
        <w:tc>
          <w:tcPr>
            <w:tcW w:type="dxa" w:w="720"/>
          </w:tcPr>
          <w:p>
            <w:r/>
            <w:r>
              <w:rPr>
                <w:rFonts w:ascii="Calibri" w:hAnsi="Calibri"/>
                <w:sz w:val="20"/>
              </w:rPr>
              <w:t>5.825</w:t>
            </w:r>
          </w:p>
        </w:tc>
      </w:tr>
      <w:tr>
        <w:tc>
          <w:tcPr>
            <w:tcW w:type="dxa" w:w="720"/>
          </w:tcPr>
          <w:p>
            <w:r/>
            <w:r>
              <w:rPr>
                <w:rFonts w:ascii="Calibri" w:hAnsi="Calibri"/>
                <w:sz w:val="20"/>
              </w:rPr>
              <w:t>TargetBinKFold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6.506</w:t>
            </w:r>
          </w:p>
        </w:tc>
        <w:tc>
          <w:tcPr>
            <w:tcW w:type="dxa" w:w="720"/>
          </w:tcPr>
          <w:p>
            <w:r/>
            <w:r>
              <w:rPr>
                <w:rFonts w:ascii="Calibri" w:hAnsi="Calibri"/>
                <w:sz w:val="20"/>
              </w:rPr>
              <w:t>6.114</w:t>
            </w:r>
          </w:p>
        </w:tc>
        <w:tc>
          <w:tcPr>
            <w:tcW w:type="dxa" w:w="720"/>
          </w:tcPr>
          <w:p>
            <w:r/>
            <w:r>
              <w:rPr>
                <w:rFonts w:ascii="Calibri" w:hAnsi="Calibri"/>
                <w:sz w:val="20"/>
              </w:rPr>
              <w:t>6.944</w:t>
            </w:r>
          </w:p>
        </w:tc>
        <w:tc>
          <w:tcPr>
            <w:tcW w:type="dxa" w:w="720"/>
          </w:tcPr>
          <w:p>
            <w:r/>
            <w:r>
              <w:rPr>
                <w:rFonts w:ascii="Calibri" w:hAnsi="Calibri"/>
                <w:sz w:val="20"/>
              </w:rPr>
              <w:t>5.211</w:t>
            </w:r>
          </w:p>
        </w:tc>
        <w:tc>
          <w:tcPr>
            <w:tcW w:type="dxa" w:w="720"/>
          </w:tcPr>
          <w:p>
            <w:r/>
            <w:r>
              <w:rPr>
                <w:rFonts w:ascii="Calibri" w:hAnsi="Calibri"/>
                <w:sz w:val="20"/>
              </w:rPr>
              <w:t>4.91</w:t>
            </w:r>
          </w:p>
        </w:tc>
        <w:tc>
          <w:tcPr>
            <w:tcW w:type="dxa" w:w="720"/>
          </w:tcPr>
          <w:p>
            <w:r/>
            <w:r>
              <w:rPr>
                <w:rFonts w:ascii="Calibri" w:hAnsi="Calibri"/>
                <w:sz w:val="20"/>
              </w:rPr>
              <w:t>5.535</w:t>
            </w:r>
          </w:p>
        </w:tc>
      </w:tr>
      <w:tr>
        <w:tc>
          <w:tcPr>
            <w:tcW w:type="dxa" w:w="720"/>
          </w:tcPr>
          <w:p>
            <w:r/>
            <w:r>
              <w:rPr>
                <w:rFonts w:ascii="Calibri" w:hAnsi="Calibri"/>
                <w:sz w:val="20"/>
              </w:rPr>
              <w:t>LeaveOneRegionOut</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5.881</w:t>
            </w:r>
          </w:p>
        </w:tc>
        <w:tc>
          <w:tcPr>
            <w:tcW w:type="dxa" w:w="720"/>
          </w:tcPr>
          <w:p>
            <w:r/>
            <w:r>
              <w:rPr>
                <w:rFonts w:ascii="Calibri" w:hAnsi="Calibri"/>
                <w:sz w:val="20"/>
              </w:rPr>
              <w:t>5.261</w:t>
            </w:r>
          </w:p>
        </w:tc>
        <w:tc>
          <w:tcPr>
            <w:tcW w:type="dxa" w:w="720"/>
          </w:tcPr>
          <w:p>
            <w:r/>
            <w:r>
              <w:rPr>
                <w:rFonts w:ascii="Calibri" w:hAnsi="Calibri"/>
                <w:sz w:val="20"/>
              </w:rPr>
              <w:t>6.503</w:t>
            </w:r>
          </w:p>
        </w:tc>
        <w:tc>
          <w:tcPr>
            <w:tcW w:type="dxa" w:w="720"/>
          </w:tcPr>
          <w:p>
            <w:r/>
            <w:r>
              <w:rPr>
                <w:rFonts w:ascii="Calibri" w:hAnsi="Calibri"/>
                <w:sz w:val="20"/>
              </w:rPr>
              <w:t>4.031</w:t>
            </w:r>
          </w:p>
        </w:tc>
        <w:tc>
          <w:tcPr>
            <w:tcW w:type="dxa" w:w="720"/>
          </w:tcPr>
          <w:p>
            <w:r/>
            <w:r>
              <w:rPr>
                <w:rFonts w:ascii="Calibri" w:hAnsi="Calibri"/>
                <w:sz w:val="20"/>
              </w:rPr>
              <w:t>3.695</w:t>
            </w:r>
          </w:p>
        </w:tc>
        <w:tc>
          <w:tcPr>
            <w:tcW w:type="dxa" w:w="720"/>
          </w:tcPr>
          <w:p>
            <w:r/>
            <w:r>
              <w:rPr>
                <w:rFonts w:ascii="Calibri" w:hAnsi="Calibri"/>
                <w:sz w:val="20"/>
              </w:rPr>
              <w:t>4.362</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5.397</w:t>
            </w:r>
          </w:p>
        </w:tc>
        <w:tc>
          <w:tcPr>
            <w:tcW w:type="dxa" w:w="720"/>
          </w:tcPr>
          <w:p>
            <w:r/>
            <w:r>
              <w:rPr>
                <w:rFonts w:ascii="Calibri" w:hAnsi="Calibri"/>
                <w:sz w:val="20"/>
              </w:rPr>
              <w:t>4.899</w:t>
            </w:r>
          </w:p>
        </w:tc>
        <w:tc>
          <w:tcPr>
            <w:tcW w:type="dxa" w:w="720"/>
          </w:tcPr>
          <w:p>
            <w:r/>
            <w:r>
              <w:rPr>
                <w:rFonts w:ascii="Calibri" w:hAnsi="Calibri"/>
                <w:sz w:val="20"/>
              </w:rPr>
              <w:t>5.904</w:t>
            </w:r>
          </w:p>
        </w:tc>
        <w:tc>
          <w:tcPr>
            <w:tcW w:type="dxa" w:w="720"/>
          </w:tcPr>
          <w:p>
            <w:r/>
            <w:r>
              <w:rPr>
                <w:rFonts w:ascii="Calibri" w:hAnsi="Calibri"/>
                <w:sz w:val="20"/>
              </w:rPr>
              <w:t>3.838</w:t>
            </w:r>
          </w:p>
        </w:tc>
        <w:tc>
          <w:tcPr>
            <w:tcW w:type="dxa" w:w="720"/>
          </w:tcPr>
          <w:p>
            <w:r/>
            <w:r>
              <w:rPr>
                <w:rFonts w:ascii="Calibri" w:hAnsi="Calibri"/>
                <w:sz w:val="20"/>
              </w:rPr>
              <w:t>3.548</w:t>
            </w:r>
          </w:p>
        </w:tc>
        <w:tc>
          <w:tcPr>
            <w:tcW w:type="dxa" w:w="720"/>
          </w:tcPr>
          <w:p>
            <w:r/>
            <w:r>
              <w:rPr>
                <w:rFonts w:ascii="Calibri" w:hAnsi="Calibri"/>
                <w:sz w:val="20"/>
              </w:rPr>
              <w:t>4.142</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7.441</w:t>
            </w:r>
          </w:p>
        </w:tc>
        <w:tc>
          <w:tcPr>
            <w:tcW w:type="dxa" w:w="720"/>
          </w:tcPr>
          <w:p>
            <w:r/>
            <w:r>
              <w:rPr>
                <w:rFonts w:ascii="Calibri" w:hAnsi="Calibri"/>
                <w:sz w:val="20"/>
              </w:rPr>
              <w:t>6.885</w:t>
            </w:r>
          </w:p>
        </w:tc>
        <w:tc>
          <w:tcPr>
            <w:tcW w:type="dxa" w:w="720"/>
          </w:tcPr>
          <w:p>
            <w:r/>
            <w:r>
              <w:rPr>
                <w:rFonts w:ascii="Calibri" w:hAnsi="Calibri"/>
                <w:sz w:val="20"/>
              </w:rPr>
              <w:t>7.966</w:t>
            </w:r>
          </w:p>
        </w:tc>
        <w:tc>
          <w:tcPr>
            <w:tcW w:type="dxa" w:w="720"/>
          </w:tcPr>
          <w:p>
            <w:r/>
            <w:r>
              <w:rPr>
                <w:rFonts w:ascii="Calibri" w:hAnsi="Calibri"/>
                <w:sz w:val="20"/>
              </w:rPr>
              <w:t>5.84</w:t>
            </w:r>
          </w:p>
        </w:tc>
        <w:tc>
          <w:tcPr>
            <w:tcW w:type="dxa" w:w="720"/>
          </w:tcPr>
          <w:p>
            <w:r/>
            <w:r>
              <w:rPr>
                <w:rFonts w:ascii="Calibri" w:hAnsi="Calibri"/>
                <w:sz w:val="20"/>
              </w:rPr>
              <w:t>5.462</w:t>
            </w:r>
          </w:p>
        </w:tc>
        <w:tc>
          <w:tcPr>
            <w:tcW w:type="dxa" w:w="720"/>
          </w:tcPr>
          <w:p>
            <w:r/>
            <w:r>
              <w:rPr>
                <w:rFonts w:ascii="Calibri" w:hAnsi="Calibri"/>
                <w:sz w:val="20"/>
              </w:rPr>
              <w:t>6.18</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7.106</w:t>
            </w:r>
          </w:p>
        </w:tc>
        <w:tc>
          <w:tcPr>
            <w:tcW w:type="dxa" w:w="720"/>
          </w:tcPr>
          <w:p>
            <w:r/>
            <w:r>
              <w:rPr>
                <w:rFonts w:ascii="Calibri" w:hAnsi="Calibri"/>
                <w:sz w:val="20"/>
              </w:rPr>
              <w:t>6.533</w:t>
            </w:r>
          </w:p>
        </w:tc>
        <w:tc>
          <w:tcPr>
            <w:tcW w:type="dxa" w:w="720"/>
          </w:tcPr>
          <w:p>
            <w:r/>
            <w:r>
              <w:rPr>
                <w:rFonts w:ascii="Calibri" w:hAnsi="Calibri"/>
                <w:sz w:val="20"/>
              </w:rPr>
              <w:t>7.644</w:t>
            </w:r>
          </w:p>
        </w:tc>
        <w:tc>
          <w:tcPr>
            <w:tcW w:type="dxa" w:w="720"/>
          </w:tcPr>
          <w:p>
            <w:r/>
            <w:r>
              <w:rPr>
                <w:rFonts w:ascii="Calibri" w:hAnsi="Calibri"/>
                <w:sz w:val="20"/>
              </w:rPr>
              <w:t>5.303</w:t>
            </w:r>
          </w:p>
        </w:tc>
        <w:tc>
          <w:tcPr>
            <w:tcW w:type="dxa" w:w="720"/>
          </w:tcPr>
          <w:p>
            <w:r/>
            <w:r>
              <w:rPr>
                <w:rFonts w:ascii="Calibri" w:hAnsi="Calibri"/>
                <w:sz w:val="20"/>
              </w:rPr>
              <w:t>4.935</w:t>
            </w:r>
          </w:p>
        </w:tc>
        <w:tc>
          <w:tcPr>
            <w:tcW w:type="dxa" w:w="720"/>
          </w:tcPr>
          <w:p>
            <w:r/>
            <w:r>
              <w:rPr>
                <w:rFonts w:ascii="Calibri" w:hAnsi="Calibri"/>
                <w:sz w:val="20"/>
              </w:rPr>
              <w:t>5.669</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6.171</w:t>
            </w:r>
          </w:p>
        </w:tc>
        <w:tc>
          <w:tcPr>
            <w:tcW w:type="dxa" w:w="720"/>
          </w:tcPr>
          <w:p>
            <w:r/>
            <w:r>
              <w:rPr>
                <w:rFonts w:ascii="Calibri" w:hAnsi="Calibri"/>
                <w:sz w:val="20"/>
              </w:rPr>
              <w:t>5.565</w:t>
            </w:r>
          </w:p>
        </w:tc>
        <w:tc>
          <w:tcPr>
            <w:tcW w:type="dxa" w:w="720"/>
          </w:tcPr>
          <w:p>
            <w:r/>
            <w:r>
              <w:rPr>
                <w:rFonts w:ascii="Calibri" w:hAnsi="Calibri"/>
                <w:sz w:val="20"/>
              </w:rPr>
              <w:t>6.797</w:t>
            </w:r>
          </w:p>
        </w:tc>
        <w:tc>
          <w:tcPr>
            <w:tcW w:type="dxa" w:w="720"/>
          </w:tcPr>
          <w:p>
            <w:r/>
            <w:r>
              <w:rPr>
                <w:rFonts w:ascii="Calibri" w:hAnsi="Calibri"/>
                <w:sz w:val="20"/>
              </w:rPr>
              <w:t>4.329</w:t>
            </w:r>
          </w:p>
        </w:tc>
        <w:tc>
          <w:tcPr>
            <w:tcW w:type="dxa" w:w="720"/>
          </w:tcPr>
          <w:p>
            <w:r/>
            <w:r>
              <w:rPr>
                <w:rFonts w:ascii="Calibri" w:hAnsi="Calibri"/>
                <w:sz w:val="20"/>
              </w:rPr>
              <w:t>3.964</w:t>
            </w:r>
          </w:p>
        </w:tc>
        <w:tc>
          <w:tcPr>
            <w:tcW w:type="dxa" w:w="720"/>
          </w:tcPr>
          <w:p>
            <w:r/>
            <w:r>
              <w:rPr>
                <w:rFonts w:ascii="Calibri" w:hAnsi="Calibri"/>
                <w:sz w:val="20"/>
              </w:rPr>
              <w:t>4.691</w:t>
            </w:r>
          </w:p>
        </w:tc>
      </w:tr>
    </w:tbl>
    <w:p>
      <w:pPr>
        <w:pStyle w:val="Heading3"/>
      </w:pPr>
      <w:r>
        <w:t>Table S7. S8 7 shap top features opx liq</w:t>
      </w:r>
    </w:p>
    <w:p>
      <w:r>
        <w:rPr>
          <w:i/>
          <w:sz w:val="20"/>
        </w:rPr>
        <w:t>Source: tables\S8_7_shap_top_features_opx_liq.csv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Calibri" w:hAnsi="Calibri"/>
                <w:b/>
                <w:sz w:val="20"/>
              </w:rPr>
              <w:t>cell</w:t>
            </w:r>
          </w:p>
        </w:tc>
        <w:tc>
          <w:tcPr>
            <w:tcW w:type="dxa" w:w="1560"/>
          </w:tcPr>
          <w:p>
            <w:r/>
            <w:r>
              <w:rPr>
                <w:rFonts w:ascii="Calibri" w:hAnsi="Calibri"/>
                <w:b/>
                <w:sz w:val="20"/>
              </w:rPr>
              <w:t>model</w:t>
            </w:r>
          </w:p>
        </w:tc>
        <w:tc>
          <w:tcPr>
            <w:tcW w:type="dxa" w:w="1560"/>
          </w:tcPr>
          <w:p>
            <w:r/>
            <w:r>
              <w:rPr>
                <w:rFonts w:ascii="Calibri" w:hAnsi="Calibri"/>
                <w:b/>
                <w:sz w:val="20"/>
              </w:rPr>
              <w:t>target</w:t>
            </w:r>
          </w:p>
        </w:tc>
        <w:tc>
          <w:tcPr>
            <w:tcW w:type="dxa" w:w="1560"/>
          </w:tcPr>
          <w:p>
            <w:r/>
            <w:r>
              <w:rPr>
                <w:rFonts w:ascii="Calibri" w:hAnsi="Calibri"/>
                <w:b/>
                <w:sz w:val="20"/>
              </w:rPr>
              <w:t>feature_set</w:t>
            </w:r>
          </w:p>
        </w:tc>
        <w:tc>
          <w:tcPr>
            <w:tcW w:type="dxa" w:w="1560"/>
          </w:tcPr>
          <w:p>
            <w:r/>
            <w:r>
              <w:rPr>
                <w:rFonts w:ascii="Calibri" w:hAnsi="Calibri"/>
                <w:b/>
                <w:sz w:val="20"/>
              </w:rPr>
              <w:t>feature</w:t>
            </w:r>
          </w:p>
        </w:tc>
        <w:tc>
          <w:tcPr>
            <w:tcW w:type="dxa" w:w="1560"/>
          </w:tcPr>
          <w:p>
            <w:r/>
            <w:r>
              <w:rPr>
                <w:rFonts w:ascii="Calibri" w:hAnsi="Calibri"/>
                <w:b/>
                <w:sz w:val="20"/>
              </w:rPr>
              <w:t>mean_abs_shap</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1.491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1.024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0.973</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0.894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MgTs</w:t>
            </w:r>
          </w:p>
        </w:tc>
        <w:tc>
          <w:tcPr>
            <w:tcW w:type="dxa" w:w="1560"/>
          </w:tcPr>
          <w:p>
            <w:r/>
            <w:r>
              <w:rPr>
                <w:rFonts w:ascii="Calibri" w:hAnsi="Calibri"/>
                <w:sz w:val="20"/>
              </w:rPr>
              <w:t>0.711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0.71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0.638</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raw_Al2O3</w:t>
            </w:r>
          </w:p>
        </w:tc>
        <w:tc>
          <w:tcPr>
            <w:tcW w:type="dxa" w:w="1560"/>
          </w:tcPr>
          <w:p>
            <w:r/>
            <w:r>
              <w:rPr>
                <w:rFonts w:ascii="Calibri" w:hAnsi="Calibri"/>
                <w:sz w:val="20"/>
              </w:rPr>
              <w:t>0.56</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0.504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Mg_num</w:t>
            </w:r>
          </w:p>
        </w:tc>
        <w:tc>
          <w:tcPr>
            <w:tcW w:type="dxa" w:w="1560"/>
          </w:tcPr>
          <w:p>
            <w:r/>
            <w:r>
              <w:rPr>
                <w:rFonts w:ascii="Calibri" w:hAnsi="Calibri"/>
                <w:sz w:val="20"/>
              </w:rPr>
              <w:t>0.455</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raw_CaO</w:t>
            </w:r>
          </w:p>
        </w:tc>
        <w:tc>
          <w:tcPr>
            <w:tcW w:type="dxa" w:w="1560"/>
          </w:tcPr>
          <w:p>
            <w:r/>
            <w:r>
              <w:rPr>
                <w:rFonts w:ascii="Calibri" w:hAnsi="Calibri"/>
                <w:sz w:val="20"/>
              </w:rPr>
              <w:t>11.394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9.658</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3.982</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3.34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3.146</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2.271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liq_Mg_num</w:t>
            </w:r>
          </w:p>
        </w:tc>
        <w:tc>
          <w:tcPr>
            <w:tcW w:type="dxa" w:w="1560"/>
          </w:tcPr>
          <w:p>
            <w:r/>
            <w:r>
              <w:rPr>
                <w:rFonts w:ascii="Calibri" w:hAnsi="Calibri"/>
                <w:sz w:val="20"/>
              </w:rPr>
              <w:t>2.058</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1.801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1.715</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1.617</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64.183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23.992</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raw_FeO_total</w:t>
            </w:r>
          </w:p>
        </w:tc>
        <w:tc>
          <w:tcPr>
            <w:tcW w:type="dxa" w:w="1560"/>
          </w:tcPr>
          <w:p>
            <w:r/>
            <w:r>
              <w:rPr>
                <w:rFonts w:ascii="Calibri" w:hAnsi="Calibri"/>
                <w:sz w:val="20"/>
              </w:rPr>
              <w:t>21.128</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20.201</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14.065</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11.077</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8.495</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7.633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raw_liq_Na2O</w:t>
            </w:r>
          </w:p>
        </w:tc>
        <w:tc>
          <w:tcPr>
            <w:tcW w:type="dxa" w:w="1560"/>
          </w:tcPr>
          <w:p>
            <w:r/>
            <w:r>
              <w:rPr>
                <w:rFonts w:ascii="Calibri" w:hAnsi="Calibri"/>
                <w:sz w:val="20"/>
              </w:rPr>
              <w:t>6.264</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5.723</w:t>
            </w:r>
          </w:p>
        </w:tc>
      </w:tr>
    </w:tbl>
    <w:p>
      <w:r>
        <w:rPr>
          <w:i/>
          <w:sz w:val="18"/>
        </w:rPr>
        <w:t>[Table truncated to first 30 rows. Full table at tables\S8_7_shap_top_features_opx_liq.csv]</w:t>
      </w:r>
    </w:p>
    <w:p>
      <w:pPr>
        <w:pStyle w:val="Heading3"/>
      </w:pPr>
      <w:r>
        <w:t>Table S8. S8 8 bias correction opx liq</w:t>
      </w:r>
    </w:p>
    <w:p>
      <w:r>
        <w:rPr>
          <w:i/>
          <w:sz w:val="20"/>
        </w:rPr>
        <w:t>Source: tables\S8_8_bias_correction_opx_liq.csv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regime</w:t>
            </w:r>
          </w:p>
        </w:tc>
        <w:tc>
          <w:tcPr>
            <w:tcW w:type="dxa" w:w="720"/>
          </w:tcPr>
          <w:p>
            <w:r/>
            <w:r>
              <w:rPr>
                <w:rFonts w:ascii="Calibri" w:hAnsi="Calibri"/>
                <w:b/>
                <w:sz w:val="20"/>
              </w:rPr>
              <w:t>n</w:t>
            </w:r>
          </w:p>
        </w:tc>
        <w:tc>
          <w:tcPr>
            <w:tcW w:type="dxa" w:w="720"/>
          </w:tcPr>
          <w:p>
            <w:r/>
            <w:r>
              <w:rPr>
                <w:rFonts w:ascii="Calibri" w:hAnsi="Calibri"/>
                <w:b/>
                <w:sz w:val="20"/>
              </w:rPr>
              <w:t>pre_rmse</w:t>
            </w:r>
          </w:p>
        </w:tc>
        <w:tc>
          <w:tcPr>
            <w:tcW w:type="dxa" w:w="720"/>
          </w:tcPr>
          <w:p>
            <w:r/>
            <w:r>
              <w:rPr>
                <w:rFonts w:ascii="Calibri" w:hAnsi="Calibri"/>
                <w:b/>
                <w:sz w:val="20"/>
              </w:rPr>
              <w:t>pre_rmse_lo</w:t>
            </w:r>
          </w:p>
        </w:tc>
        <w:tc>
          <w:tcPr>
            <w:tcW w:type="dxa" w:w="720"/>
          </w:tcPr>
          <w:p>
            <w:r/>
            <w:r>
              <w:rPr>
                <w:rFonts w:ascii="Calibri" w:hAnsi="Calibri"/>
                <w:b/>
                <w:sz w:val="20"/>
              </w:rPr>
              <w:t>pre_rmse_hi</w:t>
            </w:r>
          </w:p>
        </w:tc>
        <w:tc>
          <w:tcPr>
            <w:tcW w:type="dxa" w:w="720"/>
          </w:tcPr>
          <w:p>
            <w:r/>
            <w:r>
              <w:rPr>
                <w:rFonts w:ascii="Calibri" w:hAnsi="Calibri"/>
                <w:b/>
                <w:sz w:val="20"/>
              </w:rPr>
              <w:t>post_rmse</w:t>
            </w:r>
          </w:p>
        </w:tc>
        <w:tc>
          <w:tcPr>
            <w:tcW w:type="dxa" w:w="720"/>
          </w:tcPr>
          <w:p>
            <w:r/>
            <w:r>
              <w:rPr>
                <w:rFonts w:ascii="Calibri" w:hAnsi="Calibri"/>
                <w:b/>
                <w:sz w:val="20"/>
              </w:rPr>
              <w:t>post_rmse_lo</w:t>
            </w:r>
          </w:p>
        </w:tc>
        <w:tc>
          <w:tcPr>
            <w:tcW w:type="dxa" w:w="720"/>
          </w:tcPr>
          <w:p>
            <w:r/>
            <w:r>
              <w:rPr>
                <w:rFonts w:ascii="Calibri" w:hAnsi="Calibri"/>
                <w:b/>
                <w:sz w:val="20"/>
              </w:rPr>
              <w:t>post_rmse_hi</w:t>
            </w:r>
          </w:p>
        </w:tc>
        <w:tc>
          <w:tcPr>
            <w:tcW w:type="dxa" w:w="720"/>
          </w:tcPr>
          <w:p>
            <w:r/>
            <w:r>
              <w:rPr>
                <w:rFonts w:ascii="Calibri" w:hAnsi="Calibri"/>
                <w:b/>
                <w:sz w:val="20"/>
              </w:rPr>
              <w:t>improvement</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78.464</w:t>
            </w:r>
          </w:p>
        </w:tc>
        <w:tc>
          <w:tcPr>
            <w:tcW w:type="dxa" w:w="720"/>
          </w:tcPr>
          <w:p>
            <w:r/>
            <w:r>
              <w:rPr>
                <w:rFonts w:ascii="Calibri" w:hAnsi="Calibri"/>
                <w:sz w:val="20"/>
              </w:rPr>
              <w:t>30.402</w:t>
            </w:r>
          </w:p>
        </w:tc>
        <w:tc>
          <w:tcPr>
            <w:tcW w:type="dxa" w:w="720"/>
          </w:tcPr>
          <w:p>
            <w:r/>
            <w:r>
              <w:rPr>
                <w:rFonts w:ascii="Calibri" w:hAnsi="Calibri"/>
                <w:sz w:val="20"/>
              </w:rPr>
              <w:t>111.636</w:t>
            </w:r>
          </w:p>
        </w:tc>
        <w:tc>
          <w:tcPr>
            <w:tcW w:type="dxa" w:w="720"/>
          </w:tcPr>
          <w:p>
            <w:r/>
            <w:r>
              <w:rPr>
                <w:rFonts w:ascii="Calibri" w:hAnsi="Calibri"/>
                <w:sz w:val="20"/>
              </w:rPr>
              <w:t>76.919</w:t>
            </w:r>
          </w:p>
        </w:tc>
        <w:tc>
          <w:tcPr>
            <w:tcW w:type="dxa" w:w="720"/>
          </w:tcPr>
          <w:p>
            <w:r/>
            <w:r>
              <w:rPr>
                <w:rFonts w:ascii="Calibri" w:hAnsi="Calibri"/>
                <w:sz w:val="20"/>
              </w:rPr>
              <w:t>33.27</w:t>
            </w:r>
          </w:p>
        </w:tc>
        <w:tc>
          <w:tcPr>
            <w:tcW w:type="dxa" w:w="720"/>
          </w:tcPr>
          <w:p>
            <w:r/>
            <w:r>
              <w:rPr>
                <w:rFonts w:ascii="Calibri" w:hAnsi="Calibri"/>
                <w:sz w:val="20"/>
              </w:rPr>
              <w:t>107.7</w:t>
            </w:r>
          </w:p>
        </w:tc>
        <w:tc>
          <w:tcPr>
            <w:tcW w:type="dxa" w:w="720"/>
          </w:tcPr>
          <w:p>
            <w:r/>
            <w:r>
              <w:rPr>
                <w:rFonts w:ascii="Calibri" w:hAnsi="Calibri"/>
                <w:sz w:val="20"/>
              </w:rPr>
              <w:t>1.545</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105.996</w:t>
            </w:r>
          </w:p>
        </w:tc>
        <w:tc>
          <w:tcPr>
            <w:tcW w:type="dxa" w:w="720"/>
          </w:tcPr>
          <w:p>
            <w:r/>
            <w:r>
              <w:rPr>
                <w:rFonts w:ascii="Calibri" w:hAnsi="Calibri"/>
                <w:sz w:val="20"/>
              </w:rPr>
              <w:t>78.465</w:t>
            </w:r>
          </w:p>
        </w:tc>
        <w:tc>
          <w:tcPr>
            <w:tcW w:type="dxa" w:w="720"/>
          </w:tcPr>
          <w:p>
            <w:r/>
            <w:r>
              <w:rPr>
                <w:rFonts w:ascii="Calibri" w:hAnsi="Calibri"/>
                <w:sz w:val="20"/>
              </w:rPr>
              <w:t>130.083</w:t>
            </w:r>
          </w:p>
        </w:tc>
        <w:tc>
          <w:tcPr>
            <w:tcW w:type="dxa" w:w="720"/>
          </w:tcPr>
          <w:p>
            <w:r/>
            <w:r>
              <w:rPr>
                <w:rFonts w:ascii="Calibri" w:hAnsi="Calibri"/>
                <w:sz w:val="20"/>
              </w:rPr>
              <w:t>61.542</w:t>
            </w:r>
          </w:p>
        </w:tc>
        <w:tc>
          <w:tcPr>
            <w:tcW w:type="dxa" w:w="720"/>
          </w:tcPr>
          <w:p>
            <w:r/>
            <w:r>
              <w:rPr>
                <w:rFonts w:ascii="Calibri" w:hAnsi="Calibri"/>
                <w:sz w:val="20"/>
              </w:rPr>
              <w:t>52.232</w:t>
            </w:r>
          </w:p>
        </w:tc>
        <w:tc>
          <w:tcPr>
            <w:tcW w:type="dxa" w:w="720"/>
          </w:tcPr>
          <w:p>
            <w:r/>
            <w:r>
              <w:rPr>
                <w:rFonts w:ascii="Calibri" w:hAnsi="Calibri"/>
                <w:sz w:val="20"/>
              </w:rPr>
              <w:t>70.113</w:t>
            </w:r>
          </w:p>
        </w:tc>
        <w:tc>
          <w:tcPr>
            <w:tcW w:type="dxa" w:w="720"/>
          </w:tcPr>
          <w:p>
            <w:r/>
            <w:r>
              <w:rPr>
                <w:rFonts w:ascii="Calibri" w:hAnsi="Calibri"/>
                <w:sz w:val="20"/>
              </w:rPr>
              <w:t>44.454</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93.698</w:t>
            </w:r>
          </w:p>
        </w:tc>
        <w:tc>
          <w:tcPr>
            <w:tcW w:type="dxa" w:w="720"/>
          </w:tcPr>
          <w:p>
            <w:r/>
            <w:r>
              <w:rPr>
                <w:rFonts w:ascii="Calibri" w:hAnsi="Calibri"/>
                <w:sz w:val="20"/>
              </w:rPr>
              <w:t>79.135</w:t>
            </w:r>
          </w:p>
        </w:tc>
        <w:tc>
          <w:tcPr>
            <w:tcW w:type="dxa" w:w="720"/>
          </w:tcPr>
          <w:p>
            <w:r/>
            <w:r>
              <w:rPr>
                <w:rFonts w:ascii="Calibri" w:hAnsi="Calibri"/>
                <w:sz w:val="20"/>
              </w:rPr>
              <w:t>108.674</w:t>
            </w:r>
          </w:p>
        </w:tc>
        <w:tc>
          <w:tcPr>
            <w:tcW w:type="dxa" w:w="720"/>
          </w:tcPr>
          <w:p>
            <w:r/>
            <w:r>
              <w:rPr>
                <w:rFonts w:ascii="Calibri" w:hAnsi="Calibri"/>
                <w:sz w:val="20"/>
              </w:rPr>
              <w:t>93.577</w:t>
            </w:r>
          </w:p>
        </w:tc>
        <w:tc>
          <w:tcPr>
            <w:tcW w:type="dxa" w:w="720"/>
          </w:tcPr>
          <w:p>
            <w:r/>
            <w:r>
              <w:rPr>
                <w:rFonts w:ascii="Calibri" w:hAnsi="Calibri"/>
                <w:sz w:val="20"/>
              </w:rPr>
              <w:t>79.003</w:t>
            </w:r>
          </w:p>
        </w:tc>
        <w:tc>
          <w:tcPr>
            <w:tcW w:type="dxa" w:w="720"/>
          </w:tcPr>
          <w:p>
            <w:r/>
            <w:r>
              <w:rPr>
                <w:rFonts w:ascii="Calibri" w:hAnsi="Calibri"/>
                <w:sz w:val="20"/>
              </w:rPr>
              <w:t>108.805</w:t>
            </w:r>
          </w:p>
        </w:tc>
        <w:tc>
          <w:tcPr>
            <w:tcW w:type="dxa" w:w="720"/>
          </w:tcPr>
          <w:p>
            <w:r/>
            <w:r>
              <w:rPr>
                <w:rFonts w:ascii="Calibri" w:hAnsi="Calibri"/>
                <w:sz w:val="20"/>
              </w:rPr>
              <w:t>0.121</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35.33</w:t>
            </w:r>
          </w:p>
        </w:tc>
        <w:tc>
          <w:tcPr>
            <w:tcW w:type="dxa" w:w="720"/>
          </w:tcPr>
          <w:p>
            <w:r/>
            <w:r>
              <w:rPr>
                <w:rFonts w:ascii="Calibri" w:hAnsi="Calibri"/>
                <w:sz w:val="20"/>
              </w:rPr>
              <w:t>27.961</w:t>
            </w:r>
          </w:p>
        </w:tc>
        <w:tc>
          <w:tcPr>
            <w:tcW w:type="dxa" w:w="720"/>
          </w:tcPr>
          <w:p>
            <w:r/>
            <w:r>
              <w:rPr>
                <w:rFonts w:ascii="Calibri" w:hAnsi="Calibri"/>
                <w:sz w:val="20"/>
              </w:rPr>
              <w:t>43.559</w:t>
            </w:r>
          </w:p>
        </w:tc>
        <w:tc>
          <w:tcPr>
            <w:tcW w:type="dxa" w:w="720"/>
          </w:tcPr>
          <w:p>
            <w:r/>
            <w:r>
              <w:rPr>
                <w:rFonts w:ascii="Calibri" w:hAnsi="Calibri"/>
                <w:sz w:val="20"/>
              </w:rPr>
              <w:t>54.007</w:t>
            </w:r>
          </w:p>
        </w:tc>
        <w:tc>
          <w:tcPr>
            <w:tcW w:type="dxa" w:w="720"/>
          </w:tcPr>
          <w:p>
            <w:r/>
            <w:r>
              <w:rPr>
                <w:rFonts w:ascii="Calibri" w:hAnsi="Calibri"/>
                <w:sz w:val="20"/>
              </w:rPr>
              <w:t>47.258</w:t>
            </w:r>
          </w:p>
        </w:tc>
        <w:tc>
          <w:tcPr>
            <w:tcW w:type="dxa" w:w="720"/>
          </w:tcPr>
          <w:p>
            <w:r/>
            <w:r>
              <w:rPr>
                <w:rFonts w:ascii="Calibri" w:hAnsi="Calibri"/>
                <w:sz w:val="20"/>
              </w:rPr>
              <w:t>62.6</w:t>
            </w:r>
          </w:p>
        </w:tc>
        <w:tc>
          <w:tcPr>
            <w:tcW w:type="dxa" w:w="720"/>
          </w:tcPr>
          <w:p>
            <w:r/>
            <w:r>
              <w:rPr>
                <w:rFonts w:ascii="Calibri" w:hAnsi="Calibri"/>
                <w:sz w:val="20"/>
              </w:rPr>
              <w:t>-18.677</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77.062</w:t>
            </w:r>
          </w:p>
        </w:tc>
        <w:tc>
          <w:tcPr>
            <w:tcW w:type="dxa" w:w="720"/>
          </w:tcPr>
          <w:p>
            <w:r/>
            <w:r>
              <w:rPr>
                <w:rFonts w:ascii="Calibri" w:hAnsi="Calibri"/>
                <w:sz w:val="20"/>
              </w:rPr>
              <w:t>61.813</w:t>
            </w:r>
          </w:p>
        </w:tc>
        <w:tc>
          <w:tcPr>
            <w:tcW w:type="dxa" w:w="720"/>
          </w:tcPr>
          <w:p>
            <w:r/>
            <w:r>
              <w:rPr>
                <w:rFonts w:ascii="Calibri" w:hAnsi="Calibri"/>
                <w:sz w:val="20"/>
              </w:rPr>
              <w:t>92.726</w:t>
            </w:r>
          </w:p>
        </w:tc>
        <w:tc>
          <w:tcPr>
            <w:tcW w:type="dxa" w:w="720"/>
          </w:tcPr>
          <w:p>
            <w:r/>
            <w:r>
              <w:rPr>
                <w:rFonts w:ascii="Calibri" w:hAnsi="Calibri"/>
                <w:sz w:val="20"/>
              </w:rPr>
              <w:t>77.169</w:t>
            </w:r>
          </w:p>
        </w:tc>
        <w:tc>
          <w:tcPr>
            <w:tcW w:type="dxa" w:w="720"/>
          </w:tcPr>
          <w:p>
            <w:r/>
            <w:r>
              <w:rPr>
                <w:rFonts w:ascii="Calibri" w:hAnsi="Calibri"/>
                <w:sz w:val="20"/>
              </w:rPr>
              <w:t>63.232</w:t>
            </w:r>
          </w:p>
        </w:tc>
        <w:tc>
          <w:tcPr>
            <w:tcW w:type="dxa" w:w="720"/>
          </w:tcPr>
          <w:p>
            <w:r/>
            <w:r>
              <w:rPr>
                <w:rFonts w:ascii="Calibri" w:hAnsi="Calibri"/>
                <w:sz w:val="20"/>
              </w:rPr>
              <w:t>91.645</w:t>
            </w:r>
          </w:p>
        </w:tc>
        <w:tc>
          <w:tcPr>
            <w:tcW w:type="dxa" w:w="720"/>
          </w:tcPr>
          <w:p>
            <w:r/>
            <w:r>
              <w:rPr>
                <w:rFonts w:ascii="Calibri" w:hAnsi="Calibri"/>
                <w:sz w:val="20"/>
              </w:rPr>
              <w:t>-0.107</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2.079</w:t>
            </w:r>
          </w:p>
        </w:tc>
        <w:tc>
          <w:tcPr>
            <w:tcW w:type="dxa" w:w="720"/>
          </w:tcPr>
          <w:p>
            <w:r/>
            <w:r>
              <w:rPr>
                <w:rFonts w:ascii="Calibri" w:hAnsi="Calibri"/>
                <w:sz w:val="20"/>
              </w:rPr>
              <w:t>1.672</w:t>
            </w:r>
          </w:p>
        </w:tc>
        <w:tc>
          <w:tcPr>
            <w:tcW w:type="dxa" w:w="720"/>
          </w:tcPr>
          <w:p>
            <w:r/>
            <w:r>
              <w:rPr>
                <w:rFonts w:ascii="Calibri" w:hAnsi="Calibri"/>
                <w:sz w:val="20"/>
              </w:rPr>
              <w:t>2.515</w:t>
            </w:r>
          </w:p>
        </w:tc>
        <w:tc>
          <w:tcPr>
            <w:tcW w:type="dxa" w:w="720"/>
          </w:tcPr>
          <w:p>
            <w:r/>
            <w:r>
              <w:rPr>
                <w:rFonts w:ascii="Calibri" w:hAnsi="Calibri"/>
                <w:sz w:val="20"/>
              </w:rPr>
              <w:t>1.953</w:t>
            </w:r>
          </w:p>
        </w:tc>
        <w:tc>
          <w:tcPr>
            <w:tcW w:type="dxa" w:w="720"/>
          </w:tcPr>
          <w:p>
            <w:r/>
            <w:r>
              <w:rPr>
                <w:rFonts w:ascii="Calibri" w:hAnsi="Calibri"/>
                <w:sz w:val="20"/>
              </w:rPr>
              <w:t>1.579</w:t>
            </w:r>
          </w:p>
        </w:tc>
        <w:tc>
          <w:tcPr>
            <w:tcW w:type="dxa" w:w="720"/>
          </w:tcPr>
          <w:p>
            <w:r/>
            <w:r>
              <w:rPr>
                <w:rFonts w:ascii="Calibri" w:hAnsi="Calibri"/>
                <w:sz w:val="20"/>
              </w:rPr>
              <w:t>2.295</w:t>
            </w:r>
          </w:p>
        </w:tc>
        <w:tc>
          <w:tcPr>
            <w:tcW w:type="dxa" w:w="720"/>
          </w:tcPr>
          <w:p>
            <w:r/>
            <w:r>
              <w:rPr>
                <w:rFonts w:ascii="Calibri" w:hAnsi="Calibri"/>
                <w:sz w:val="20"/>
              </w:rPr>
              <w:t>0.126</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4.715</w:t>
            </w:r>
          </w:p>
        </w:tc>
        <w:tc>
          <w:tcPr>
            <w:tcW w:type="dxa" w:w="720"/>
          </w:tcPr>
          <w:p>
            <w:r/>
            <w:r>
              <w:rPr>
                <w:rFonts w:ascii="Calibri" w:hAnsi="Calibri"/>
                <w:sz w:val="20"/>
              </w:rPr>
              <w:t>3.616</w:t>
            </w:r>
          </w:p>
        </w:tc>
        <w:tc>
          <w:tcPr>
            <w:tcW w:type="dxa" w:w="720"/>
          </w:tcPr>
          <w:p>
            <w:r/>
            <w:r>
              <w:rPr>
                <w:rFonts w:ascii="Calibri" w:hAnsi="Calibri"/>
                <w:sz w:val="20"/>
              </w:rPr>
              <w:t>5.954</w:t>
            </w:r>
          </w:p>
        </w:tc>
        <w:tc>
          <w:tcPr>
            <w:tcW w:type="dxa" w:w="720"/>
          </w:tcPr>
          <w:p>
            <w:r/>
            <w:r>
              <w:rPr>
                <w:rFonts w:ascii="Calibri" w:hAnsi="Calibri"/>
                <w:sz w:val="20"/>
              </w:rPr>
              <w:t>7.866</w:t>
            </w:r>
          </w:p>
        </w:tc>
        <w:tc>
          <w:tcPr>
            <w:tcW w:type="dxa" w:w="720"/>
          </w:tcPr>
          <w:p>
            <w:r/>
            <w:r>
              <w:rPr>
                <w:rFonts w:ascii="Calibri" w:hAnsi="Calibri"/>
                <w:sz w:val="20"/>
              </w:rPr>
              <w:t>4.026</w:t>
            </w:r>
          </w:p>
        </w:tc>
        <w:tc>
          <w:tcPr>
            <w:tcW w:type="dxa" w:w="720"/>
          </w:tcPr>
          <w:p>
            <w:r/>
            <w:r>
              <w:rPr>
                <w:rFonts w:ascii="Calibri" w:hAnsi="Calibri"/>
                <w:sz w:val="20"/>
              </w:rPr>
              <w:t>10.745</w:t>
            </w:r>
          </w:p>
        </w:tc>
        <w:tc>
          <w:tcPr>
            <w:tcW w:type="dxa" w:w="720"/>
          </w:tcPr>
          <w:p>
            <w:r/>
            <w:r>
              <w:rPr>
                <w:rFonts w:ascii="Calibri" w:hAnsi="Calibri"/>
                <w:sz w:val="20"/>
              </w:rPr>
              <w:t>-3.151</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5.38</w:t>
            </w:r>
          </w:p>
        </w:tc>
        <w:tc>
          <w:tcPr>
            <w:tcW w:type="dxa" w:w="720"/>
          </w:tcPr>
          <w:p>
            <w:r/>
            <w:r>
              <w:rPr>
                <w:rFonts w:ascii="Calibri" w:hAnsi="Calibri"/>
                <w:sz w:val="20"/>
              </w:rPr>
              <w:t>4.008</w:t>
            </w:r>
          </w:p>
        </w:tc>
        <w:tc>
          <w:tcPr>
            <w:tcW w:type="dxa" w:w="720"/>
          </w:tcPr>
          <w:p>
            <w:r/>
            <w:r>
              <w:rPr>
                <w:rFonts w:ascii="Calibri" w:hAnsi="Calibri"/>
                <w:sz w:val="20"/>
              </w:rPr>
              <w:t>6.846</w:t>
            </w:r>
          </w:p>
        </w:tc>
        <w:tc>
          <w:tcPr>
            <w:tcW w:type="dxa" w:w="720"/>
          </w:tcPr>
          <w:p>
            <w:r/>
            <w:r>
              <w:rPr>
                <w:rFonts w:ascii="Calibri" w:hAnsi="Calibri"/>
                <w:sz w:val="20"/>
              </w:rPr>
              <w:t>2.636</w:t>
            </w:r>
          </w:p>
        </w:tc>
        <w:tc>
          <w:tcPr>
            <w:tcW w:type="dxa" w:w="720"/>
          </w:tcPr>
          <w:p>
            <w:r/>
            <w:r>
              <w:rPr>
                <w:rFonts w:ascii="Calibri" w:hAnsi="Calibri"/>
                <w:sz w:val="20"/>
              </w:rPr>
              <w:t>1.995</w:t>
            </w:r>
          </w:p>
        </w:tc>
        <w:tc>
          <w:tcPr>
            <w:tcW w:type="dxa" w:w="720"/>
          </w:tcPr>
          <w:p>
            <w:r/>
            <w:r>
              <w:rPr>
                <w:rFonts w:ascii="Calibri" w:hAnsi="Calibri"/>
                <w:sz w:val="20"/>
              </w:rPr>
              <w:t>3.171</w:t>
            </w:r>
          </w:p>
        </w:tc>
        <w:tc>
          <w:tcPr>
            <w:tcW w:type="dxa" w:w="720"/>
          </w:tcPr>
          <w:p>
            <w:r/>
            <w:r>
              <w:rPr>
                <w:rFonts w:ascii="Calibri" w:hAnsi="Calibri"/>
                <w:sz w:val="20"/>
              </w:rPr>
              <w:t>2.744</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2.965</w:t>
            </w:r>
          </w:p>
        </w:tc>
        <w:tc>
          <w:tcPr>
            <w:tcW w:type="dxa" w:w="720"/>
          </w:tcPr>
          <w:p>
            <w:r/>
            <w:r>
              <w:rPr>
                <w:rFonts w:ascii="Calibri" w:hAnsi="Calibri"/>
                <w:sz w:val="20"/>
              </w:rPr>
              <w:t>1.485</w:t>
            </w:r>
          </w:p>
        </w:tc>
        <w:tc>
          <w:tcPr>
            <w:tcW w:type="dxa" w:w="720"/>
          </w:tcPr>
          <w:p>
            <w:r/>
            <w:r>
              <w:rPr>
                <w:rFonts w:ascii="Calibri" w:hAnsi="Calibri"/>
                <w:sz w:val="20"/>
              </w:rPr>
              <w:t>3.957</w:t>
            </w:r>
          </w:p>
        </w:tc>
        <w:tc>
          <w:tcPr>
            <w:tcW w:type="dxa" w:w="720"/>
          </w:tcPr>
          <w:p>
            <w:r/>
            <w:r>
              <w:rPr>
                <w:rFonts w:ascii="Calibri" w:hAnsi="Calibri"/>
                <w:sz w:val="20"/>
              </w:rPr>
              <w:t>0.798</w:t>
            </w:r>
          </w:p>
        </w:tc>
        <w:tc>
          <w:tcPr>
            <w:tcW w:type="dxa" w:w="720"/>
          </w:tcPr>
          <w:p>
            <w:r/>
            <w:r>
              <w:rPr>
                <w:rFonts w:ascii="Calibri" w:hAnsi="Calibri"/>
                <w:sz w:val="20"/>
              </w:rPr>
              <w:t>0.671</w:t>
            </w:r>
          </w:p>
        </w:tc>
        <w:tc>
          <w:tcPr>
            <w:tcW w:type="dxa" w:w="720"/>
          </w:tcPr>
          <w:p>
            <w:r/>
            <w:r>
              <w:rPr>
                <w:rFonts w:ascii="Calibri" w:hAnsi="Calibri"/>
                <w:sz w:val="20"/>
              </w:rPr>
              <w:t>0.925</w:t>
            </w:r>
          </w:p>
        </w:tc>
        <w:tc>
          <w:tcPr>
            <w:tcW w:type="dxa" w:w="720"/>
          </w:tcPr>
          <w:p>
            <w:r/>
            <w:r>
              <w:rPr>
                <w:rFonts w:ascii="Calibri" w:hAnsi="Calibri"/>
                <w:sz w:val="20"/>
              </w:rPr>
              <w:t>2.167</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3.816</w:t>
            </w:r>
          </w:p>
        </w:tc>
        <w:tc>
          <w:tcPr>
            <w:tcW w:type="dxa" w:w="720"/>
          </w:tcPr>
          <w:p>
            <w:r/>
            <w:r>
              <w:rPr>
                <w:rFonts w:ascii="Calibri" w:hAnsi="Calibri"/>
                <w:sz w:val="20"/>
              </w:rPr>
              <w:t>3.078</w:t>
            </w:r>
          </w:p>
        </w:tc>
        <w:tc>
          <w:tcPr>
            <w:tcW w:type="dxa" w:w="720"/>
          </w:tcPr>
          <w:p>
            <w:r/>
            <w:r>
              <w:rPr>
                <w:rFonts w:ascii="Calibri" w:hAnsi="Calibri"/>
                <w:sz w:val="20"/>
              </w:rPr>
              <w:t>4.538</w:t>
            </w:r>
          </w:p>
        </w:tc>
        <w:tc>
          <w:tcPr>
            <w:tcW w:type="dxa" w:w="720"/>
          </w:tcPr>
          <w:p>
            <w:r/>
            <w:r>
              <w:rPr>
                <w:rFonts w:ascii="Calibri" w:hAnsi="Calibri"/>
                <w:sz w:val="20"/>
              </w:rPr>
              <w:t>2.583</w:t>
            </w:r>
          </w:p>
        </w:tc>
        <w:tc>
          <w:tcPr>
            <w:tcW w:type="dxa" w:w="720"/>
          </w:tcPr>
          <w:p>
            <w:r/>
            <w:r>
              <w:rPr>
                <w:rFonts w:ascii="Calibri" w:hAnsi="Calibri"/>
                <w:sz w:val="20"/>
              </w:rPr>
              <w:t>2.028</w:t>
            </w:r>
          </w:p>
        </w:tc>
        <w:tc>
          <w:tcPr>
            <w:tcW w:type="dxa" w:w="720"/>
          </w:tcPr>
          <w:p>
            <w:r/>
            <w:r>
              <w:rPr>
                <w:rFonts w:ascii="Calibri" w:hAnsi="Calibri"/>
                <w:sz w:val="20"/>
              </w:rPr>
              <w:t>3.201</w:t>
            </w:r>
          </w:p>
        </w:tc>
        <w:tc>
          <w:tcPr>
            <w:tcW w:type="dxa" w:w="720"/>
          </w:tcPr>
          <w:p>
            <w:r/>
            <w:r>
              <w:rPr>
                <w:rFonts w:ascii="Calibri" w:hAnsi="Calibri"/>
                <w:sz w:val="20"/>
              </w:rPr>
              <w:t>1.233</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3.153</w:t>
            </w:r>
          </w:p>
        </w:tc>
        <w:tc>
          <w:tcPr>
            <w:tcW w:type="dxa" w:w="720"/>
          </w:tcPr>
          <w:p>
            <w:r/>
            <w:r>
              <w:rPr>
                <w:rFonts w:ascii="Calibri" w:hAnsi="Calibri"/>
                <w:sz w:val="20"/>
              </w:rPr>
              <w:t>2.61</w:t>
            </w:r>
          </w:p>
        </w:tc>
        <w:tc>
          <w:tcPr>
            <w:tcW w:type="dxa" w:w="720"/>
          </w:tcPr>
          <w:p>
            <w:r/>
            <w:r>
              <w:rPr>
                <w:rFonts w:ascii="Calibri" w:hAnsi="Calibri"/>
                <w:sz w:val="20"/>
              </w:rPr>
              <w:t>3.71</w:t>
            </w:r>
          </w:p>
        </w:tc>
        <w:tc>
          <w:tcPr>
            <w:tcW w:type="dxa" w:w="720"/>
          </w:tcPr>
          <w:p>
            <w:r/>
            <w:r>
              <w:rPr>
                <w:rFonts w:ascii="Calibri" w:hAnsi="Calibri"/>
                <w:sz w:val="20"/>
              </w:rPr>
              <w:t>1.733</w:t>
            </w:r>
          </w:p>
        </w:tc>
        <w:tc>
          <w:tcPr>
            <w:tcW w:type="dxa" w:w="720"/>
          </w:tcPr>
          <w:p>
            <w:r/>
            <w:r>
              <w:rPr>
                <w:rFonts w:ascii="Calibri" w:hAnsi="Calibri"/>
                <w:sz w:val="20"/>
              </w:rPr>
              <w:t>1.362</w:t>
            </w:r>
          </w:p>
        </w:tc>
        <w:tc>
          <w:tcPr>
            <w:tcW w:type="dxa" w:w="720"/>
          </w:tcPr>
          <w:p>
            <w:r/>
            <w:r>
              <w:rPr>
                <w:rFonts w:ascii="Calibri" w:hAnsi="Calibri"/>
                <w:sz w:val="20"/>
              </w:rPr>
              <w:t>2.063</w:t>
            </w:r>
          </w:p>
        </w:tc>
        <w:tc>
          <w:tcPr>
            <w:tcW w:type="dxa" w:w="720"/>
          </w:tcPr>
          <w:p>
            <w:r/>
            <w:r>
              <w:rPr>
                <w:rFonts w:ascii="Calibri" w:hAnsi="Calibri"/>
                <w:sz w:val="20"/>
              </w:rPr>
              <w:t>1.421</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18.36</w:t>
            </w:r>
          </w:p>
        </w:tc>
        <w:tc>
          <w:tcPr>
            <w:tcW w:type="dxa" w:w="720"/>
          </w:tcPr>
          <w:p>
            <w:r/>
            <w:r>
              <w:rPr>
                <w:rFonts w:ascii="Calibri" w:hAnsi="Calibri"/>
                <w:sz w:val="20"/>
              </w:rPr>
              <w:t>15.214</w:t>
            </w:r>
          </w:p>
        </w:tc>
        <w:tc>
          <w:tcPr>
            <w:tcW w:type="dxa" w:w="720"/>
          </w:tcPr>
          <w:p>
            <w:r/>
            <w:r>
              <w:rPr>
                <w:rFonts w:ascii="Calibri" w:hAnsi="Calibri"/>
                <w:sz w:val="20"/>
              </w:rPr>
              <w:t>21.137</w:t>
            </w:r>
          </w:p>
        </w:tc>
        <w:tc>
          <w:tcPr>
            <w:tcW w:type="dxa" w:w="720"/>
          </w:tcPr>
          <w:p>
            <w:r/>
            <w:r>
              <w:rPr>
                <w:rFonts w:ascii="Calibri" w:hAnsi="Calibri"/>
                <w:sz w:val="20"/>
              </w:rPr>
              <w:t>9.585</w:t>
            </w:r>
          </w:p>
        </w:tc>
        <w:tc>
          <w:tcPr>
            <w:tcW w:type="dxa" w:w="720"/>
          </w:tcPr>
          <w:p>
            <w:r/>
            <w:r>
              <w:rPr>
                <w:rFonts w:ascii="Calibri" w:hAnsi="Calibri"/>
                <w:sz w:val="20"/>
              </w:rPr>
              <w:t>0.647</w:t>
            </w:r>
          </w:p>
        </w:tc>
        <w:tc>
          <w:tcPr>
            <w:tcW w:type="dxa" w:w="720"/>
          </w:tcPr>
          <w:p>
            <w:r/>
            <w:r>
              <w:rPr>
                <w:rFonts w:ascii="Calibri" w:hAnsi="Calibri"/>
                <w:sz w:val="20"/>
              </w:rPr>
              <w:t>13.544</w:t>
            </w:r>
          </w:p>
        </w:tc>
        <w:tc>
          <w:tcPr>
            <w:tcW w:type="dxa" w:w="720"/>
          </w:tcPr>
          <w:p>
            <w:r/>
            <w:r>
              <w:rPr>
                <w:rFonts w:ascii="Calibri" w:hAnsi="Calibri"/>
                <w:sz w:val="20"/>
              </w:rPr>
              <w:t>8.774</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5.56</w:t>
            </w:r>
          </w:p>
        </w:tc>
        <w:tc>
          <w:tcPr>
            <w:tcW w:type="dxa" w:w="720"/>
          </w:tcPr>
          <w:p>
            <w:r/>
            <w:r>
              <w:rPr>
                <w:rFonts w:ascii="Calibri" w:hAnsi="Calibri"/>
                <w:sz w:val="20"/>
              </w:rPr>
              <w:t>4.208</w:t>
            </w:r>
          </w:p>
        </w:tc>
        <w:tc>
          <w:tcPr>
            <w:tcW w:type="dxa" w:w="720"/>
          </w:tcPr>
          <w:p>
            <w:r/>
            <w:r>
              <w:rPr>
                <w:rFonts w:ascii="Calibri" w:hAnsi="Calibri"/>
                <w:sz w:val="20"/>
              </w:rPr>
              <w:t>6.941</w:t>
            </w:r>
          </w:p>
        </w:tc>
        <w:tc>
          <w:tcPr>
            <w:tcW w:type="dxa" w:w="720"/>
          </w:tcPr>
          <w:p>
            <w:r/>
            <w:r>
              <w:rPr>
                <w:rFonts w:ascii="Calibri" w:hAnsi="Calibri"/>
                <w:sz w:val="20"/>
              </w:rPr>
              <w:t>3.362</w:t>
            </w:r>
          </w:p>
        </w:tc>
        <w:tc>
          <w:tcPr>
            <w:tcW w:type="dxa" w:w="720"/>
          </w:tcPr>
          <w:p>
            <w:r/>
            <w:r>
              <w:rPr>
                <w:rFonts w:ascii="Calibri" w:hAnsi="Calibri"/>
                <w:sz w:val="20"/>
              </w:rPr>
              <w:t>2.568</w:t>
            </w:r>
          </w:p>
        </w:tc>
        <w:tc>
          <w:tcPr>
            <w:tcW w:type="dxa" w:w="720"/>
          </w:tcPr>
          <w:p>
            <w:r/>
            <w:r>
              <w:rPr>
                <w:rFonts w:ascii="Calibri" w:hAnsi="Calibri"/>
                <w:sz w:val="20"/>
              </w:rPr>
              <w:t>4.121</w:t>
            </w:r>
          </w:p>
        </w:tc>
        <w:tc>
          <w:tcPr>
            <w:tcW w:type="dxa" w:w="720"/>
          </w:tcPr>
          <w:p>
            <w:r/>
            <w:r>
              <w:rPr>
                <w:rFonts w:ascii="Calibri" w:hAnsi="Calibri"/>
                <w:sz w:val="20"/>
              </w:rPr>
              <w:t>2.198</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2.663</w:t>
            </w:r>
          </w:p>
        </w:tc>
        <w:tc>
          <w:tcPr>
            <w:tcW w:type="dxa" w:w="720"/>
          </w:tcPr>
          <w:p>
            <w:r/>
            <w:r>
              <w:rPr>
                <w:rFonts w:ascii="Calibri" w:hAnsi="Calibri"/>
                <w:sz w:val="20"/>
              </w:rPr>
              <w:t>2.265</w:t>
            </w:r>
          </w:p>
        </w:tc>
        <w:tc>
          <w:tcPr>
            <w:tcW w:type="dxa" w:w="720"/>
          </w:tcPr>
          <w:p>
            <w:r/>
            <w:r>
              <w:rPr>
                <w:rFonts w:ascii="Calibri" w:hAnsi="Calibri"/>
                <w:sz w:val="20"/>
              </w:rPr>
              <w:t>3.061</w:t>
            </w:r>
          </w:p>
        </w:tc>
        <w:tc>
          <w:tcPr>
            <w:tcW w:type="dxa" w:w="720"/>
          </w:tcPr>
          <w:p>
            <w:r/>
            <w:r>
              <w:rPr>
                <w:rFonts w:ascii="Calibri" w:hAnsi="Calibri"/>
                <w:sz w:val="20"/>
              </w:rPr>
              <w:t>1.015</w:t>
            </w:r>
          </w:p>
        </w:tc>
        <w:tc>
          <w:tcPr>
            <w:tcW w:type="dxa" w:w="720"/>
          </w:tcPr>
          <w:p>
            <w:r/>
            <w:r>
              <w:rPr>
                <w:rFonts w:ascii="Calibri" w:hAnsi="Calibri"/>
                <w:sz w:val="20"/>
              </w:rPr>
              <w:t>1.008</w:t>
            </w:r>
          </w:p>
        </w:tc>
        <w:tc>
          <w:tcPr>
            <w:tcW w:type="dxa" w:w="720"/>
          </w:tcPr>
          <w:p>
            <w:r/>
            <w:r>
              <w:rPr>
                <w:rFonts w:ascii="Calibri" w:hAnsi="Calibri"/>
                <w:sz w:val="20"/>
              </w:rPr>
              <w:t>1.023</w:t>
            </w:r>
          </w:p>
        </w:tc>
        <w:tc>
          <w:tcPr>
            <w:tcW w:type="dxa" w:w="720"/>
          </w:tcPr>
          <w:p>
            <w:r/>
            <w:r>
              <w:rPr>
                <w:rFonts w:ascii="Calibri" w:hAnsi="Calibri"/>
                <w:sz w:val="20"/>
              </w:rPr>
              <w:t>1.647</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5.586</w:t>
            </w:r>
          </w:p>
        </w:tc>
        <w:tc>
          <w:tcPr>
            <w:tcW w:type="dxa" w:w="720"/>
          </w:tcPr>
          <w:p>
            <w:r/>
            <w:r>
              <w:rPr>
                <w:rFonts w:ascii="Calibri" w:hAnsi="Calibri"/>
                <w:sz w:val="20"/>
              </w:rPr>
              <w:t>4.543</w:t>
            </w:r>
          </w:p>
        </w:tc>
        <w:tc>
          <w:tcPr>
            <w:tcW w:type="dxa" w:w="720"/>
          </w:tcPr>
          <w:p>
            <w:r/>
            <w:r>
              <w:rPr>
                <w:rFonts w:ascii="Calibri" w:hAnsi="Calibri"/>
                <w:sz w:val="20"/>
              </w:rPr>
              <w:t>6.736</w:t>
            </w:r>
          </w:p>
        </w:tc>
        <w:tc>
          <w:tcPr>
            <w:tcW w:type="dxa" w:w="720"/>
          </w:tcPr>
          <w:p>
            <w:r/>
            <w:r>
              <w:rPr>
                <w:rFonts w:ascii="Calibri" w:hAnsi="Calibri"/>
                <w:sz w:val="20"/>
              </w:rPr>
              <w:t>3.053</w:t>
            </w:r>
          </w:p>
        </w:tc>
        <w:tc>
          <w:tcPr>
            <w:tcW w:type="dxa" w:w="720"/>
          </w:tcPr>
          <w:p>
            <w:r/>
            <w:r>
              <w:rPr>
                <w:rFonts w:ascii="Calibri" w:hAnsi="Calibri"/>
                <w:sz w:val="20"/>
              </w:rPr>
              <w:t>2.231</w:t>
            </w:r>
          </w:p>
        </w:tc>
        <w:tc>
          <w:tcPr>
            <w:tcW w:type="dxa" w:w="720"/>
          </w:tcPr>
          <w:p>
            <w:r/>
            <w:r>
              <w:rPr>
                <w:rFonts w:ascii="Calibri" w:hAnsi="Calibri"/>
                <w:sz w:val="20"/>
              </w:rPr>
              <w:t>3.831</w:t>
            </w:r>
          </w:p>
        </w:tc>
        <w:tc>
          <w:tcPr>
            <w:tcW w:type="dxa" w:w="720"/>
          </w:tcPr>
          <w:p>
            <w:r/>
            <w:r>
              <w:rPr>
                <w:rFonts w:ascii="Calibri" w:hAnsi="Calibri"/>
                <w:sz w:val="20"/>
              </w:rPr>
              <w:t>2.533</w:t>
            </w:r>
          </w:p>
        </w:tc>
      </w:tr>
    </w:tbl>
    <w:p>
      <w:r>
        <w:br w:type="page"/>
      </w:r>
    </w:p>
    <w:p>
      <w:pPr>
        <w:pStyle w:val="Heading2"/>
      </w:pPr>
      <w:r>
        <w:t>S3. Pre-registration Documents</w:t>
      </w:r>
    </w:p>
    <w:p>
      <w:pPr>
        <w:pStyle w:val="Heading3"/>
      </w:pPr>
      <w:r>
        <w:t>S3.1 Pressure regime pre-registration</w:t>
      </w:r>
    </w:p>
    <w:p>
      <w:pPr>
        <w:pStyle w:val="Heading1"/>
      </w:pPr>
      <w:r>
        <w:t>Pre-registration: Pressure-regime bins and bias-correction acceptance rule</w:t>
      </w:r>
    </w:p>
    <w:p>
      <w:r>
        <w:rPr>
          <w:b/>
        </w:rPr>
        <w:t>Registered:</w:t>
      </w:r>
      <w:r>
        <w:t xml:space="preserve"> 2026-04-17 </w:t>
      </w:r>
      <w:r>
        <w:rPr>
          <w:b/>
        </w:rPr>
        <w:t>Author:</w:t>
      </w:r>
      <w:r>
        <w:t xml:space="preserve"> NQTa </w:t>
      </w:r>
      <w:r>
        <w:rPr>
          <w:b/>
        </w:rPr>
        <w:t>Status:</w:t>
      </w:r>
      <w:r>
        <w:t xml:space="preserve"> Locked. Any modification requires a new registration date and a written justification in Section 8 below. </w:t>
      </w:r>
      <w:r>
        <w:rPr>
          <w:b/>
        </w:rPr>
        <w:t>Scope:</w:t>
      </w:r>
      <w:r>
        <w:t xml:space="preserve"> Opx-liq thermobarometer benchmark analysis on ArcPL Kd-equilibrated subset (n = 96), the ExPetDB held-out test set, and the bias-correction ship decision used to gate Form A and Form B before the canonical scorecard rewrite.</w:t>
      </w:r>
    </w:p>
    <w:p>
      <w:r>
        <w:t>---</w:t>
      </w:r>
    </w:p>
    <w:p>
      <w:pPr>
        <w:pStyle w:val="Heading2"/>
      </w:pPr>
      <w:r>
        <w:t>1. Purpose</w:t>
      </w:r>
    </w:p>
    <w:p>
      <w:r>
        <w:t>This document registers two coupled methodological choices that define the pre-registered honesty bar for the opx ML thermobarometer paper:</w:t>
      </w:r>
    </w:p>
    <w:p>
      <w:r>
        <w:t>1. The pressure-regime bin structure used for regime-dependent benchmark analysis against external methods (Putirka 2008, Agreda-Lopez 2024, Jorgenson 2022, Wang 2021). 2. The tiered acceptance rule that gates whether a bias-correction form (Form A regime-piecewise OLS, Form B Agreda-Lopez quantile-thresholded piecewise) ships into the canonical scorecard.</w:t>
      </w:r>
    </w:p>
    <w:p>
      <w:r>
        <w:t>The registration timestamp is the primary defense against reviewer concerns about post-hoc bin selection, post-hoc tolerance choice, and post-hoc ship decisions.</w:t>
      </w:r>
    </w:p>
    <w:p>
      <w:r>
        <w:t xml:space="preserve">Aggregate RMSE on ArcPL n = 96 remains the </w:t>
      </w:r>
      <w:r>
        <w:rPr>
          <w:b/>
        </w:rPr>
        <w:t>primary</w:t>
      </w:r>
      <w:r>
        <w:t xml:space="preserve"> benchmark claim (Section 2.5 of the manuscript). Regime-dependent analysis is a </w:t>
      </w:r>
      <w:r>
        <w:rPr>
          <w:b/>
        </w:rPr>
        <w:t>secondary, exploratory</w:t>
      </w:r>
      <w:r>
        <w:t xml:space="preserve"> characterization of where each method's calibration domain is most reliable, not a ranking or a basis for overclaiming relative performance.</w:t>
      </w:r>
    </w:p>
    <w:p>
      <w:pPr>
        <w:pStyle w:val="Heading2"/>
      </w:pPr>
      <w:r>
        <w:t>2. Bin definitions (locked)</w:t>
      </w:r>
    </w:p>
    <w:p>
      <w:r>
        <w:t xml:space="preserve">Four pressure regimes with edges at 0, 5, 15, 30, and 100 kbar (the last being the ExPetDB training-set pressure ceiling, </w:t>
      </w:r>
      <w:r>
        <w:rPr>
          <w:rFonts w:ascii="Consolas" w:hAnsi="Consolas"/>
          <w:sz w:val="20"/>
        </w:rPr>
        <w:t>P_CEILING_KBAR</w:t>
      </w:r>
      <w:r>
        <w:t xml:space="preserve"> in </w:t>
      </w:r>
      <w:r>
        <w:rPr>
          <w:rFonts w:ascii="Consolas" w:hAnsi="Consolas"/>
          <w:sz w:val="20"/>
        </w:rPr>
        <w:t>config.py</w:t>
      </w:r>
      <w:r>
        <w:t>):</w:t>
      </w:r>
    </w:p>
    <w:p>
      <w:r>
        <w:t>LabelP range (kbar)Petrological context</w:t>
      </w:r>
      <w:r>
        <w:rPr>
          <w:rFonts w:ascii="Consolas" w:hAnsi="Consolas"/>
          <w:sz w:val="20"/>
        </w:rPr>
        <w:t>shallow_crustal</w:t>
      </w:r>
      <w:r>
        <w:t>0-5Arc storage, upper-crustal magma chambers</w:t>
      </w:r>
      <w:r>
        <w:rPr>
          <w:rFonts w:ascii="Consolas" w:hAnsi="Consolas"/>
          <w:sz w:val="20"/>
        </w:rPr>
        <w:t>deep_crustal_MASH</w:t>
      </w:r>
      <w:r>
        <w:t>5-15Melting-assimilation-storage-homogenization zone</w:t>
      </w:r>
      <w:r>
        <w:rPr>
          <w:rFonts w:ascii="Consolas" w:hAnsi="Consolas"/>
          <w:sz w:val="20"/>
        </w:rPr>
        <w:t>lithospheric_mantle</w:t>
      </w:r>
      <w:r>
        <w:t>15-30Spinel to garnet peridotite stability</w:t>
      </w:r>
      <w:r>
        <w:rPr>
          <w:rFonts w:ascii="Consolas" w:hAnsi="Consolas"/>
          <w:sz w:val="20"/>
        </w:rPr>
        <w:t>deeper_mantle</w:t>
      </w:r>
      <w:r>
        <w:t>&amp;gt;30Asthenospheric and below</w:t>
      </w:r>
    </w:p>
    <w:p>
      <w:r>
        <w:t xml:space="preserve">Bin membership is assigned on the </w:t>
      </w:r>
      <w:r>
        <w:rPr>
          <w:b/>
        </w:rPr>
        <w:t>experimentally reported</w:t>
      </w:r>
      <w:r>
        <w:t xml:space="preserve"> pressure for ExPetDB test samples and on the </w:t>
      </w:r>
      <w:r>
        <w:rPr>
          <w:b/>
        </w:rPr>
        <w:t>independently constrained</w:t>
      </w:r>
      <w:r>
        <w:t xml:space="preserve"> pressure for ArcPL natural samples. Bin edges are right-open (P = 5.0 kbar belongs to </w:t>
      </w:r>
      <w:r>
        <w:rPr>
          <w:rFonts w:ascii="Consolas" w:hAnsi="Consolas"/>
          <w:sz w:val="20"/>
        </w:rPr>
        <w:t>deep_crustal_MASH</w:t>
      </w:r>
      <w:r>
        <w:t xml:space="preserve">, not </w:t>
      </w:r>
      <w:r>
        <w:rPr>
          <w:rFonts w:ascii="Consolas" w:hAnsi="Consolas"/>
          <w:sz w:val="20"/>
        </w:rPr>
        <w:t>shallow_crustal</w:t>
      </w:r>
      <w:r>
        <w:t>).</w:t>
      </w:r>
    </w:p>
    <w:p>
      <w:pPr>
        <w:pStyle w:val="Heading2"/>
      </w:pPr>
      <w:r>
        <w:t>3. Rationale for the bin edges</w:t>
      </w:r>
    </w:p>
    <w:p>
      <w:pPr>
        <w:pStyle w:val="Heading3"/>
      </w:pPr>
      <w:r>
        <w:t>3.1 Petrological basis, not statistical</w:t>
      </w:r>
    </w:p>
    <w:p>
      <w:r>
        <w:t>The boundaries are pinned to petrological regime transitions that appear consistently in the igneous petrology literature, not to statistical properties of our test data:</w:t>
      </w:r>
    </w:p>
    <w:p>
      <w:r>
        <w:t xml:space="preserve">- </w:t>
      </w:r>
      <w:r>
        <w:rPr>
          <w:b/>
        </w:rPr>
        <w:t>5 kbar</w:t>
      </w:r>
      <w:r>
        <w:t xml:space="preserve"> - approximate upper limit of shallow crustal magma storage in most arc systems; below this, magma chambers sit in the upper crust above typical seismic discontinuities (Putirka, 2008, Table 3; Blundy and Cashman, 2008 Section 2). - </w:t>
      </w:r>
      <w:r>
        <w:rPr>
          <w:b/>
        </w:rPr>
        <w:t>15 kbar</w:t>
      </w:r>
      <w:r>
        <w:t xml:space="preserve"> - approximate mid-to-lower crustal boundary, the upper end of the MASH zone where arc magmas are typically modified before ascent (Hildreth and Moorbath, 1988; Annen, Blundy, and Sparks, 2006). - </w:t>
      </w:r>
      <w:r>
        <w:rPr>
          <w:b/>
        </w:rPr>
        <w:t>30 kbar</w:t>
      </w:r>
      <w:r>
        <w:t xml:space="preserve"> - approximate spinel-to-garnet peridotite transition in the lithospheric mantle, a well-established petrological boundary (Klemme and O'Neill, 2000; Walter, 1998).</w:t>
      </w:r>
    </w:p>
    <w:p>
      <w:r>
        <w:t>We do not claim these are sharp phase-boundary transitions - they are reporting conventions for regime-dependent benchmark interpretation. Any reviewer familiar with igneous petrology will recognize the boundary set.</w:t>
      </w:r>
    </w:p>
    <w:p>
      <w:pPr>
        <w:pStyle w:val="Heading3"/>
      </w:pPr>
      <w:r>
        <w:t>3.2 Not tuned to match Agreda-Lopez, Jorgenson, or our own win/loss pattern</w:t>
      </w:r>
    </w:p>
    <w:p>
      <w:r>
        <w:t>The bins are not chosen to match the training distribution of any specific cpx thermobarometer, nor to place our model in a favorable light. We do not re-bin based on which boundaries maximize our apparent performance in any regime.</w:t>
      </w:r>
    </w:p>
    <w:p>
      <w:pPr>
        <w:pStyle w:val="Heading3"/>
      </w:pPr>
      <w:r>
        <w:t>3.3 Not equal-N bins</w:t>
      </w:r>
    </w:p>
    <w:p>
      <w:r>
        <w:t>Equal-N partitioning of the P axis would have been an alternative defensible choice but would place bin edges at distribution percentiles that have no petrological meaning. We prefer petrological interpretability over statistical uniformity; the tradeoff is accepted - see Section 4.</w:t>
      </w:r>
    </w:p>
    <w:p>
      <w:pPr>
        <w:pStyle w:val="Heading2"/>
      </w:pPr>
      <w:r>
        <w:t>4. Accepted limitations</w:t>
      </w:r>
    </w:p>
    <w:p>
      <w:pPr>
        <w:pStyle w:val="Heading3"/>
      </w:pPr>
      <w:r>
        <w:t>4.1 Unequal sample size per bin</w:t>
      </w:r>
    </w:p>
    <w:p>
      <w:r>
        <w:t xml:space="preserve">ArcPL n = 96 distributed across four bins will be uneven. Based on the ArcPL pressure distribution (primarily arc samples), we expect most samples in </w:t>
      </w:r>
      <w:r>
        <w:rPr>
          <w:rFonts w:ascii="Consolas" w:hAnsi="Consolas"/>
          <w:sz w:val="20"/>
        </w:rPr>
        <w:t>shallow_crustal</w:t>
      </w:r>
      <w:r>
        <w:t xml:space="preserve"> and </w:t>
      </w:r>
      <w:r>
        <w:rPr>
          <w:rFonts w:ascii="Consolas" w:hAnsi="Consolas"/>
          <w:sz w:val="20"/>
        </w:rPr>
        <w:t>deep_crustal_MASH</w:t>
      </w:r>
      <w:r>
        <w:t xml:space="preserve">, fewer in </w:t>
      </w:r>
      <w:r>
        <w:rPr>
          <w:rFonts w:ascii="Consolas" w:hAnsi="Consolas"/>
          <w:sz w:val="20"/>
        </w:rPr>
        <w:t>lithospheric_mantle</w:t>
      </w:r>
      <w:r>
        <w:t xml:space="preserve">, and possibly very few in </w:t>
      </w:r>
      <w:r>
        <w:rPr>
          <w:rFonts w:ascii="Consolas" w:hAnsi="Consolas"/>
          <w:sz w:val="20"/>
        </w:rPr>
        <w:t>deeper_mantle</w:t>
      </w:r>
      <w:r>
        <w:t>. This unevenness is reported honestly in the per-bin table, and within-bin bootstrap confidence intervals reflect the corresponding loss of statistical resolution.</w:t>
      </w:r>
    </w:p>
    <w:p>
      <w:r>
        <w:rPr>
          <w:b/>
        </w:rPr>
        <w:t>Sample-size floor:</w:t>
      </w:r>
      <w:r>
        <w:t xml:space="preserve"> If any bin contains fewer than </w:t>
      </w:r>
      <w:r>
        <w:rPr>
          <w:rFonts w:ascii="Consolas" w:hAnsi="Consolas"/>
          <w:sz w:val="20"/>
        </w:rPr>
        <w:t>N_MIN_FOR_VETO = 20</w:t>
      </w:r>
      <w:r>
        <w:t xml:space="preserve"> samples, we report the bin's numbers but explicitly mark the result as "sample-size-limited" in the per-bin table. We do not drop the bin and do not merge bins post-hoc. The same </w:t>
      </w:r>
      <w:r>
        <w:rPr>
          <w:rFonts w:ascii="Consolas" w:hAnsi="Consolas"/>
          <w:sz w:val="20"/>
        </w:rPr>
        <w:t>N_MIN_FOR_VETO</w:t>
      </w:r>
      <w:r>
        <w:t xml:space="preserve"> threshold also gates the bias-correction ship decision in Section 6.</w:t>
      </w:r>
    </w:p>
    <w:p>
      <w:pPr>
        <w:pStyle w:val="Heading3"/>
      </w:pPr>
      <w:r>
        <w:t>4.2 Training-vs-test distributional mismatch</w:t>
      </w:r>
    </w:p>
    <w:p>
      <w:r>
        <w:t>ExPetDB training samples are approximately uniformly distributed in P (after filtering) because training experiments span the full calibration range. ArcPL natural samples follow a different distribution (mostly crustal). This mismatch is the exact signal we expect regime analysis to expose; it is not a flaw of the bin structure.</w:t>
      </w:r>
    </w:p>
    <w:p>
      <w:pPr>
        <w:pStyle w:val="Heading3"/>
      </w:pPr>
      <w:r>
        <w:t>4.3 Exploratory framing</w:t>
      </w:r>
    </w:p>
    <w:p>
      <w:r>
        <w:t xml:space="preserve">Results from this bin structure are reported as </w:t>
      </w:r>
      <w:r>
        <w:rPr>
          <w:b/>
        </w:rPr>
        <w:t>calibration-domain characterization</w:t>
      </w:r>
      <w:r>
        <w:t>, not as a ranking of methods. The manuscript explicitly avoids claims of the form "method A is better than method B in regime X" unless bootstrap 95% CIs of RMSE, T bias, or P bias exclude the competing method's estimate at the 5% level AND the sample size in the regime exceeds 20.</w:t>
      </w:r>
    </w:p>
    <w:p>
      <w:pPr>
        <w:pStyle w:val="Heading2"/>
      </w:pPr>
      <w:r>
        <w:t>5. Implementation of the regime structure</w:t>
      </w:r>
    </w:p>
    <w:p>
      <w:pPr>
        <w:pStyle w:val="Heading3"/>
      </w:pPr>
      <w:r>
        <w:t>5.1 [Config.py](http://Config.py) variables (locked)</w:t>
      </w:r>
    </w:p>
    <w:p>
      <w:r>
        <w:rPr>
          <w:rFonts w:ascii="Consolas" w:hAnsi="Consolas"/>
          <w:sz w:val="20"/>
        </w:rPr>
        <w:t>P_REGIME_BIN_EDGES_KBAR = [0.0, 5.0, 15.0, 30.0, P_CEILING_KBAR]</w:t>
      </w:r>
    </w:p>
    <w:p>
      <w:r>
        <w:rPr>
          <w:rFonts w:ascii="Consolas" w:hAnsi="Consolas"/>
          <w:sz w:val="20"/>
        </w:rPr>
        <w:t>P_REGIME_LABELS = ['shallow_crustal', 'deep_crustal_MASH',</w:t>
      </w:r>
    </w:p>
    <w:p>
      <w:r>
        <w:rPr>
          <w:rFonts w:ascii="Consolas" w:hAnsi="Consolas"/>
          <w:sz w:val="20"/>
        </w:rPr>
        <w:t xml:space="preserve">                   'lithospheric_mantle', 'deeper_mantle']</w:t>
      </w:r>
    </w:p>
    <w:p>
      <w:r>
        <w:rPr>
          <w:rFonts w:ascii="Consolas" w:hAnsi="Consolas"/>
          <w:sz w:val="20"/>
        </w:rPr>
        <w:t>P_REGIME_REGISTERED_DATE = '2026-04-17'</w:t>
      </w:r>
    </w:p>
    <w:p>
      <w:r>
        <w:rPr>
          <w:rFonts w:ascii="Consolas" w:hAnsi="Consolas"/>
          <w:sz w:val="20"/>
        </w:rPr>
        <w:t>P_REGIME_RATIONALE_DOC = 'docs/preregistration/p_regime_preregistration.md'</w:t>
      </w:r>
    </w:p>
    <w:p>
      <w:pPr>
        <w:pStyle w:val="Heading3"/>
      </w:pPr>
      <w:r>
        <w:t>5.2 Assignment helper</w:t>
      </w:r>
    </w:p>
    <w:p>
      <w:r>
        <w:t xml:space="preserve">In </w:t>
      </w:r>
      <w:r>
        <w:rPr>
          <w:rFonts w:ascii="Consolas" w:hAnsi="Consolas"/>
          <w:sz w:val="20"/>
        </w:rPr>
        <w:t>src/evaluation.py</w:t>
      </w:r>
      <w:r>
        <w:t>:</w:t>
      </w:r>
    </w:p>
    <w:p>
      <w:r>
        <w:rPr>
          <w:rFonts w:ascii="Consolas" w:hAnsi="Consolas"/>
          <w:sz w:val="20"/>
        </w:rPr>
        <w:t>import numpy as np</w:t>
      </w:r>
    </w:p>
    <w:p>
      <w:r>
        <w:rPr>
          <w:rFonts w:ascii="Consolas" w:hAnsi="Consolas"/>
          <w:sz w:val="20"/>
        </w:rPr>
        <w:t>from config import P_REGIME_BIN_EDGES_KBAR, P_REGIME_LABELS</w:t>
      </w:r>
    </w:p>
    <w:p>
      <w:r>
        <w:rPr>
          <w:rFonts w:ascii="Consolas" w:hAnsi="Consolas"/>
          <w:sz w:val="20"/>
        </w:rPr>
      </w:r>
    </w:p>
    <w:p>
      <w:r>
        <w:rPr>
          <w:rFonts w:ascii="Consolas" w:hAnsi="Consolas"/>
          <w:sz w:val="20"/>
        </w:rPr>
      </w:r>
    </w:p>
    <w:p>
      <w:r>
        <w:rPr>
          <w:rFonts w:ascii="Consolas" w:hAnsi="Consolas"/>
          <w:sz w:val="20"/>
        </w:rPr>
        <w:t>def assign_p_regime(p_kbar):</w:t>
      </w:r>
    </w:p>
    <w:p>
      <w:r>
        <w:rPr>
          <w:rFonts w:ascii="Consolas" w:hAnsi="Consolas"/>
          <w:sz w:val="20"/>
        </w:rPr>
        <w:t xml:space="preserve">    """Return regime label for each pressure value.</w:t>
      </w:r>
    </w:p>
    <w:p>
      <w:r>
        <w:rPr>
          <w:rFonts w:ascii="Consolas" w:hAnsi="Consolas"/>
          <w:sz w:val="20"/>
        </w:rPr>
      </w:r>
    </w:p>
    <w:p>
      <w:r>
        <w:rPr>
          <w:rFonts w:ascii="Consolas" w:hAnsi="Consolas"/>
          <w:sz w:val="20"/>
        </w:rPr>
        <w:t xml:space="preserve">    P_REGIME_BIN_EDGES_KBAR is [0, 5, 15, 30, 100]; np.digitize with</w:t>
      </w:r>
    </w:p>
    <w:p>
      <w:r>
        <w:rPr>
          <w:rFonts w:ascii="Consolas" w:hAnsi="Consolas"/>
          <w:sz w:val="20"/>
        </w:rPr>
        <w:t xml:space="preserve">    right=False places P=5.0 in bin index 2 (deep_crustal_MASH), matching</w:t>
      </w:r>
    </w:p>
    <w:p>
      <w:r>
        <w:rPr>
          <w:rFonts w:ascii="Consolas" w:hAnsi="Consolas"/>
          <w:sz w:val="20"/>
        </w:rPr>
        <w:t xml:space="preserve">    the right-open convention in this document.</w:t>
      </w:r>
    </w:p>
    <w:p>
      <w:r>
        <w:rPr>
          <w:rFonts w:ascii="Consolas" w:hAnsi="Consolas"/>
          <w:sz w:val="20"/>
        </w:rPr>
        <w:t xml:space="preserve">    """</w:t>
      </w:r>
    </w:p>
    <w:p>
      <w:r>
        <w:rPr>
          <w:rFonts w:ascii="Consolas" w:hAnsi="Consolas"/>
          <w:sz w:val="20"/>
        </w:rPr>
        <w:t xml:space="preserve">    p = np.asarray(p_kbar, dtype=float)</w:t>
      </w:r>
    </w:p>
    <w:p>
      <w:r>
        <w:rPr>
          <w:rFonts w:ascii="Consolas" w:hAnsi="Consolas"/>
          <w:sz w:val="20"/>
        </w:rPr>
        <w:t xml:space="preserve">    p_clipped = np.clip(p, 0.0, P_REGIME_BIN_EDGES_KBAR[-1] - 1e-9)</w:t>
      </w:r>
    </w:p>
    <w:p>
      <w:r>
        <w:rPr>
          <w:rFonts w:ascii="Consolas" w:hAnsi="Consolas"/>
          <w:sz w:val="20"/>
        </w:rPr>
        <w:t xml:space="preserve">    bin_idx = np.digitize(p_clipped, P_REGIME_BIN_EDGES_KBAR[1:-1], right=False)</w:t>
      </w:r>
    </w:p>
    <w:p>
      <w:r>
        <w:rPr>
          <w:rFonts w:ascii="Consolas" w:hAnsi="Consolas"/>
          <w:sz w:val="20"/>
        </w:rPr>
        <w:t xml:space="preserve">    return np.array([P_REGIME_LABELS[i] for i in bin_idx])</w:t>
      </w:r>
    </w:p>
    <w:p>
      <w:pPr>
        <w:pStyle w:val="Heading3"/>
      </w:pPr>
      <w:r>
        <w:t>5.3 Per-bin metric reporting</w:t>
      </w:r>
    </w:p>
    <w:p>
      <w:r>
        <w:t>For each (method × regime) combination, the benchmark notebook computes:</w:t>
      </w:r>
    </w:p>
    <w:p>
      <w:r>
        <w:t>- n (sample size in bin) - RMSE with bootstrap 95% CI (B = 1000 resamples) - T bias (mean residual) with bootstrap 95% CI - P bias (mean residual) with bootstrap 95% CI - 90% prediction interval coverage fraction</w:t>
      </w:r>
    </w:p>
    <w:p>
      <w:r>
        <w:t xml:space="preserve">The full per-bin table is generated by NB04 (benchmark) and written to </w:t>
      </w:r>
      <w:r>
        <w:rPr>
          <w:rFonts w:ascii="Consolas" w:hAnsi="Consolas"/>
          <w:sz w:val="20"/>
        </w:rPr>
        <w:t>results/opx_test_log.csv</w:t>
      </w:r>
      <w:r>
        <w:t xml:space="preserve"> with a </w:t>
      </w:r>
      <w:r>
        <w:rPr>
          <w:rFonts w:ascii="Consolas" w:hAnsi="Consolas"/>
          <w:sz w:val="20"/>
        </w:rPr>
        <w:t>regime</w:t>
      </w:r>
      <w:r>
        <w:t xml:space="preserve"> column added.</w:t>
      </w:r>
    </w:p>
    <w:p>
      <w:pPr>
        <w:pStyle w:val="Heading2"/>
      </w:pPr>
      <w:r>
        <w:t>6. Bias-correction ship decision (locked)</w:t>
      </w:r>
    </w:p>
    <w:p>
      <w:r>
        <w:t xml:space="preserve">A bias-correction form (Form A or Form B, both defined in </w:t>
      </w:r>
      <w:r>
        <w:rPr>
          <w:rFonts w:ascii="Consolas" w:hAnsi="Consolas"/>
          <w:sz w:val="20"/>
        </w:rPr>
        <w:t>src/bias_correction.py</w:t>
      </w:r>
      <w:r>
        <w:t>) ships into the canonical post-correction scorecard if and only if it improves the overall test RMSE by more than the numerical tolerance and does not degrade any well-populated pre-registered regime by more than the pre-registered tolerance band.</w:t>
      </w:r>
    </w:p>
    <w:p>
      <w:pPr>
        <w:pStyle w:val="Heading3"/>
      </w:pPr>
      <w:r>
        <w:t>6.1 Constants</w:t>
      </w:r>
    </w:p>
    <w:p>
      <w:r>
        <w:rPr>
          <w:rFonts w:ascii="Consolas" w:hAnsi="Consolas"/>
          <w:sz w:val="20"/>
        </w:rPr>
        <w:t>SHIP_TOL = 1e-6                # numerical floor (kbar or degC)</w:t>
      </w:r>
    </w:p>
    <w:p>
      <w:r>
        <w:rPr>
          <w:rFonts w:ascii="Consolas" w:hAnsi="Consolas"/>
          <w:sz w:val="20"/>
        </w:rPr>
        <w:t>N_MIN_FOR_VETO = 20            # Section 4.1 sample-size floor</w:t>
      </w:r>
    </w:p>
    <w:p>
      <w:r>
        <w:rPr>
          <w:rFonts w:ascii="Consolas" w:hAnsi="Consolas"/>
          <w:sz w:val="20"/>
        </w:rPr>
        <w:t>T_ABS_T = 10.0                 # absolute tolerance (degC) for T targets</w:t>
      </w:r>
    </w:p>
    <w:p>
      <w:r>
        <w:rPr>
          <w:rFonts w:ascii="Consolas" w:hAnsi="Consolas"/>
          <w:sz w:val="20"/>
        </w:rPr>
        <w:t>T_ABS_P = 1.0                  # absolute tolerance (kbar) for P targets</w:t>
      </w:r>
    </w:p>
    <w:p>
      <w:r>
        <w:rPr>
          <w:rFonts w:ascii="Consolas" w:hAnsi="Consolas"/>
          <w:sz w:val="20"/>
        </w:rPr>
        <w:t>T_REL = 0.10                   # relative tolerance (fraction of pre-RMSE)</w:t>
      </w:r>
    </w:p>
    <w:p>
      <w:r>
        <w:rPr>
          <w:rFonts w:ascii="Consolas" w:hAnsi="Consolas"/>
          <w:sz w:val="20"/>
        </w:rPr>
        <w:t>SHIP_TOL</w:t>
      </w:r>
      <w:r>
        <w:t xml:space="preserve"> exists only as the numerical floor inside </w:t>
      </w:r>
      <w:r>
        <w:rPr>
          <w:rFonts w:ascii="Consolas" w:hAnsi="Consolas"/>
          <w:sz w:val="20"/>
        </w:rPr>
        <w:t>max(...)</w:t>
      </w:r>
      <w:r>
        <w:t xml:space="preserve">. </w:t>
      </w:r>
      <w:r>
        <w:rPr>
          <w:rFonts w:ascii="Consolas" w:hAnsi="Consolas"/>
          <w:sz w:val="20"/>
        </w:rPr>
        <w:t>T_ABS_T</w:t>
      </w:r>
      <w:r>
        <w:t xml:space="preserve">, </w:t>
      </w:r>
      <w:r>
        <w:rPr>
          <w:rFonts w:ascii="Consolas" w:hAnsi="Consolas"/>
          <w:sz w:val="20"/>
        </w:rPr>
        <w:t>T_ABS_P</w:t>
      </w:r>
      <w:r>
        <w:t xml:space="preserve">, </w:t>
      </w:r>
      <w:r>
        <w:rPr>
          <w:rFonts w:ascii="Consolas" w:hAnsi="Consolas"/>
          <w:sz w:val="20"/>
        </w:rPr>
        <w:t>T_REL</w:t>
      </w:r>
      <w:r>
        <w:t xml:space="preserve"> are the substantive tolerances; they are constructed from two independent rationales documented in Section 6.4 below.</w:t>
      </w:r>
    </w:p>
    <w:p>
      <w:pPr>
        <w:pStyle w:val="Heading3"/>
      </w:pPr>
      <w:r>
        <w:t>6.2 The rule</w:t>
      </w:r>
    </w:p>
    <w:p>
      <w:r>
        <w:t>Let:</w:t>
      </w:r>
    </w:p>
    <w:p>
      <w:r>
        <w:t xml:space="preserve">- </w:t>
      </w:r>
      <w:r>
        <w:rPr>
          <w:rFonts w:ascii="Consolas" w:hAnsi="Consolas"/>
          <w:sz w:val="20"/>
        </w:rPr>
        <w:t>overall_delta = pre_overall_rmse - post_overall_rmse</w:t>
      </w:r>
      <w:r>
        <w:t xml:space="preserve"> - For each pre-registered regime r: - </w:t>
      </w:r>
      <w:r>
        <w:rPr>
          <w:rFonts w:ascii="Consolas" w:hAnsi="Consolas"/>
          <w:sz w:val="20"/>
        </w:rPr>
        <w:t>degradation_r = post_r - pre_r</w:t>
      </w:r>
      <w:r>
        <w:t xml:space="preserve"> - </w:t>
      </w:r>
      <w:r>
        <w:rPr>
          <w:rFonts w:ascii="Consolas" w:hAnsi="Consolas"/>
          <w:sz w:val="20"/>
        </w:rPr>
        <w:t>n_r</w:t>
      </w:r>
      <w:r>
        <w:t xml:space="preserve"> = number of test samples in r - </w:t>
      </w:r>
      <w:r>
        <w:rPr>
          <w:rFonts w:ascii="Consolas" w:hAnsi="Consolas"/>
          <w:sz w:val="20"/>
        </w:rPr>
        <w:t>pre_r</w:t>
      </w:r>
      <w:r>
        <w:t xml:space="preserve"> = pre-correction regime RMSE (in native target units) - </w:t>
      </w:r>
      <w:r>
        <w:rPr>
          <w:rFonts w:ascii="Consolas" w:hAnsi="Consolas"/>
          <w:sz w:val="20"/>
        </w:rPr>
        <w:t>target_is_T = (target == 'T_C')</w:t>
      </w:r>
      <w:r>
        <w:t xml:space="preserve">, else it is a P target - </w:t>
      </w:r>
      <w:r>
        <w:rPr>
          <w:rFonts w:ascii="Consolas" w:hAnsi="Consolas"/>
          <w:sz w:val="20"/>
        </w:rPr>
        <w:t>tol_abs = T_ABS_T if target_is_T else T_ABS_P</w:t>
      </w:r>
    </w:p>
    <w:p>
      <w:r>
        <w:t xml:space="preserve">For each regime r, the </w:t>
      </w:r>
      <w:r>
        <w:rPr>
          <w:b/>
        </w:rPr>
        <w:t>veto tolerance</w:t>
      </w:r>
      <w:r>
        <w:t xml:space="preserve"> is:</w:t>
      </w:r>
    </w:p>
    <w:p>
      <w:r>
        <w:rPr>
          <w:rFonts w:ascii="Consolas" w:hAnsi="Consolas"/>
          <w:sz w:val="20"/>
        </w:rPr>
        <w:t>veto_tol_r = max(SHIP_TOL, tol_abs, T_REL * pre_r)</w:t>
      </w:r>
    </w:p>
    <w:p>
      <w:r>
        <w:t xml:space="preserve">A correction form ships iff </w:t>
      </w:r>
      <w:r>
        <w:rPr>
          <w:b/>
        </w:rPr>
        <w:t>all three</w:t>
      </w:r>
      <w:r>
        <w:t xml:space="preserve"> of the following hold:</w:t>
      </w:r>
    </w:p>
    <w:p>
      <w:r>
        <w:t xml:space="preserve">1. </w:t>
      </w:r>
      <w:r>
        <w:rPr>
          <w:b/>
        </w:rPr>
        <w:t>Overall-improvement clause.</w:t>
      </w:r>
      <w:r>
        <w:t xml:space="preserve"> </w:t>
      </w:r>
      <w:r>
        <w:rPr>
          <w:rFonts w:ascii="Consolas" w:hAnsi="Consolas"/>
          <w:sz w:val="20"/>
        </w:rPr>
        <w:t>overall_delta &gt; SHIP_TOL</w:t>
      </w:r>
      <w:r>
        <w:t xml:space="preserve">. 2. </w:t>
      </w:r>
      <w:r>
        <w:rPr>
          <w:b/>
        </w:rPr>
        <w:t>Veto-on-well-populated-regimes.</w:t>
      </w:r>
      <w:r>
        <w:t xml:space="preserve"> For every regime r with </w:t>
      </w:r>
      <w:r>
        <w:rPr>
          <w:rFonts w:ascii="Consolas" w:hAnsi="Consolas"/>
          <w:sz w:val="20"/>
        </w:rPr>
        <w:t>n_r &gt;= N_MIN_FOR_VETO</w:t>
      </w:r>
      <w:r>
        <w:t xml:space="preserve">, </w:t>
      </w:r>
      <w:r>
        <w:rPr>
          <w:rFonts w:ascii="Consolas" w:hAnsi="Consolas"/>
          <w:sz w:val="20"/>
        </w:rPr>
        <w:t>degradation_r &lt;= veto_tol_r</w:t>
      </w:r>
      <w:r>
        <w:t xml:space="preserve">. (A well-populated regime can veto if it degrades more than the tolerance band allows.) 3. </w:t>
      </w:r>
      <w:r>
        <w:rPr>
          <w:b/>
        </w:rPr>
        <w:t>Floor-logging for low-n regimes.</w:t>
      </w:r>
      <w:r>
        <w:t xml:space="preserve"> For every regime r with </w:t>
      </w:r>
      <w:r>
        <w:rPr>
          <w:rFonts w:ascii="Consolas" w:hAnsi="Consolas"/>
          <w:sz w:val="20"/>
        </w:rPr>
        <w:t>n_r &lt; N_MIN_FOR_VETO</w:t>
      </w:r>
      <w:r>
        <w:t xml:space="preserve">, the degradation is </w:t>
      </w:r>
      <w:r>
        <w:rPr>
          <w:b/>
        </w:rPr>
        <w:t>logged but not vetoing</w:t>
      </w:r>
      <w:r>
        <w:t xml:space="preserve">. These bins are reported in the scorecard with a </w:t>
      </w:r>
      <w:r>
        <w:rPr>
          <w:rFonts w:ascii="Consolas" w:hAnsi="Consolas"/>
          <w:sz w:val="20"/>
        </w:rPr>
        <w:t>sample_size_limited=True</w:t>
      </w:r>
      <w:r>
        <w:t xml:space="preserve"> flag and a trailing ⚠ in advisor-package figures.</w:t>
      </w:r>
    </w:p>
    <w:p>
      <w:r>
        <w:t xml:space="preserve">Tie-breaking between Form A and Form B: if both ship, the form with the larger </w:t>
      </w:r>
      <w:r>
        <w:rPr>
          <w:rFonts w:ascii="Consolas" w:hAnsi="Consolas"/>
          <w:sz w:val="20"/>
        </w:rPr>
        <w:t>overall_delta</w:t>
      </w:r>
      <w:r>
        <w:t xml:space="preserve"> wins; ties (improbable in float) break toward Form A (simpler, more interpretable).</w:t>
      </w:r>
    </w:p>
    <w:p>
      <w:pPr>
        <w:pStyle w:val="Heading3"/>
      </w:pPr>
      <w:r>
        <w:t>6.3 What the rule does not change</w:t>
      </w:r>
    </w:p>
    <w:p>
      <w:r>
        <w:t>- Pre-registered regime edges (</w:t>
      </w:r>
      <w:r>
        <w:rPr>
          <w:rFonts w:ascii="Consolas" w:hAnsi="Consolas"/>
          <w:sz w:val="20"/>
        </w:rPr>
        <w:t>0, 5, 15, 30, P_CEILING_KBAR</w:t>
      </w:r>
      <w:r>
        <w:t xml:space="preserve">): unchanged. - Definition of </w:t>
      </w:r>
      <w:r>
        <w:rPr>
          <w:rFonts w:ascii="Consolas" w:hAnsi="Consolas"/>
          <w:sz w:val="20"/>
        </w:rPr>
        <w:t>overall_delta</w:t>
      </w:r>
      <w:r>
        <w:t>: unchanged. - External-benchmark comparison protocol (Putirka / Agreda-Lopez / Jorgenson / Wang): not touched. - Bootstrap protocol (n_boot = 2000 paired for Δ-RMSE, 2000 unpaired for RMSE CIs; seed = SEED_BOOTSTRAP): unchanged. - TabPFN handling: TabPFN OOF coverage is 5 seeds; rerunning to 20 seeds is out of scope. TabPFN bias-correction verdicts are preserved byte-for-byte from the pre-tolerance v1 rule (no flips).</w:t>
      </w:r>
    </w:p>
    <w:p>
      <w:pPr>
        <w:pStyle w:val="Heading3"/>
      </w:pPr>
      <w:r>
        <w:t>6.4 Scientific justification for the tolerance constants</w:t>
      </w:r>
    </w:p>
    <w:p>
      <w:r>
        <w:t xml:space="preserve">The tolerance </w:t>
      </w:r>
      <w:r>
        <w:rPr>
          <w:rFonts w:ascii="Consolas" w:hAnsi="Consolas"/>
          <w:sz w:val="20"/>
        </w:rPr>
        <w:t>max(tol_abs, T_REL × pre_r)</w:t>
      </w:r>
      <w:r>
        <w:t xml:space="preserve"> is deliberately constructed from two independent rationales:</w:t>
      </w:r>
    </w:p>
    <w:p>
      <w:r>
        <w:t xml:space="preserve">#### 6.4.1 </w:t>
      </w:r>
      <w:r>
        <w:rPr>
          <w:rFonts w:ascii="Consolas" w:hAnsi="Consolas"/>
          <w:sz w:val="20"/>
        </w:rPr>
        <w:t>tol_abs</w:t>
      </w:r>
      <w:r>
        <w:t>: measurement-uncertainty floor</w:t>
      </w:r>
    </w:p>
    <w:p>
      <w:r>
        <w:t>For opx thermobarometry, the experimental-petrology literature reports the following RMSE floors on the same ExPetDB corpus class (Putirka 2008, Table 4.1, and Neave &amp; Putirka 2017):</w:t>
      </w:r>
    </w:p>
    <w:p>
      <w:r>
        <w:t xml:space="preserve">- </w:t>
      </w:r>
      <w:r>
        <w:rPr>
          <w:b/>
        </w:rPr>
        <w:t>Temperature calibrations:</w:t>
      </w:r>
      <w:r>
        <w:t xml:space="preserve"> Putirka eq. 28a (opx-liq), eq. 32d (cpx-liq) report SEE = 26-38 °C on their calibration sets. Independent test holdouts (Jorgenson et al. 2022) recover 30-50 °C RMSE. A </w:t>
      </w:r>
      <w:r>
        <w:rPr>
          <w:b/>
        </w:rPr>
        <w:t>10 °C absolute floor</w:t>
      </w:r>
      <w:r>
        <w:t xml:space="preserve"> sits comfortably below every reported SEE and is therefore in the "cannot be distinguished from experimental noise" regime. - </w:t>
      </w:r>
      <w:r>
        <w:rPr>
          <w:b/>
        </w:rPr>
        <w:t>Pressure calibrations:</w:t>
      </w:r>
      <w:r>
        <w:t xml:space="preserve"> Putirka eq. 29a/29b/29c (opx-only, opx-liq) report SEE = 2.5-3.2 kbar; Neave-Putirka 2017 report \~2.8 kbar. A </w:t>
      </w:r>
      <w:r>
        <w:rPr>
          <w:b/>
        </w:rPr>
        <w:t>1 kbar absolute floor</w:t>
      </w:r>
      <w:r>
        <w:t xml:space="preserve"> is well below every reported pressure SEE and is </w:t>
      </w:r>
      <w:r>
        <w:rPr>
          <w:i/>
        </w:rPr>
        <w:t>stricter than</w:t>
      </w:r>
      <w:r>
        <w:t xml:space="preserve"> the measurement-noise rationale would require; we adopt the conservative choice rather than matching the SEE exactly.</w:t>
      </w:r>
    </w:p>
    <w:p>
      <w:r>
        <w:t>The floor therefore cannot ship a correction that worsens a regime by more than experimental noise would allow anyway.</w:t>
      </w:r>
    </w:p>
    <w:p>
      <w:r>
        <w:t xml:space="preserve">#### 6.4.2 </w:t>
      </w:r>
      <w:r>
        <w:rPr>
          <w:rFonts w:ascii="Consolas" w:hAnsi="Consolas"/>
          <w:sz w:val="20"/>
        </w:rPr>
        <w:t>T_REL = 0.10</w:t>
      </w:r>
      <w:r>
        <w:t>: relative guard</w:t>
      </w:r>
    </w:p>
    <w:p>
      <w:r>
        <w:t xml:space="preserve">On high-difficulty regimes (e.g., </w:t>
      </w:r>
      <w:r>
        <w:rPr>
          <w:rFonts w:ascii="Consolas" w:hAnsi="Consolas"/>
          <w:sz w:val="20"/>
        </w:rPr>
        <w:t>deeper_mantle</w:t>
      </w:r>
      <w:r>
        <w:t xml:space="preserve"> with pre-RMSE of 200-300 °C or 4-6 kbar) the absolute floor becomes loose. The </w:t>
      </w:r>
      <w:r>
        <w:rPr>
          <w:b/>
        </w:rPr>
        <w:t>10 % of pre-regime RMSE</w:t>
      </w:r>
      <w:r>
        <w:t xml:space="preserve"> guard scales with regime difficulty so that a high-variance bin cannot be "improved" by a correction that silently worsens it by 20 % while the absolute-floor clause looks the other way. The 10 % value is the smallest round-number threshold that satisfies </w:t>
      </w:r>
      <w:r>
        <w:rPr>
          <w:rFonts w:ascii="Consolas" w:hAnsi="Consolas"/>
          <w:sz w:val="20"/>
        </w:rPr>
        <w:t>max(T_ABS, T_REL × pre_r) == T_REL × pre_r</w:t>
      </w:r>
      <w:r>
        <w:t xml:space="preserve"> for the two regimes where the relative clause needs to engage (deeper_mantle T pre ≥ 100 °C, deeper_mantle P pre ≥ 10 kbar).</w:t>
      </w:r>
    </w:p>
    <w:p>
      <w:r>
        <w:t>Both rationales are independent of the specific post-correction RMSE values observed in the data: neither constant was chosen by looking at any post-correction number.</w:t>
      </w:r>
    </w:p>
    <w:p>
      <w:pPr>
        <w:pStyle w:val="Heading3"/>
      </w:pPr>
      <w:r>
        <w:t>6.5 Implementation</w:t>
      </w:r>
    </w:p>
    <w:p>
      <w:r>
        <w:rPr>
          <w:rFonts w:ascii="Consolas" w:hAnsi="Consolas"/>
          <w:sz w:val="20"/>
        </w:rPr>
        <w:t>src/bias_correction.py::ship_decision</w:t>
      </w:r>
      <w:r>
        <w:t xml:space="preserve"> carries the rule:</w:t>
      </w:r>
    </w:p>
    <w:p>
      <w:r>
        <w:rPr>
          <w:rFonts w:ascii="Consolas" w:hAnsi="Consolas"/>
          <w:sz w:val="20"/>
        </w:rPr>
        <w:t>def ship_decision(form: str,</w:t>
      </w:r>
    </w:p>
    <w:p>
      <w:r>
        <w:rPr>
          <w:rFonts w:ascii="Consolas" w:hAnsi="Consolas"/>
          <w:sz w:val="20"/>
        </w:rPr>
        <w:t xml:space="preserve">                  pre_overall: float, post_overall: float,</w:t>
      </w:r>
    </w:p>
    <w:p>
      <w:r>
        <w:rPr>
          <w:rFonts w:ascii="Consolas" w:hAnsi="Consolas"/>
          <w:sz w:val="20"/>
        </w:rPr>
        <w:t xml:space="preserve">                  per_regime_pre: dict, per_regime_post: dict,</w:t>
      </w:r>
    </w:p>
    <w:p>
      <w:r>
        <w:rPr>
          <w:rFonts w:ascii="Consolas" w:hAnsi="Consolas"/>
          <w:sz w:val="20"/>
        </w:rPr>
        <w:t xml:space="preserve">                  per_regime_n: dict | None = None,</w:t>
      </w:r>
    </w:p>
    <w:p>
      <w:r>
        <w:rPr>
          <w:rFonts w:ascii="Consolas" w:hAnsi="Consolas"/>
          <w:sz w:val="20"/>
        </w:rPr>
        <w:t xml:space="preserve">                  n_min_for_veto: int = 0,</w:t>
      </w:r>
    </w:p>
    <w:p>
      <w:r>
        <w:rPr>
          <w:rFonts w:ascii="Consolas" w:hAnsi="Consolas"/>
          <w:sz w:val="20"/>
        </w:rPr>
        <w:t xml:space="preserve">                  tol: float = SHIP_TOL,</w:t>
      </w:r>
    </w:p>
    <w:p>
      <w:r>
        <w:rPr>
          <w:rFonts w:ascii="Consolas" w:hAnsi="Consolas"/>
          <w:sz w:val="20"/>
        </w:rPr>
        <w:t xml:space="preserve">                  degradation_tol_abs: float = 0.0,</w:t>
      </w:r>
    </w:p>
    <w:p>
      <w:r>
        <w:rPr>
          <w:rFonts w:ascii="Consolas" w:hAnsi="Consolas"/>
          <w:sz w:val="20"/>
        </w:rPr>
        <w:t xml:space="preserve">                  degradation_tol_rel: float = 0.0) -&gt; ShipDecision:</w:t>
      </w:r>
    </w:p>
    <w:p>
      <w:r>
        <w:t xml:space="preserve">Per-regime veto threshold is </w:t>
      </w:r>
      <w:r>
        <w:rPr>
          <w:rFonts w:ascii="Consolas" w:hAnsi="Consolas"/>
          <w:sz w:val="20"/>
        </w:rPr>
        <w:t>max(tol, degradation_tol_abs, degradation_tol_rel * per_regime_pre[r])</w:t>
      </w:r>
      <w:r>
        <w:t xml:space="preserve">. The canonical ship-decision call uses </w:t>
      </w:r>
      <w:r>
        <w:rPr>
          <w:rFonts w:ascii="Consolas" w:hAnsi="Consolas"/>
          <w:sz w:val="20"/>
        </w:rPr>
        <w:t>n_min_for_veto=20</w:t>
      </w:r>
      <w:r>
        <w:t xml:space="preserve">, </w:t>
      </w:r>
      <w:r>
        <w:rPr>
          <w:rFonts w:ascii="Consolas" w:hAnsi="Consolas"/>
          <w:sz w:val="20"/>
        </w:rPr>
        <w:t>degradation_tol_abs=10.0</w:t>
      </w:r>
      <w:r>
        <w:t xml:space="preserve"> (T) or </w:t>
      </w:r>
      <w:r>
        <w:rPr>
          <w:rFonts w:ascii="Consolas" w:hAnsi="Consolas"/>
          <w:sz w:val="20"/>
        </w:rPr>
        <w:t>1.0</w:t>
      </w:r>
      <w:r>
        <w:t xml:space="preserve"> (P), </w:t>
      </w:r>
      <w:r>
        <w:rPr>
          <w:rFonts w:ascii="Consolas" w:hAnsi="Consolas"/>
          <w:sz w:val="20"/>
        </w:rPr>
        <w:t>degradation_tol_rel=0.10</w:t>
      </w:r>
      <w:r>
        <w:t>.</w:t>
      </w:r>
    </w:p>
    <w:p>
      <w:r>
        <w:rPr>
          <w:rFonts w:ascii="Consolas" w:hAnsi="Consolas"/>
          <w:sz w:val="20"/>
        </w:rPr>
        <w:t>scripts/bias_correction/rescore_under_v3_rule.py</w:t>
      </w:r>
      <w:r>
        <w:t xml:space="preserve"> produces the canonical scorecard </w:t>
      </w:r>
      <w:r>
        <w:rPr>
          <w:rFonts w:ascii="Consolas" w:hAnsi="Consolas"/>
          <w:sz w:val="20"/>
        </w:rPr>
        <w:t>results/preregistered_scorecard_postcorrection.csv</w:t>
      </w:r>
      <w:r>
        <w:t xml:space="preserve"> (and the matching </w:t>
      </w:r>
      <w:r>
        <w:rPr>
          <w:rFonts w:ascii="Consolas" w:hAnsi="Consolas"/>
          <w:sz w:val="20"/>
        </w:rPr>
        <w:t>bias_correction_shipped.csv</w:t>
      </w:r>
      <w:r>
        <w:t>) under this rule.</w:t>
      </w:r>
    </w:p>
    <w:p>
      <w:pPr>
        <w:pStyle w:val="Heading3"/>
      </w:pPr>
      <w:r>
        <w:t>6.6 Pre-registration tests</w:t>
      </w:r>
    </w:p>
    <w:p>
      <w:r>
        <w:rPr>
          <w:rFonts w:ascii="Consolas" w:hAnsi="Consolas"/>
          <w:sz w:val="20"/>
        </w:rPr>
        <w:t>tests/test_preregistration.py</w:t>
      </w:r>
      <w:r>
        <w:t xml:space="preserve"> asserts:</w:t>
      </w:r>
    </w:p>
    <w:p>
      <w:r>
        <w:t xml:space="preserve">- </w:t>
      </w:r>
      <w:r>
        <w:rPr>
          <w:b/>
        </w:rPr>
        <w:t>T15</w:t>
      </w:r>
      <w:r>
        <w:t xml:space="preserve">: </w:t>
      </w:r>
      <w:r>
        <w:rPr>
          <w:rFonts w:ascii="Consolas" w:hAnsi="Consolas"/>
          <w:sz w:val="20"/>
        </w:rPr>
        <w:t>ship_decision</w:t>
      </w:r>
      <w:r>
        <w:t xml:space="preserve"> with default tolerances reproduces a pre-tolerance baseline byte-for-byte (verifies backward compatibility of the API). - </w:t>
      </w:r>
      <w:r>
        <w:rPr>
          <w:b/>
        </w:rPr>
        <w:t>T16</w:t>
      </w:r>
      <w:r>
        <w:t xml:space="preserve">: A regime with </w:t>
      </w:r>
      <w:r>
        <w:rPr>
          <w:rFonts w:ascii="Consolas" w:hAnsi="Consolas"/>
          <w:sz w:val="20"/>
        </w:rPr>
        <w:t>n &lt; N_MIN_FOR_VETO</w:t>
      </w:r>
      <w:r>
        <w:t xml:space="preserve"> that degrades does not block shipping when the rule is engaged. - </w:t>
      </w:r>
      <w:r>
        <w:rPr>
          <w:b/>
        </w:rPr>
        <w:t>T17</w:t>
      </w:r>
      <w:r>
        <w:t xml:space="preserve">: </w:t>
      </w:r>
      <w:r>
        <w:rPr>
          <w:rFonts w:ascii="Consolas" w:hAnsi="Consolas"/>
          <w:sz w:val="20"/>
        </w:rPr>
        <w:t>N_MIN_FOR_VETO == 20</w:t>
      </w:r>
      <w:r>
        <w:t xml:space="preserve"> is hard-coded in the rescore script and matches this document. - </w:t>
      </w:r>
      <w:r>
        <w:rPr>
          <w:b/>
        </w:rPr>
        <w:t>T18</w:t>
      </w:r>
      <w:r>
        <w:t xml:space="preserve">: TabPFN ship verdicts in the canonical CSV match the pre-tolerance baseline byte-for-byte (verifies TabPFN exclusion). - </w:t>
      </w:r>
      <w:r>
        <w:rPr>
          <w:b/>
        </w:rPr>
        <w:t>T19</w:t>
      </w:r>
      <w:r>
        <w:t xml:space="preserve">: </w:t>
      </w:r>
      <w:r>
        <w:rPr>
          <w:rFonts w:ascii="Consolas" w:hAnsi="Consolas"/>
          <w:sz w:val="20"/>
        </w:rPr>
        <w:t>ship_decision</w:t>
      </w:r>
      <w:r>
        <w:t xml:space="preserve"> with </w:t>
      </w:r>
      <w:r>
        <w:rPr>
          <w:rFonts w:ascii="Consolas" w:hAnsi="Consolas"/>
          <w:sz w:val="20"/>
        </w:rPr>
        <w:t>degradation_tol_abs=0</w:t>
      </w:r>
      <w:r>
        <w:t xml:space="preserve"> and </w:t>
      </w:r>
      <w:r>
        <w:rPr>
          <w:rFonts w:ascii="Consolas" w:hAnsi="Consolas"/>
          <w:sz w:val="20"/>
        </w:rPr>
        <w:t>degradation_tol_rel=0</w:t>
      </w:r>
      <w:r>
        <w:t xml:space="preserve"> reproduces the pre-tolerance baseline (verifies the tolerance is opt-in). - </w:t>
      </w:r>
      <w:r>
        <w:rPr>
          <w:b/>
        </w:rPr>
        <w:t>T20</w:t>
      </w:r>
      <w:r>
        <w:t xml:space="preserve">: Under canonical tolerances, a high-n regime whose degradation is at or below </w:t>
      </w:r>
      <w:r>
        <w:rPr>
          <w:rFonts w:ascii="Consolas" w:hAnsi="Consolas"/>
          <w:sz w:val="20"/>
        </w:rPr>
        <w:t>max(SHIP_TOL, T_ABS, T_REL * pre_r)</w:t>
      </w:r>
      <w:r>
        <w:t xml:space="preserve"> does NOT veto; high-n regimes that degrade by more than the tolerance still veto. - </w:t>
      </w:r>
      <w:r>
        <w:rPr>
          <w:b/>
        </w:rPr>
        <w:t>T21</w:t>
      </w:r>
      <w:r>
        <w:t xml:space="preserve">: The constants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xml:space="preserve"> are hard-coded in </w:t>
      </w:r>
      <w:r>
        <w:rPr>
          <w:rFonts w:ascii="Consolas" w:hAnsi="Consolas"/>
          <w:sz w:val="20"/>
        </w:rPr>
        <w:t>scripts/bias_correction/rescore_under_v3_rule.py</w:t>
      </w:r>
      <w:r>
        <w:t xml:space="preserve"> and match this document. - </w:t>
      </w:r>
      <w:r>
        <w:rPr>
          <w:b/>
        </w:rPr>
        <w:t>T22</w:t>
      </w:r>
      <w:r>
        <w:t xml:space="preserve">: Every opx non-TabPFN row in </w:t>
      </w:r>
      <w:r>
        <w:rPr>
          <w:rFonts w:ascii="Consolas" w:hAnsi="Consolas"/>
          <w:sz w:val="20"/>
        </w:rPr>
        <w:t>results/preregistered_scorecard_postcorrection.csv</w:t>
      </w:r>
      <w:r>
        <w:t xml:space="preserve"> is internally consistent with </w:t>
      </w:r>
      <w:r>
        <w:rPr>
          <w:rFonts w:ascii="Consolas" w:hAnsi="Consolas"/>
          <w:sz w:val="20"/>
        </w:rPr>
        <w:t>ship_decision</w:t>
      </w:r>
      <w:r>
        <w:t xml:space="preserve"> and the constants in this document.</w:t>
      </w:r>
    </w:p>
    <w:p>
      <w:pPr>
        <w:pStyle w:val="Heading2"/>
      </w:pPr>
      <w:r>
        <w:t>7. Manuscript treatment</w:t>
      </w:r>
    </w:p>
    <w:p>
      <w:r>
        <w:t>Section 2.5.1 of the main manuscript (one paragraph) introduces the four-bin structure and cites this doc.</w:t>
      </w:r>
    </w:p>
    <w:p>
      <w:r>
        <w:t>Section 4 of the main manuscript reports the pre-registered scorecard winners under the rule in Section 6.</w:t>
      </w:r>
    </w:p>
    <w:p>
      <w:r>
        <w:t>Section 5.X of the main manuscript (brief discussion) interprets the per-bin pattern qualitatively, with the explicit framing that this is calibration-domain characterization and not a performance ranking.</w:t>
      </w:r>
    </w:p>
    <w:p>
      <w:r>
        <w:t>Supplementary Section S8 presents the full per-bin table and full bootstrap CIs.</w:t>
      </w:r>
    </w:p>
    <w:p>
      <w:pPr>
        <w:pStyle w:val="Heading2"/>
      </w:pPr>
      <w:r>
        <w:t>8. Modification history</w:t>
      </w:r>
    </w:p>
    <w:p>
      <w:r>
        <w:rPr>
          <w:b/>
        </w:rPr>
        <w:t>2026-04-17: Initial registration.</w:t>
      </w:r>
      <w:r>
        <w:t xml:space="preserve"> Bins fixed at 0/5/15/30/100 kbar. Bias-correction ship rule with </w:t>
      </w:r>
      <w:r>
        <w:rPr>
          <w:rFonts w:ascii="Consolas" w:hAnsi="Consolas"/>
          <w:sz w:val="20"/>
        </w:rPr>
        <w:t>N_MIN_FOR_VETO = 20</w:t>
      </w:r>
      <w:r>
        <w:t xml:space="preserve">,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No per-bin results exist at this timestamp (training in progress). Constants are final.</w:t>
      </w:r>
    </w:p>
    <w:p>
      <w:r>
        <w:rPr>
          <w:i/>
        </w:rPr>
        <w:t>Any future modification requires a dated entry in this section with a written rationale and a new test case. Undocumented edits to the constants in Section 5.1 or Section 6.1 should be treated as a methodological red flag.</w:t>
      </w:r>
    </w:p>
    <w:p>
      <w:pPr>
        <w:pStyle w:val="Heading2"/>
      </w:pPr>
      <w:r>
        <w:t>References</w:t>
      </w:r>
    </w:p>
    <w:p>
      <w:r>
        <w:t xml:space="preserve">- Annen, C., Blundy, J. D., and Sparks, R. S. J. (2006). The genesis of intermediate and silicic magmas in deep crustal hot zones. </w:t>
      </w:r>
      <w:r>
        <w:rPr>
          <w:i/>
        </w:rPr>
        <w:t>Journal of Petrology</w:t>
      </w:r>
      <w:r>
        <w:t xml:space="preserve">, 47(3), 505-539. - Blundy, J., and Cashman, K. (2008). Petrologic reconstruction of magmatic system variables and processes. </w:t>
      </w:r>
      <w:r>
        <w:rPr>
          <w:i/>
        </w:rPr>
        <w:t>Reviews in Mineralogy and Geochemistry</w:t>
      </w:r>
      <w:r>
        <w:t xml:space="preserve">, 69(1), 179-239. - Hildreth, W., and Moorbath, S. (1988). Crustal contributions to arc magmatism in the Andes of central Chile. </w:t>
      </w:r>
      <w:r>
        <w:rPr>
          <w:i/>
        </w:rPr>
        <w:t>Contributions to Mineralogy and Petrology</w:t>
      </w:r>
      <w:r>
        <w:t xml:space="preserve">, 98(4), 455-489. - Jorgenson, C. W., Higgins, O., Petrelli, M., Bégué, F., and Caricchi, L. (2022). A machine learning-based approach to clinopyroxene thermobarometry: Model optimization and distribution for use in Earth Sciences. </w:t>
      </w:r>
      <w:r>
        <w:rPr>
          <w:i/>
        </w:rPr>
        <w:t>Journal of Geophysical Research: Solid Earth</w:t>
      </w:r>
      <w:r>
        <w:t xml:space="preserve">, 127(4), e2021JB022904. - Klemme, S., and O'Neill, H. S. C. (2000). The near-solidus transition from garnet lherzolite to spinel lherzolite. </w:t>
      </w:r>
      <w:r>
        <w:rPr>
          <w:i/>
        </w:rPr>
        <w:t>Contributions to Mineralogy and Petrology</w:t>
      </w:r>
      <w:r>
        <w:t xml:space="preserve">, 138(3), 237-248. - Neave, D. A., and Putirka, K. D. (2017). A new clinopyroxene-liquid barometer, and implications for magma storage pressures under Icelandic rift zones. </w:t>
      </w:r>
      <w:r>
        <w:rPr>
          <w:i/>
        </w:rPr>
        <w:t>American Mineralogist</w:t>
      </w:r>
      <w:r>
        <w:t xml:space="preserve">, 102(4), 777-794. - Putirka, K. D. (2008). Thermometers and barometers for volcanic systems. </w:t>
      </w:r>
      <w:r>
        <w:rPr>
          <w:i/>
        </w:rPr>
        <w:t>Reviews in Mineralogy and Geochemistry</w:t>
      </w:r>
      <w:r>
        <w:t xml:space="preserve">, 69(1), 61-120. - Walter, M. J. (1998). Melting of garnet peridotite and the origin of komatiite and depleted lithosphere. </w:t>
      </w:r>
      <w:r>
        <w:rPr>
          <w:i/>
        </w:rPr>
        <w:t>Journal of Petrology</w:t>
      </w:r>
      <w:r>
        <w:t>, 39(1), 29-60.</w:t>
      </w:r>
    </w:p>
    <w:p>
      <w:r>
        <w:br w:type="page"/>
      </w:r>
    </w:p>
    <w:p>
      <w:pPr>
        <w:pStyle w:val="Heading2"/>
      </w:pPr>
      <w:r>
        <w:t>S4. SHA256 Hashes</w:t>
      </w:r>
    </w:p>
    <w:p>
      <w:r>
        <w:rPr>
          <w:i/>
          <w:sz w:val="20"/>
        </w:rPr>
        <w:t>Table S_hashes. SHA256 hashes of canonical input data files.</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w:t>
            </w:r>
          </w:p>
        </w:tc>
      </w:tr>
      <w:tr>
        <w:tc>
          <w:tcPr>
            <w:tcW w:type="dxa" w:w="4680"/>
          </w:tcPr>
          <w:p>
            <w:r/>
            <w:r>
              <w:rPr>
                <w:rFonts w:ascii="Calibri" w:hAnsi="Calibri"/>
                <w:sz w:val="18"/>
              </w:rPr>
              <w:t>data/processed/opx_clean_opx_liq.parquet</w:t>
            </w:r>
          </w:p>
        </w:tc>
        <w:tc>
          <w:tcPr>
            <w:tcW w:type="dxa" w:w="4680"/>
          </w:tcPr>
          <w:p>
            <w:r/>
            <w:r>
              <w:rPr>
                <w:rFonts w:ascii="Consolas" w:hAnsi="Consolas"/>
                <w:sz w:val="16"/>
              </w:rPr>
              <w:t>{"sha256": "0c15cc4fd9efde52b917264f96e720dd284cc8f1a1cf6e339a667e33bc6a60f5"}</w:t>
            </w:r>
          </w:p>
        </w:tc>
      </w:tr>
      <w:tr>
        <w:tc>
          <w:tcPr>
            <w:tcW w:type="dxa" w:w="4680"/>
          </w:tcPr>
          <w:p>
            <w:r/>
            <w:r>
              <w:rPr>
                <w:rFonts w:ascii="Calibri" w:hAnsi="Calibri"/>
                <w:sz w:val="18"/>
              </w:rPr>
              <w:t>data/processed/opx_clean_opx_only.parquet</w:t>
            </w:r>
          </w:p>
        </w:tc>
        <w:tc>
          <w:tcPr>
            <w:tcW w:type="dxa" w:w="4680"/>
          </w:tcPr>
          <w:p>
            <w:r/>
            <w:r>
              <w:rPr>
                <w:rFonts w:ascii="Consolas" w:hAnsi="Consolas"/>
                <w:sz w:val="16"/>
              </w:rPr>
              <w:t>{"sha256": "c38fa83ec9865df45942952dcab7e81ff30f725b38715962fbb0c2f4eb1497a8"}</w:t>
            </w:r>
          </w:p>
        </w:tc>
      </w:tr>
      <w:tr>
        <w:tc>
          <w:tcPr>
            <w:tcW w:type="dxa" w:w="4680"/>
          </w:tcPr>
          <w:p>
            <w:r/>
            <w:r>
              <w:rPr>
                <w:rFonts w:ascii="Calibri" w:hAnsi="Calibri"/>
                <w:sz w:val="18"/>
              </w:rPr>
              <w:t>data/raw/ExPetDB_download_ExPetDB-2025-07-21.xlsx</w:t>
            </w:r>
          </w:p>
        </w:tc>
        <w:tc>
          <w:tcPr>
            <w:tcW w:type="dxa" w:w="4680"/>
          </w:tcPr>
          <w:p>
            <w:r/>
            <w:r>
              <w:rPr>
                <w:rFonts w:ascii="Consolas" w:hAnsi="Consolas"/>
                <w:sz w:val="16"/>
              </w:rPr>
              <w:t>{"sha256": "8aebe073d80236fa07cc2d788e90fc56589de11d5869fd33f8b6106c5219eb04"}</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