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Nebel – Engine Content Risk Review V1</w:t>
      </w:r>
    </w:p>
    <w:p>
      <w:pPr>
        <w:jc w:val="center"/>
      </w:pPr>
      <w:r>
        <w:rPr>
          <w:b/>
        </w:rPr>
        <w:t>Inhaltliche Freigabeprüfung, offene Research-Fragen und Ergänzungen</w:t>
      </w:r>
    </w:p>
    <w:p>
      <w:r>
        <w:t>Dieses Dokument fasst die bisher identifizierten inhaltlichen Risiken und offenen Entscheidungen für die physiologische Engine von Nebel zusammen. Ziel ist nicht, möglichst viel Physiologie zu modellieren, sondern eine wissenschaftlich begründbare, überprüfbare und pädagogisch sinnvolle V1 zu definieren.</w:t>
      </w:r>
    </w:p>
    <w:p>
      <w:pPr>
        <w:pStyle w:val="Heading1"/>
      </w:pPr>
      <w:r>
        <w:t>1. Bewertungslogik</w:t>
      </w:r>
    </w:p>
    <w:p>
      <w:pPr>
        <w:pStyle w:val="ListBullet"/>
      </w:pPr>
      <w:r>
        <w:rPr>
          <w:b/>
        </w:rPr>
        <w:t xml:space="preserve">V1 – </w:t>
      </w:r>
      <w:r>
        <w:t>Muss in die erste funktionierende Engine, weil der Mechanismus für das grundlegende Lernziel oder die physiologische Kernlogik erforderlich ist.</w:t>
      </w:r>
    </w:p>
    <w:p>
      <w:pPr>
        <w:pStyle w:val="ListBullet"/>
      </w:pPr>
      <w:r>
        <w:rPr>
          <w:b/>
        </w:rPr>
        <w:t xml:space="preserve">Später – </w:t>
      </w:r>
      <w:r>
        <w:t>Sinnvoll, aber für den Kern nicht notwendig.</w:t>
      </w:r>
    </w:p>
    <w:p>
      <w:pPr>
        <w:pStyle w:val="ListBullet"/>
      </w:pPr>
      <w:r>
        <w:rPr>
          <w:b/>
        </w:rPr>
        <w:t xml:space="preserve">Streichen – </w:t>
      </w:r>
      <w:r>
        <w:t>Bewusst nicht modellieren, weil Nutzen und Komplexität nicht im angemessenen Verhältnis stehen.</w:t>
      </w:r>
    </w:p>
    <w:p>
      <w:pPr>
        <w:pStyle w:val="ListBullet"/>
      </w:pPr>
      <w:r>
        <w:rPr>
          <w:b/>
        </w:rPr>
        <w:t xml:space="preserve">Weiter Research nötig – </w:t>
      </w:r>
      <w:r>
        <w:t>Eine belastbare Entscheidung ist aktuell noch nicht möglich. Nicht allein aus Plausibilitätsgründen implementieren.</w:t>
      </w:r>
    </w:p>
    <w:p>
      <w:pPr>
        <w:pStyle w:val="ListBullet"/>
      </w:pPr>
      <w:r>
        <w:rPr>
          <w:b/>
        </w:rPr>
        <w:t xml:space="preserve">Zu ergänzen – </w:t>
      </w:r>
      <w:r>
        <w:t>Ein wichtiger Mechanismus oder eine wichtige konzeptionelle Definition fehlt momentan und muss ergänzt werden.</w:t>
      </w:r>
    </w:p>
    <w:p>
      <w:pPr>
        <w:pStyle w:val="Heading1"/>
      </w:pPr>
      <w:r>
        <w:t>2. Die 15 wahrscheinlichsten inhaltlichen Scheitergründe</w:t>
      </w:r>
    </w:p>
    <w:p>
      <w:r>
        <w:rPr>
          <w:b/>
        </w:rPr>
        <w:t>1. Das Modell wird zu früh als „realistisch“ behandelt</w:t>
      </w:r>
    </w:p>
    <w:p>
      <w:r>
        <w:t>Mathematische Sauberkeit ist nicht automatisch physiologische Realitätsnähe. Jede Komponente muss als etabliert, vereinfachte Approximation, Nebel-Annahme oder bewusst nicht modelliert gekennzeichnet werden.</w:t>
      </w:r>
    </w:p>
    <w:p>
      <w:r>
        <w:rPr>
          <w:b/>
        </w:rPr>
        <w:t>2. Physiologische Effekte werden als willkürliche Multiplikatoren eingebaut</w:t>
      </w:r>
    </w:p>
    <w:p>
      <w:r>
        <w:t>Beispiele wie „Stress × 1,2“ oder „Sport × 1,3“ können ein Regelwerk statt einer Simulation erzeugen. Neue Einflüsse brauchen Begründung und zeitliche Dynamik.</w:t>
      </w:r>
    </w:p>
    <w:p>
      <w:r>
        <w:rPr>
          <w:b/>
        </w:rPr>
        <w:t>3. Parameter werden gewählt, bevor ihre Bedeutung sauber definiert ist</w:t>
      </w:r>
    </w:p>
    <w:p>
      <w:r>
        <w:t>Jeder Parameter muss eindeutig beschreiben, welchen Effekt er im System hat. Nachträgliches Zurechtjustieren auf schöne Beispiele ist zu vermeiden.</w:t>
      </w:r>
    </w:p>
    <w:p>
      <w:r>
        <w:rPr>
          <w:b/>
        </w:rPr>
        <w:t>4. Physiologie und Beobachtungsebene werden vermischt</w:t>
      </w:r>
    </w:p>
    <w:p>
      <w:r>
        <w:t>Physiologischer Zustand und CGM-Wert müssen getrennt bleiben. Messverzögerung oder Sensorrauschen dürfen den Körperzustand nicht verändern.</w:t>
      </w:r>
    </w:p>
    <w:p>
      <w:r>
        <w:rPr>
          <w:b/>
        </w:rPr>
        <w:t>5. Der Mensch wird auf „Insulin + Kohlenhydrate“ reduziert</w:t>
      </w:r>
    </w:p>
    <w:p>
      <w:r>
        <w:t>Glukoseproduktion, Verteilung, verzögerte Insulinwirkung, Absorption, Bewegung und Beobachtungsverzögerung gehören zum Kern.</w:t>
      </w:r>
    </w:p>
    <w:p>
      <w:r>
        <w:rPr>
          <w:b/>
        </w:rPr>
        <w:t>6. Individualisierung wird ignoriert oder künstlich übertrieben</w:t>
      </w:r>
    </w:p>
    <w:p>
      <w:r>
        <w:t>Personen dürfen nicht nur über beliebige Multiplikatoren erzeugt werden. Parameter müssen physiologisch interpretierbar und sinnvoll kombinierbar sein.</w:t>
      </w:r>
    </w:p>
    <w:p>
      <w:r>
        <w:rPr>
          <w:b/>
        </w:rPr>
        <w:t>7. Mahlzeiten werden zu stark vereinfacht</w:t>
      </w:r>
    </w:p>
    <w:p>
      <w:r>
        <w:t>Kohlenhydrate sollten nicht als sofortige Glukosewelle behandelt werden. V1 braucht ein zeitliches Appearance-Profil.</w:t>
      </w:r>
    </w:p>
    <w:p>
      <w:r>
        <w:rPr>
          <w:b/>
        </w:rPr>
        <w:t>8. Bewegung wird nur als „Glukose sinkt“ modelliert</w:t>
      </w:r>
    </w:p>
    <w:p>
      <w:r>
        <w:t>Intensität, Dauer und zeitlicher Verlauf sind relevant. Falsche Modellierung könnte falsche Ursache-Wirkungs-Zusammenhänge vermitteln.</w:t>
      </w:r>
    </w:p>
    <w:p>
      <w:r>
        <w:rPr>
          <w:b/>
        </w:rPr>
        <w:t>9. Medizinisch interessante Faktoren werden ohne Lernziel ergänzt</w:t>
      </w:r>
    </w:p>
    <w:p>
      <w:r>
        <w:t>Stress, Schlaf, Krankheit, Hormone, Alkohol und weitere Faktoren sollten nur bei klarem Lernziel und belastbarer Modellierung aufgenommen werden.</w:t>
      </w:r>
    </w:p>
    <w:p>
      <w:r>
        <w:rPr>
          <w:b/>
        </w:rPr>
        <w:t>10. Validierung erfolgt nur über einzelne schöne Beispiele</w:t>
      </w:r>
    </w:p>
    <w:p>
      <w:r>
        <w:t>Ein plausibler Beispielverlauf beweist keine Modellgüte. Es braucht eine systematische Validierung über mehrere Szenarioklassen.</w:t>
      </w:r>
    </w:p>
    <w:p>
      <w:r>
        <w:rPr>
          <w:b/>
        </w:rPr>
        <w:t>11. Extrembereiche werden nicht definiert</w:t>
      </w:r>
    </w:p>
    <w:p>
      <w:r>
        <w:t>Das Modell kann im Normalbereich plausibel und bei extremen Glukosewerten, Dosen, Mahlzeiten oder Belastungen unplausibel sein.</w:t>
      </w:r>
    </w:p>
    <w:p>
      <w:r>
        <w:rPr>
          <w:b/>
        </w:rPr>
        <w:t>12. Die Zeitdimension wird unterschätzt</w:t>
      </w:r>
    </w:p>
    <w:p>
      <w:r>
        <w:t>Insulin, Mahlzeiten, Bewegung und CGM wirken verzögert. Entscheidungen müssen über einen kontinuierlichen Zustand verarbeitet werden.</w:t>
      </w:r>
    </w:p>
    <w:p>
      <w:r>
        <w:rPr>
          <w:b/>
        </w:rPr>
        <w:t>13. Die Simulation beginnt implizit medizinische Empfehlungen zu erzeugen</w:t>
      </w:r>
    </w:p>
    <w:p>
      <w:r>
        <w:t>Nebel sollte ein pädagogisches Simulationsmodell bleiben; konkrete individuelle Dosierungsempfehlungen sind davon zu trennen.</w:t>
      </w:r>
    </w:p>
    <w:p>
      <w:r>
        <w:rPr>
          <w:b/>
        </w:rPr>
        <w:t>14. Die Engine wird inhaltlich intransparent</w:t>
      </w:r>
    </w:p>
    <w:p>
      <w:r>
        <w:t>Für Verläufe muss nachvollziehbar sein, welche Mechanismen sie verursachen. Sonst ist das Modell zu komplex oder schlecht strukturiert.</w:t>
      </w:r>
    </w:p>
    <w:p>
      <w:r>
        <w:rPr>
          <w:b/>
        </w:rPr>
        <w:t>15. Nebel versucht, ein vollständiges virtuelles Diabetesmodell zu werden</w:t>
      </w:r>
    </w:p>
    <w:p>
      <w:r>
        <w:t>Mehr Komplexität bedeutet nicht automatisch mehr Qualität. Ein kleiner, sauber definierter und überprüfbarer Kern ist für V1 stärker.</w:t>
      </w:r>
    </w:p>
    <w:p>
      <w:pPr>
        <w:pStyle w:val="Heading1"/>
      </w:pPr>
      <w:r>
        <w:t>3. Engine-Bereiche: vorläufige Entscheidung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Bereich</w:t>
            </w:r>
          </w:p>
        </w:tc>
        <w:tc>
          <w:tcPr>
            <w:tcW w:type="dxa" w:w="2520"/>
          </w:tcPr>
          <w:p>
            <w:r>
              <w:t>Status</w:t>
            </w:r>
          </w:p>
        </w:tc>
        <w:tc>
          <w:tcPr>
            <w:tcW w:type="dxa" w:w="2520"/>
          </w:tcPr>
          <w:p>
            <w:r>
              <w:t>V1-Inhalt</w:t>
            </w:r>
          </w:p>
        </w:tc>
        <w:tc>
          <w:tcPr>
            <w:tcW w:type="dxa" w:w="2520"/>
          </w:tcPr>
          <w:p>
            <w:r>
              <w:t>Offene Punkte</w:t>
            </w:r>
          </w:p>
        </w:tc>
      </w:tr>
      <w:tr>
        <w:tc>
          <w:tcPr>
            <w:tcW w:type="dxa" w:w="2520"/>
            <w:vAlign w:val="top"/>
          </w:tcPr>
          <w:p>
            <w:r>
              <w:t>Glukosemodell</w:t>
            </w:r>
          </w:p>
        </w:tc>
        <w:tc>
          <w:tcPr>
            <w:tcW w:type="dxa" w:w="2520"/>
            <w:vAlign w:val="top"/>
          </w:tcPr>
          <w:p>
            <w:r>
              <w:t>V1</w:t>
            </w:r>
          </w:p>
        </w:tc>
        <w:tc>
          <w:tcPr>
            <w:tcW w:type="dxa" w:w="2520"/>
            <w:vAlign w:val="top"/>
          </w:tcPr>
          <w:p>
            <w:r>
              <w:t>Zwei Glukosekompartimente; Austausch; insulinunabhängige und insulinabhängige Aufnahme; basale hepatische Glukoseproduktion; Insulinunterdrückung.</w:t>
            </w:r>
          </w:p>
        </w:tc>
        <w:tc>
          <w:tcPr>
            <w:tcW w:type="dxa" w:w="2520"/>
            <w:vAlign w:val="top"/>
          </w:tcPr>
          <w:p>
            <w:r>
              <w:t>Nieren-/zusätzliche Glukoseelimination bei hohen Werten: weiter Research nötig. Explizite Organmodelle: streichen V1.</w:t>
            </w:r>
          </w:p>
        </w:tc>
      </w:tr>
      <w:tr>
        <w:tc>
          <w:tcPr>
            <w:tcW w:type="dxa" w:w="2520"/>
            <w:vAlign w:val="top"/>
          </w:tcPr>
          <w:p>
            <w:r>
              <w:t>Insulin</w:t>
            </w:r>
          </w:p>
        </w:tc>
        <w:tc>
          <w:tcPr>
            <w:tcW w:type="dxa" w:w="2520"/>
            <w:vAlign w:val="top"/>
          </w:tcPr>
          <w:p>
            <w:r>
              <w:t>V1</w:t>
            </w:r>
          </w:p>
        </w:tc>
        <w:tc>
          <w:tcPr>
            <w:tcW w:type="dxa" w:w="2520"/>
            <w:vAlign w:val="top"/>
          </w:tcPr>
          <w:p>
            <w:r>
              <w:t>SC-Absorption, zwei SC-Kompartimente, Plasmainsulin, Clearance, verzögerte Wirkung, mehrere Wirkpfade, individuelle Insulinempfindlichkeit.</w:t>
            </w:r>
          </w:p>
        </w:tc>
        <w:tc>
          <w:tcPr>
            <w:tcW w:type="dxa" w:w="2520"/>
            <w:vAlign w:val="top"/>
          </w:tcPr>
          <w:p>
            <w:r>
              <w:t>Insulintypen und genaue Modellierung von Insulinresistenz: weiter Research nötig. Injektionsstelle und detaillierte Produktprofile: später.</w:t>
            </w:r>
          </w:p>
        </w:tc>
      </w:tr>
      <w:tr>
        <w:tc>
          <w:tcPr>
            <w:tcW w:type="dxa" w:w="2520"/>
            <w:vAlign w:val="top"/>
          </w:tcPr>
          <w:p>
            <w:r>
              <w:t>Mahlzeiten</w:t>
            </w:r>
          </w:p>
        </w:tc>
        <w:tc>
          <w:tcPr>
            <w:tcW w:type="dxa" w:w="2520"/>
            <w:vAlign w:val="top"/>
          </w:tcPr>
          <w:p>
            <w:r>
              <w:t>V1</w:t>
            </w:r>
          </w:p>
        </w:tc>
        <w:tc>
          <w:tcPr>
            <w:tcW w:type="dxa" w:w="2520"/>
            <w:vAlign w:val="top"/>
          </w:tcPr>
          <w:p>
            <w:r>
              <w:t>Kohlenhydratmenge, Zeitpunkt, zeitverzögerte Glukoseappearance, Aufnahmegeschwindigkeit.</w:t>
            </w:r>
          </w:p>
        </w:tc>
        <w:tc>
          <w:tcPr>
            <w:tcW w:type="dxa" w:w="2520"/>
            <w:vAlign w:val="top"/>
          </w:tcPr>
          <w:p>
            <w:r>
              <w:t>Fett/Protein und GI: weiter Research nötig. Komplexere Mahlzeitentypen und individuelle Verdauung: später.</w:t>
            </w:r>
          </w:p>
        </w:tc>
      </w:tr>
      <w:tr>
        <w:tc>
          <w:tcPr>
            <w:tcW w:type="dxa" w:w="2520"/>
            <w:vAlign w:val="top"/>
          </w:tcPr>
          <w:p>
            <w:r>
              <w:t>Bewegung</w:t>
            </w:r>
          </w:p>
        </w:tc>
        <w:tc>
          <w:tcPr>
            <w:tcW w:type="dxa" w:w="2520"/>
            <w:vAlign w:val="top"/>
          </w:tcPr>
          <w:p>
            <w:r>
              <w:t>V1</w:t>
            </w:r>
          </w:p>
        </w:tc>
        <w:tc>
          <w:tcPr>
            <w:tcW w:type="dxa" w:w="2520"/>
            <w:vAlign w:val="top"/>
          </w:tcPr>
          <w:p>
            <w:r>
              <w:t>Beginn, Dauer, Intensität, akuter und verzögerter Effekt.</w:t>
            </w:r>
          </w:p>
        </w:tc>
        <w:tc>
          <w:tcPr>
            <w:tcW w:type="dxa" w:w="2520"/>
            <w:vAlign w:val="top"/>
          </w:tcPr>
          <w:p>
            <w:r>
              <w:t>Exercise-Modell und Parameterrollen, sehr intensive Belastung sowie Krafttraining vs. Ausdauer: weiter Research nötig.</w:t>
            </w:r>
          </w:p>
        </w:tc>
      </w:tr>
      <w:tr>
        <w:tc>
          <w:tcPr>
            <w:tcW w:type="dxa" w:w="2520"/>
            <w:vAlign w:val="top"/>
          </w:tcPr>
          <w:p>
            <w:r>
              <w:t>CGM / Beobachtung</w:t>
            </w:r>
          </w:p>
        </w:tc>
        <w:tc>
          <w:tcPr>
            <w:tcW w:type="dxa" w:w="2520"/>
            <w:vAlign w:val="top"/>
          </w:tcPr>
          <w:p>
            <w:r>
              <w:t>V1</w:t>
            </w:r>
          </w:p>
        </w:tc>
        <w:tc>
          <w:tcPr>
            <w:tcW w:type="dxa" w:w="2520"/>
            <w:vAlign w:val="top"/>
          </w:tcPr>
          <w:p>
            <w:r>
              <w:t>Trennung von Physiologie und Messung, Interstitium, physiologische Verzögerung, Filterung, Messrauschen.</w:t>
            </w:r>
          </w:p>
        </w:tc>
        <w:tc>
          <w:tcPr>
            <w:tcW w:type="dxa" w:w="2520"/>
            <w:vAlign w:val="top"/>
          </w:tcPr>
          <w:p>
            <w:r>
              <w:t>Sensoralterung, Kalibrierung und Sensorverlust: später. Detaillierte Kompressionsartefakte: streichen V1.</w:t>
            </w:r>
          </w:p>
        </w:tc>
      </w:tr>
      <w:tr>
        <w:tc>
          <w:tcPr>
            <w:tcW w:type="dxa" w:w="2520"/>
            <w:vAlign w:val="top"/>
          </w:tcPr>
          <w:p>
            <w:r>
              <w:t>Individualisierung</w:t>
            </w:r>
          </w:p>
        </w:tc>
        <w:tc>
          <w:tcPr>
            <w:tcW w:type="dxa" w:w="2520"/>
            <w:vAlign w:val="top"/>
          </w:tcPr>
          <w:p>
            <w:r>
              <w:t>V1</w:t>
            </w:r>
          </w:p>
        </w:tc>
        <w:tc>
          <w:tcPr>
            <w:tcW w:type="dxa" w:w="2520"/>
            <w:vAlign w:val="top"/>
          </w:tcPr>
          <w:p>
            <w:r>
              <w:t>Begrenzte Individualisierung über physiologisch interpretierbare Kernparameter.</w:t>
            </w:r>
          </w:p>
        </w:tc>
        <w:tc>
          <w:tcPr>
            <w:tcW w:type="dxa" w:w="2520"/>
            <w:vAlign w:val="top"/>
          </w:tcPr>
          <w:p>
            <w:r>
              <w:t>Zulässige Parameterkombinationen und Abhängigkeiten: weiter Research nötig. Tageszeit-/Langzeitanpassungen: später.</w:t>
            </w:r>
          </w:p>
        </w:tc>
      </w:tr>
      <w:tr>
        <w:tc>
          <w:tcPr>
            <w:tcW w:type="dxa" w:w="2520"/>
            <w:vAlign w:val="top"/>
          </w:tcPr>
          <w:p>
            <w:r>
              <w:t>Tageszeit / Circadianität</w:t>
            </w:r>
          </w:p>
        </w:tc>
        <w:tc>
          <w:tcPr>
            <w:tcW w:type="dxa" w:w="2520"/>
            <w:vAlign w:val="top"/>
          </w:tcPr>
          <w:p>
            <w:r>
              <w:t>V1</w:t>
            </w:r>
          </w:p>
        </w:tc>
        <w:tc>
          <w:tcPr>
            <w:tcW w:type="dxa" w:w="2520"/>
            <w:vAlign w:val="top"/>
          </w:tcPr>
          <w:p>
            <w:r>
              <w:t>Uhrzeit als Eventinformation und kontinuierlicher Tagesverlauf.</w:t>
            </w:r>
          </w:p>
        </w:tc>
        <w:tc>
          <w:tcPr>
            <w:tcW w:type="dxa" w:w="2520"/>
            <w:vAlign w:val="top"/>
          </w:tcPr>
          <w:p>
            <w:r>
              <w:t>Tageszeitabhängige Insulinempfindlichkeit: weiter Research nötig. Dawn Phenomenon: später/Research.</w:t>
            </w:r>
          </w:p>
        </w:tc>
      </w:tr>
      <w:tr>
        <w:tc>
          <w:tcPr>
            <w:tcW w:type="dxa" w:w="2520"/>
            <w:vAlign w:val="top"/>
          </w:tcPr>
          <w:p>
            <w:r>
              <w:t>Stress, Krankheit, Hormone</w:t>
            </w:r>
          </w:p>
        </w:tc>
        <w:tc>
          <w:tcPr>
            <w:tcW w:type="dxa" w:w="2520"/>
            <w:vAlign w:val="top"/>
          </w:tcPr>
          <w:p>
            <w:r>
              <w:t>Weiter Research nötig</w:t>
            </w:r>
          </w:p>
        </w:tc>
        <w:tc>
          <w:tcPr>
            <w:tcW w:type="dxa" w:w="2520"/>
            <w:vAlign w:val="top"/>
          </w:tcPr>
          <w:p>
            <w:r>
              <w:t>Keine willkürlichen Stress- oder Hormonmultiplikatoren.</w:t>
            </w:r>
          </w:p>
        </w:tc>
        <w:tc>
          <w:tcPr>
            <w:tcW w:type="dxa" w:w="2520"/>
            <w:vAlign w:val="top"/>
          </w:tcPr>
          <w:p>
            <w:r>
              <w:t>Krankheit und komplexere Kontextfaktoren: später; detaillierte hormonelle Simulation nicht für V1.</w:t>
            </w:r>
          </w:p>
        </w:tc>
      </w:tr>
    </w:tbl>
    <w:p>
      <w:pPr>
        <w:pStyle w:val="Heading1"/>
      </w:pPr>
      <w:r>
        <w:t>4. Zu ergänzen</w:t>
      </w:r>
    </w:p>
    <w:p>
      <w:r>
        <w:rPr>
          <w:b/>
        </w:rPr>
        <w:t xml:space="preserve">Model Validity Envelope – </w:t>
      </w:r>
      <w:r>
        <w:t>Konkrete Grenzen definieren, innerhalb derer Nebel als wissenschaftlich sinnvoll gelten soll.</w:t>
      </w:r>
    </w:p>
    <w:p>
      <w:r>
        <w:rPr>
          <w:b/>
        </w:rPr>
        <w:t xml:space="preserve">Hypoglykämie-Zustandslogik – </w:t>
      </w:r>
      <w:r>
        <w:t>Relevante niedrige Glukosebereiche und mögliche Gegenregulation definieren; zunächst als physiologisches Modellthema.</w:t>
      </w:r>
    </w:p>
    <w:p>
      <w:r>
        <w:rPr>
          <w:b/>
        </w:rPr>
        <w:t xml:space="preserve">Hyperglykämie-Zustandslogik – </w:t>
      </w:r>
      <w:r>
        <w:t>Verhalten bei hohen Glukosewerten, zusätzliche Glukoseverluste und Modellgrenzen definieren.</w:t>
      </w:r>
    </w:p>
    <w:p>
      <w:r>
        <w:rPr>
          <w:b/>
        </w:rPr>
        <w:t xml:space="preserve">Insulin-on-Board – </w:t>
      </w:r>
      <w:r>
        <w:t>Physiologischen Insulinzustand/-effekt klar von einer abgeleiteten IOB-Anzeige trennen.</w:t>
      </w:r>
    </w:p>
    <w:p>
      <w:r>
        <w:rPr>
          <w:b/>
        </w:rPr>
        <w:t xml:space="preserve">Mahlzeiten-Appearance-Profile – </w:t>
      </w:r>
      <w:r>
        <w:t>Mahlzeiten sollen nicht nur Kohlenhydratmenge, sondern ein zeitliches Appearance-Profil besitzen.</w:t>
      </w:r>
    </w:p>
    <w:p>
      <w:r>
        <w:rPr>
          <w:b/>
        </w:rPr>
        <w:t xml:space="preserve">Parameterabhängigkeiten – </w:t>
      </w:r>
      <w:r>
        <w:t>Physiologisch sinnvolle Kombinationen individueller Parameter festlegen.</w:t>
      </w:r>
    </w:p>
    <w:p>
      <w:r>
        <w:rPr>
          <w:b/>
        </w:rPr>
        <w:t xml:space="preserve">Formale Validierungsmatrix – </w:t>
      </w:r>
      <w:r>
        <w:t>Erwartete qualitative und quantitative Verhaltensweisen als Testfälle vor der Implementierung definieren.</w:t>
      </w:r>
    </w:p>
    <w:p>
      <w:r>
        <w:rPr>
          <w:b/>
        </w:rPr>
        <w:t xml:space="preserve">Unzulässige Zustände – </w:t>
      </w:r>
      <w:r>
        <w:t>Parameterkombinationen und Zustände definieren, die außerhalb des Modellbereichs liegen.</w:t>
      </w:r>
    </w:p>
    <w:p>
      <w:pPr>
        <w:pStyle w:val="Heading1"/>
      </w:pPr>
      <w:r>
        <w:t>5. Priorisierte Research-Liste</w:t>
      </w:r>
    </w:p>
    <w:p>
      <w:pPr>
        <w:pStyle w:val="ListNumber"/>
      </w:pPr>
      <w:r>
        <w:t>Exercise-Modell: Originalquelle, Gleichungen, Parameterdefinitionen, Einheiten, Gültigkeitsbereich und Implementierungsdetails vollständig verifizieren.</w:t>
      </w:r>
    </w:p>
    <w:p>
      <w:pPr>
        <w:pStyle w:val="ListNumber"/>
      </w:pPr>
      <w:r>
        <w:t>Insulintypen: Klären, ob V1 einen generischen Insulininput oder mehrere Wirkprofile benötigt.</w:t>
      </w:r>
    </w:p>
    <w:p>
      <w:pPr>
        <w:pStyle w:val="ListNumber"/>
      </w:pPr>
      <w:r>
        <w:t>Insulinresistenz: Prüfen, ob sie vollständig über Kernparameter abbildbar ist oder einen separaten Mechanismus benötigt.</w:t>
      </w:r>
    </w:p>
    <w:p>
      <w:pPr>
        <w:pStyle w:val="ListNumber"/>
      </w:pPr>
      <w:r>
        <w:t>Fett/Protein bei Mahlzeiten: Eine für V1 ausreichend einfache, wissenschaftlich belastbare Darstellung bestimmen.</w:t>
      </w:r>
    </w:p>
    <w:p>
      <w:pPr>
        <w:pStyle w:val="ListNumber"/>
      </w:pPr>
      <w:r>
        <w:t>Gegenregulation bei Hypoglykämie: Klären, welche Prozesse für das Lernziel erforderlich sind.</w:t>
      </w:r>
    </w:p>
    <w:p>
      <w:pPr>
        <w:pStyle w:val="ListNumber"/>
      </w:pPr>
      <w:r>
        <w:t>Hohe Glukosewerte und renale Glukoseverluste: Relevanz, Schwellen und Modellierung bestimmen.</w:t>
      </w:r>
    </w:p>
    <w:p>
      <w:pPr>
        <w:pStyle w:val="ListNumber"/>
      </w:pPr>
      <w:r>
        <w:t>Tageszeitabhängigkeit: Prüfen, ob ein V1-Mechanismus wissenschaftlich gerechtfertigt und pädagogisch notwendig ist.</w:t>
      </w:r>
    </w:p>
    <w:p>
      <w:pPr>
        <w:pStyle w:val="ListNumber"/>
      </w:pPr>
      <w:r>
        <w:t>Individualisierung: Zulässige Parameterverteilungen und Abhängigkeiten definieren.</w:t>
      </w:r>
    </w:p>
    <w:p>
      <w:pPr>
        <w:pStyle w:val="ListNumber"/>
      </w:pPr>
      <w:r>
        <w:t>Model Validity Envelope: Konkrete Grenzen für Eingaben und Zustände festlegen.</w:t>
      </w:r>
    </w:p>
    <w:p>
      <w:pPr>
        <w:pStyle w:val="Heading1"/>
      </w:pPr>
      <w:r>
        <w:t>6. Vorläufige V1-Freigabe</w:t>
      </w:r>
    </w:p>
    <w:p>
      <w:r>
        <w:t>Die bisherige Architektur ist als V1-Kern grundsätzlich tragfähig. Sie sollte jedoch erst dann als implementierungsbereit gelten, wenn die offenen Research-Punkte mit hoher Priorität geklärt und die zu ergänzenden konzeptionellen Bausteine in die Spezifikation aufgenommen wurden.</w:t>
      </w:r>
    </w:p>
    <w:p>
      <w:r>
        <w:t>Offene wissenschaftliche Fragen dürfen nicht durch plausible, aber unbelegte Multiplikatoren oder frei gewählte Parameterwerte „geschlossen“ werden.</w:t>
      </w:r>
    </w:p>
    <w:p>
      <w:r>
        <w:t>Der nächste sinnvolle Schritt ist eine gezielte Research-Runde zu den orange markierten Punkten, gefolgt von einer finalen V1-Parameter- und Mechanismusmatrix.</w:t>
      </w:r>
    </w:p>
    <w:p>
      <w:pPr>
        <w:pStyle w:val="Heading1"/>
      </w:pPr>
      <w:r>
        <w:t>7. Kurzfazit</w:t>
      </w:r>
    </w:p>
    <w:p>
      <w:r>
        <w:t>Das zentrale Risiko von Nebel ist derzeit nicht ein zu kleines Modell, sondern unkontrolliertes Wachstum und das Einbauen plausibler, aber nicht ausreichend belegter Mechanismen. V1 sollte klein, kausal nachvollziehbar, zeitlich konsistent und überprüfbar bleiben.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