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Nebel — Equation &amp; Parameter Specification V1</w:t>
      </w:r>
    </w:p>
    <w:p>
      <w:pPr>
        <w:pStyle w:val="Subtitle"/>
      </w:pPr>
      <w:r>
        <w:t>Formale technische Spezifikation der wissenschaftlich getrennten Simulations-Engine</w:t>
      </w:r>
    </w:p>
    <w:p>
      <w:r>
        <w:t>Status: V1 Engineering Specification</w:t>
      </w:r>
    </w:p>
    <w:p>
      <w:r>
        <w:t>Zweck: Forschungs- und Bildungsprototyp, nicht medizinisches Produkt und nicht klinisch validiertes Dosierungssystem.</w:t>
      </w:r>
    </w:p>
    <w:p>
      <w:pPr>
        <w:pStyle w:val="Heading1"/>
      </w:pPr>
      <w:r>
        <w:t>1. Zweck und Modellgrenzen</w:t>
      </w:r>
    </w:p>
    <w:p>
      <w:r>
        <w:t>Diese Spezifikation beschreibt eine eigenständige physiologische Engine für die Nebel-Simulation. Der frühere UI-Prototyp ist keine Quelle für physiologische Gleichungen oder Parameter.</w:t>
      </w:r>
    </w:p>
    <w:p>
      <w:r>
        <w:t>V1 soll die zeitliche Kausalität zwischen Mahlzeit, subkutanem Insulin, Insulinwirkung, Bewegung und beobachteter Glukose abbilden. Die Engine soll reproduzierbar, deterministisch und erweiterbar sein.</w:t>
      </w:r>
    </w:p>
    <w:p>
      <w:pPr>
        <w:pStyle w:val="ListBullet"/>
      </w:pPr>
      <w:r>
        <w:t>Der Körperzustand wird getrennt von der Sensorbeobachtung modelliert.</w:t>
      </w:r>
    </w:p>
    <w:p>
      <w:pPr>
        <w:pStyle w:val="ListBullet"/>
      </w:pPr>
      <w:r>
        <w:t>Eingaben sind Ereignisse mit Zeitstempel; der Zustand wird kontinuierlich bzw. diskret integriert.</w:t>
      </w:r>
    </w:p>
    <w:p>
      <w:pPr>
        <w:pStyle w:val="ListBullet"/>
      </w:pPr>
      <w:r>
        <w:t>Parameter werden versioniert und mit Quelle, Einheit und Kontext geführt.</w:t>
      </w:r>
    </w:p>
    <w:p>
      <w:pPr>
        <w:pStyle w:val="ListBullet"/>
      </w:pPr>
      <w:r>
        <w:t>Publizierte Quellwerte werden nicht als universelle physiologische Konstanten behandelt.</w:t>
      </w:r>
    </w:p>
    <w:p>
      <w:pPr>
        <w:pStyle w:val="Heading1"/>
      </w:pPr>
      <w:r>
        <w:t>2. Modellarchitektur</w:t>
      </w:r>
    </w:p>
    <w:p>
      <w:r>
        <w:rPr>
          <w:rFonts w:ascii="Consolas" w:hAnsi="Consolas"/>
          <w:sz w:val="18"/>
        </w:rPr>
        <w:t>INPUT EVENTS</w:t>
        <w:br/>
        <w:t xml:space="preserve">  meal / insulin / exercise / optional context</w:t>
        <w:br/>
        <w:t xml:space="preserve">          ↓</w:t>
        <w:br/>
        <w:t>PHYSIOLOGICAL STATE</w:t>
        <w:br/>
        <w:t xml:space="preserve">  glucose compartments</w:t>
        <w:br/>
        <w:t xml:space="preserve">  insulin kinetics</w:t>
        <w:br/>
        <w:t xml:space="preserve">  delayed insulin action</w:t>
        <w:br/>
        <w:t xml:space="preserve">  meal glucose appearance</w:t>
        <w:br/>
        <w:t xml:space="preserve">  exercise effects</w:t>
        <w:br/>
        <w:t xml:space="preserve">          ↓</w:t>
        <w:br/>
        <w:t>OBSERVATION LAYER</w:t>
        <w:br/>
        <w:t xml:space="preserve">  interstitial glucose</w:t>
        <w:br/>
        <w:t xml:space="preserve">  physiological delay</w:t>
        <w:br/>
        <w:t xml:space="preserve">  sensor filtering / noise</w:t>
        <w:br/>
        <w:t xml:space="preserve">          ↓</w:t>
        <w:br/>
        <w:t>EXPERIENCE LAYER</w:t>
        <w:br/>
        <w:t xml:space="preserve">  UI, decisions, alarms, educational feedback</w:t>
      </w:r>
    </w:p>
    <w:p>
      <w:r>
        <w:t>Wichtig ist die Trennung von: tatsächlichem physiologischem Zustand → gemessener Glukose → Interpretation → Entscheidung → verzögerter Konsequenz.</w:t>
      </w:r>
    </w:p>
    <w:p>
      <w:pPr>
        <w:pStyle w:val="Heading1"/>
      </w:pPr>
      <w:r>
        <w:t>3. Einheiten und Konventionen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Größe</w:t>
            </w:r>
          </w:p>
        </w:tc>
        <w:tc>
          <w:tcPr>
            <w:tcW w:type="dxa" w:w="4968"/>
          </w:tcPr>
          <w:p>
            <w:r>
              <w:t>V1-Konvention</w:t>
            </w:r>
          </w:p>
        </w:tc>
      </w:tr>
      <w:tr>
        <w:tc>
          <w:tcPr>
            <w:tcW w:type="dxa" w:w="4968"/>
          </w:tcPr>
          <w:p>
            <w:r>
              <w:t>Zeit</w:t>
            </w:r>
          </w:p>
        </w:tc>
        <w:tc>
          <w:tcPr>
            <w:tcW w:type="dxa" w:w="4968"/>
          </w:tcPr>
          <w:p>
            <w:r>
              <w:t>min</w:t>
            </w:r>
          </w:p>
        </w:tc>
      </w:tr>
      <w:tr>
        <w:tc>
          <w:tcPr>
            <w:tcW w:type="dxa" w:w="4968"/>
          </w:tcPr>
          <w:p>
            <w:r>
              <w:t>Glukose</w:t>
            </w:r>
          </w:p>
        </w:tc>
        <w:tc>
          <w:tcPr>
            <w:tcW w:type="dxa" w:w="4968"/>
          </w:tcPr>
          <w:p>
            <w:r>
              <w:t>mg/dL in der Beobachtungsschicht; interne Modellgrößen entsprechend der gewählten Quellform</w:t>
            </w:r>
          </w:p>
        </w:tc>
      </w:tr>
      <w:tr>
        <w:tc>
          <w:tcPr>
            <w:tcW w:type="dxa" w:w="4968"/>
          </w:tcPr>
          <w:p>
            <w:r>
              <w:t>Insulin</w:t>
            </w:r>
          </w:p>
        </w:tc>
        <w:tc>
          <w:tcPr>
            <w:tcW w:type="dxa" w:w="4968"/>
          </w:tcPr>
          <w:p>
            <w:r>
              <w:t>Quellmodell-konforme Einheit; keine Vermischung von U, mU und Konzentration</w:t>
            </w:r>
          </w:p>
        </w:tc>
      </w:tr>
      <w:tr>
        <w:tc>
          <w:tcPr>
            <w:tcW w:type="dxa" w:w="4968"/>
          </w:tcPr>
          <w:p>
            <w:r>
              <w:t>Kohlenhydrate</w:t>
            </w:r>
          </w:p>
        </w:tc>
        <w:tc>
          <w:tcPr>
            <w:tcW w:type="dxa" w:w="4968"/>
          </w:tcPr>
          <w:p>
            <w:r>
              <w:t>g</w:t>
            </w:r>
          </w:p>
        </w:tc>
      </w:tr>
      <w:tr>
        <w:tc>
          <w:tcPr>
            <w:tcW w:type="dxa" w:w="4968"/>
          </w:tcPr>
          <w:p>
            <w:r>
              <w:t>Herzfrequenz</w:t>
            </w:r>
          </w:p>
        </w:tc>
        <w:tc>
          <w:tcPr>
            <w:tcW w:type="dxa" w:w="4968"/>
          </w:tcPr>
          <w:p>
            <w:r>
              <w:t>bpm</w:t>
            </w:r>
          </w:p>
        </w:tc>
      </w:tr>
      <w:tr>
        <w:tc>
          <w:tcPr>
            <w:tcW w:type="dxa" w:w="4968"/>
          </w:tcPr>
          <w:p>
            <w:r>
              <w:t>Ereignisse</w:t>
            </w:r>
          </w:p>
        </w:tc>
        <w:tc>
          <w:tcPr>
            <w:tcW w:type="dxa" w:w="4968"/>
          </w:tcPr>
          <w:p>
            <w:r>
              <w:t>exakter Zeitstempel</w:t>
            </w:r>
          </w:p>
        </w:tc>
      </w:tr>
    </w:tbl>
    <w:p>
      <w:r>
        <w:t>Die Implementierung muss innerhalb eines Moduls konsistente Einheiten verwenden. Umrechnungen werden ausschließlich an klar definierten Schnittstellen durchgeführt.</w:t>
      </w:r>
    </w:p>
    <w:p>
      <w:pPr>
        <w:pStyle w:val="Heading1"/>
      </w:pPr>
      <w:r>
        <w:t>4. Glukose-Subsystem</w:t>
      </w:r>
    </w:p>
    <w:p>
      <w:r>
        <w:t>V1 verwendet ein Zwei-Kompartiment-Modell aus der UVA/Padova-/Hovorka-Modellfamilie. Die konkrete Implementierung muss die gewählte Quellenform und ihre Einheiten unverändert abbilden, bevor Vereinfachungen vorgenommen werden.</w:t>
      </w:r>
    </w:p>
    <w:p>
      <w:r>
        <w:rPr>
          <w:rFonts w:ascii="Consolas" w:hAnsi="Consolas"/>
          <w:sz w:val="18"/>
        </w:rPr>
        <w:t>dGp/dt = EGP + Ra - Uii - E - k1*Gp + k2*Gt</w:t>
        <w:br/>
        <w:t>dGt/dt = -Uid + k1*Gp - k2*Gt</w:t>
        <w:br/>
        <w:t>G      = Gp / VG</w:t>
      </w:r>
    </w:p>
    <w:p>
      <w:r>
        <w:t>Gp steht für die zentrale Glukosemasse bzw. das zentrale Glukosekompartiment, Gt für das periphere Kompartiment. G ist die daraus abgeleitete Glukosekonzentration.</w:t>
      </w:r>
    </w:p>
    <w:p>
      <w:r>
        <w:t>Die Terme EGP, Ra, Uii, Uid und E müssen in der Implementierung eindeutig als Massen-/Flussgrößen definiert werden.</w:t>
      </w:r>
    </w:p>
    <w:p>
      <w:pPr>
        <w:pStyle w:val="Heading1"/>
      </w:pPr>
      <w:r>
        <w:t>5. Glukoseutilisation</w:t>
      </w:r>
    </w:p>
    <w:p>
      <w:r>
        <w:rPr>
          <w:rFonts w:ascii="Consolas" w:hAnsi="Consolas"/>
          <w:sz w:val="18"/>
        </w:rPr>
        <w:t>Uii(t) = F_cns'</w:t>
        <w:br/>
        <w:t>Uid(t) = Vm(X) * Gt / (Km + Gt)</w:t>
        <w:br/>
        <w:t>Vm(X) = Vm0 + Vmx * X</w:t>
      </w:r>
    </w:p>
    <w:p>
      <w:pPr>
        <w:pStyle w:val="ListBullet"/>
      </w:pPr>
      <w:r>
        <w:t>Uii repräsentiert insulinunabhängige Glukoseaufnahme.</w:t>
      </w:r>
    </w:p>
    <w:p>
      <w:pPr>
        <w:pStyle w:val="ListBullet"/>
      </w:pPr>
      <w:r>
        <w:t>Uid repräsentiert insulinabhängige Nutzung.</w:t>
      </w:r>
    </w:p>
    <w:p>
      <w:pPr>
        <w:pStyle w:val="ListBullet"/>
      </w:pPr>
      <w:r>
        <w:t>X ist ein verzögerter Insulinwirkungszustand.</w:t>
      </w:r>
    </w:p>
    <w:p>
      <w:pPr>
        <w:pStyle w:val="ListBullet"/>
      </w:pPr>
      <w:r>
        <w:t>Km, Vm0 und Vmx gehören in das versionierte Parameterregister.</w:t>
      </w:r>
    </w:p>
    <w:p>
      <w:pPr>
        <w:pStyle w:val="Heading1"/>
      </w:pPr>
      <w:r>
        <w:t>6. Subkutanes Insulin und Plasma-Insulin</w:t>
      </w:r>
    </w:p>
    <w:p>
      <w:r>
        <w:rPr>
          <w:rFonts w:ascii="Consolas" w:hAnsi="Consolas"/>
          <w:sz w:val="18"/>
        </w:rPr>
        <w:t>dS1/dt = uI(t) - S1/tmaxI</w:t>
        <w:br/>
        <w:t>dS2/dt = S1/tmaxI - S2/tmaxI</w:t>
        <w:br/>
        <w:t>dI/dt  = S2/(tmaxI*VI) - ke*I</w:t>
      </w:r>
    </w:p>
    <w:p>
      <w:r>
        <w:t>uI ist der zeitabhängige Insulin-Input. Die zwei Absorptionskompartimente erzeugen eine realistische Verzögerung zwischen Injektion und systemischer Insulinwirkung.</w:t>
      </w:r>
    </w:p>
    <w:p>
      <w:r>
        <w:t>Insulinereignisse müssen als Menge, Zeitpunkt und Applikationsweg gespeichert werden. V1 konzentriert sich auf subkutanes Insulin.</w:t>
      </w:r>
    </w:p>
    <w:p>
      <w:pPr>
        <w:pStyle w:val="Heading1"/>
      </w:pPr>
      <w:r>
        <w:t>7. Verzögerte Insulinwirkung</w:t>
      </w:r>
    </w:p>
    <w:p>
      <w:r>
        <w:rPr>
          <w:rFonts w:ascii="Consolas" w:hAnsi="Consolas"/>
          <w:sz w:val="18"/>
        </w:rPr>
        <w:t>dX1/dt = -ka1*X1 + Sf1*ka1*I</w:t>
        <w:br/>
        <w:t>dX2/dt = -ka2*X2 + Sf2*ka2*I</w:t>
        <w:br/>
        <w:t>dX3/dt = -ka3*X3 + Sf3*ka3*I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State</w:t>
            </w:r>
          </w:p>
        </w:tc>
        <w:tc>
          <w:tcPr>
            <w:tcW w:type="dxa" w:w="4968"/>
          </w:tcPr>
          <w:p>
            <w:r>
              <w:t>Funktion</w:t>
            </w:r>
          </w:p>
        </w:tc>
      </w:tr>
      <w:tr>
        <w:tc>
          <w:tcPr>
            <w:tcW w:type="dxa" w:w="4968"/>
          </w:tcPr>
          <w:p>
            <w:r>
              <w:t>X1</w:t>
            </w:r>
          </w:p>
        </w:tc>
        <w:tc>
          <w:tcPr>
            <w:tcW w:type="dxa" w:w="4968"/>
          </w:tcPr>
          <w:p>
            <w:r>
              <w:t>Glukoseverteilung / Transport</w:t>
            </w:r>
          </w:p>
        </w:tc>
      </w:tr>
      <w:tr>
        <w:tc>
          <w:tcPr>
            <w:tcW w:type="dxa" w:w="4968"/>
          </w:tcPr>
          <w:p>
            <w:r>
              <w:t>X2</w:t>
            </w:r>
          </w:p>
        </w:tc>
        <w:tc>
          <w:tcPr>
            <w:tcW w:type="dxa" w:w="4968"/>
          </w:tcPr>
          <w:p>
            <w:r>
              <w:t>periphere Glukoseutilisation</w:t>
            </w:r>
          </w:p>
        </w:tc>
      </w:tr>
      <w:tr>
        <w:tc>
          <w:tcPr>
            <w:tcW w:type="dxa" w:w="4968"/>
          </w:tcPr>
          <w:p>
            <w:r>
              <w:t>X3</w:t>
            </w:r>
          </w:p>
        </w:tc>
        <w:tc>
          <w:tcPr>
            <w:tcW w:type="dxa" w:w="4968"/>
          </w:tcPr>
          <w:p>
            <w:r>
              <w:t>Unterdrückung der endogenen Glukoseproduktion</w:t>
            </w:r>
          </w:p>
        </w:tc>
      </w:tr>
    </w:tbl>
    <w:p>
      <w:r>
        <w:t>Die drei Zustände erlauben, dass dieselbe Insulinkonzentration unterschiedliche zeitliche Wirkprofile besitzt.</w:t>
      </w:r>
    </w:p>
    <w:p>
      <w:pPr>
        <w:pStyle w:val="Heading1"/>
      </w:pPr>
      <w:r>
        <w:t>8. Endogene Glukoseproduktion</w:t>
      </w:r>
    </w:p>
    <w:p>
      <w:r>
        <w:t>Die endogene Glukoseproduktion EGP wird als separater Wirkpfad geführt und durch den entsprechenden verzögerten Insulinwirkungszustand beeinflusst. Eine vollständige Gegenregulation durch Glukagon ist in V1 bewusst nicht Teil des Basismodells.</w:t>
      </w:r>
    </w:p>
    <w:p>
      <w:r>
        <w:t>Damit bleibt die Architektur erweiterbar, ohne V1 mit zusätzlichen physiologischen Subsystemen zu überladen.</w:t>
      </w:r>
    </w:p>
    <w:p>
      <w:pPr>
        <w:pStyle w:val="Heading1"/>
      </w:pPr>
      <w:r>
        <w:t>9. Mahlzeiten und Kohlenhydratabsorption</w:t>
      </w:r>
    </w:p>
    <w:p>
      <w:r>
        <w:t>V1 nutzt zunächst eine kompakte zweistufige Glukoseerscheinungs-Funktion. Sie ist als engineering-taugliche Vereinfachung vorgesehen; eine spätere Erweiterung auf ein detailliertes Dalla-Man-Magen-/Darmmodell bleibt möglich.</w:t>
      </w:r>
    </w:p>
    <w:p>
      <w:r>
        <w:rPr>
          <w:rFonts w:ascii="Consolas" w:hAnsi="Consolas"/>
          <w:sz w:val="18"/>
        </w:rPr>
        <w:t>dRa1/dt = -(Ra1 - Ag*uCHO)/tmaxG</w:t>
        <w:br/>
        <w:t>dRa/dt  = -(Ra - Ra1)/tmaxG</w:t>
      </w:r>
    </w:p>
    <w:p>
      <w:pPr>
        <w:pStyle w:val="ListBullet"/>
      </w:pPr>
      <w:r>
        <w:t>uCHO: Kohlenhydrateingang der Mahlzeit.</w:t>
      </w:r>
    </w:p>
    <w:p>
      <w:pPr>
        <w:pStyle w:val="ListBullet"/>
      </w:pPr>
      <w:r>
        <w:t>Ag: bioverfügbare Kohlenhydratfraktion.</w:t>
      </w:r>
    </w:p>
    <w:p>
      <w:pPr>
        <w:pStyle w:val="ListBullet"/>
      </w:pPr>
      <w:r>
        <w:t>tmaxG: Zeitparameter der Glukoseerscheinung.</w:t>
      </w:r>
    </w:p>
    <w:p>
      <w:pPr>
        <w:pStyle w:val="ListBullet"/>
      </w:pPr>
      <w:r>
        <w:t>Ra: Glukosezufluss in das systemische Modell.</w:t>
      </w:r>
    </w:p>
    <w:p>
      <w:r>
        <w:t>V1 muss zunächst eine saubere Trennung zwischen Mahlzeitenereignis und Absorptionsdynamik gewährleisten. Mischmahlzeiten und komplexe Magenentleerung sind spätere Ausbaustufen.</w:t>
      </w:r>
    </w:p>
    <w:p>
      <w:pPr>
        <w:pStyle w:val="Heading1"/>
      </w:pPr>
      <w:r>
        <w:t>10. Bewegung / Exercise</w:t>
      </w:r>
    </w:p>
    <w:p>
      <w:r>
        <w:t>Für Bewegung wird ein veröffentlichter, herzfrequenz-/intensitätsgetriebener Ansatz als Ausgangspunkt verwendet. Er modelliert eine schnelle Zunahme der insulinunabhängigen Glukoseaufnahme und eine langsamere Änderung der Insulinsensitivität.</w:t>
      </w:r>
    </w:p>
    <w:p>
      <w:r>
        <w:rPr>
          <w:rFonts w:ascii="Consolas" w:hAnsi="Consolas"/>
          <w:sz w:val="18"/>
        </w:rPr>
        <w:t>dY/dt = -(Y - (HR - HRb))/THR</w:t>
        <w:br/>
        <w:br/>
        <w:t>dZ/dt = -[f(Y)/Tin + 1/Tex] * Z + f(Y)</w:t>
        <w:br/>
        <w:br/>
        <w:t>f(Y) = (Y/(a*HRb))^n / (1 + (Y/(a*HRb))^n)</w:t>
      </w:r>
    </w:p>
    <w:p>
      <w:r>
        <w:t>Die folgenden Werte sind veröffentlichte Quellmodellwerte und ausdrücklich keine Nebel-Defaults: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Parameter</w:t>
            </w:r>
          </w:p>
        </w:tc>
        <w:tc>
          <w:tcPr>
            <w:tcW w:type="dxa" w:w="3312"/>
          </w:tcPr>
          <w:p>
            <w:r>
              <w:t>Quellwert</w:t>
            </w:r>
          </w:p>
        </w:tc>
        <w:tc>
          <w:tcPr>
            <w:tcW w:type="dxa" w:w="3312"/>
          </w:tcPr>
          <w:p>
            <w:r>
              <w:t>Hinweis</w:t>
            </w:r>
          </w:p>
        </w:tc>
      </w:tr>
      <w:tr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Quelle: Exercise-Modell</w:t>
            </w:r>
          </w:p>
        </w:tc>
      </w:tr>
      <w:tr>
        <w:tc>
          <w:tcPr>
            <w:tcW w:type="dxa" w:w="3312"/>
          </w:tcPr>
          <w:p>
            <w:r>
              <w:t>beta</w:t>
            </w:r>
          </w:p>
        </w:tc>
        <w:tc>
          <w:tcPr>
            <w:tcW w:type="dxa" w:w="3312"/>
          </w:tcPr>
          <w:p>
            <w:r>
              <w:t>0.01 bpm^-1</w:t>
            </w:r>
          </w:p>
        </w:tc>
        <w:tc>
          <w:tcPr>
            <w:tcW w:type="dxa" w:w="3312"/>
          </w:tcPr>
          <w:p>
            <w:r>
              <w:t>Quellmodellparameter</w:t>
            </w:r>
          </w:p>
        </w:tc>
      </w:tr>
      <w:tr>
        <w:tc>
          <w:tcPr>
            <w:tcW w:type="dxa" w:w="3312"/>
          </w:tcPr>
          <w:p>
            <w:r>
              <w:t>gamma</w:t>
            </w:r>
          </w:p>
        </w:tc>
        <w:tc>
          <w:tcPr>
            <w:tcW w:type="dxa" w:w="3312"/>
          </w:tcPr>
          <w:p>
            <w:r>
              <w:t>1e-7</w:t>
            </w:r>
          </w:p>
        </w:tc>
        <w:tc>
          <w:tcPr>
            <w:tcW w:type="dxa" w:w="3312"/>
          </w:tcPr>
          <w:p>
            <w:r>
              <w:t>Quellmodellparameter</w:t>
            </w:r>
          </w:p>
        </w:tc>
      </w:tr>
      <w:tr>
        <w:tc>
          <w:tcPr>
            <w:tcW w:type="dxa" w:w="3312"/>
          </w:tcPr>
          <w:p>
            <w:r>
              <w:t>THR</w:t>
            </w:r>
          </w:p>
        </w:tc>
        <w:tc>
          <w:tcPr>
            <w:tcW w:type="dxa" w:w="3312"/>
          </w:tcPr>
          <w:p>
            <w:r>
              <w:t>5 min</w:t>
            </w:r>
          </w:p>
        </w:tc>
        <w:tc>
          <w:tcPr>
            <w:tcW w:type="dxa" w:w="3312"/>
          </w:tcPr>
          <w:p>
            <w:r>
              <w:t>Zeitkonstante</w:t>
            </w:r>
          </w:p>
        </w:tc>
      </w:tr>
      <w:tr>
        <w:tc>
          <w:tcPr>
            <w:tcW w:type="dxa" w:w="3312"/>
          </w:tcPr>
          <w:p>
            <w:r>
              <w:t>Tin</w:t>
            </w:r>
          </w:p>
        </w:tc>
        <w:tc>
          <w:tcPr>
            <w:tcW w:type="dxa" w:w="3312"/>
          </w:tcPr>
          <w:p>
            <w:r>
              <w:t>1 min</w:t>
            </w:r>
          </w:p>
        </w:tc>
        <w:tc>
          <w:tcPr>
            <w:tcW w:type="dxa" w:w="3312"/>
          </w:tcPr>
          <w:p>
            <w:r>
              <w:t>Onset</w:t>
            </w:r>
          </w:p>
        </w:tc>
      </w:tr>
      <w:tr>
        <w:tc>
          <w:tcPr>
            <w:tcW w:type="dxa" w:w="3312"/>
          </w:tcPr>
          <w:p>
            <w:r>
              <w:t>Tex</w:t>
            </w:r>
          </w:p>
        </w:tc>
        <w:tc>
          <w:tcPr>
            <w:tcW w:type="dxa" w:w="3312"/>
          </w:tcPr>
          <w:p>
            <w:r>
              <w:t>600 min</w:t>
            </w:r>
          </w:p>
        </w:tc>
        <w:tc>
          <w:tcPr>
            <w:tcW w:type="dxa" w:w="3312"/>
          </w:tcPr>
          <w:p>
            <w:r>
              <w:t>Offset / verlängerte Wirkung</w:t>
            </w:r>
          </w:p>
        </w:tc>
      </w:tr>
      <w:tr>
        <w:tc>
          <w:tcPr>
            <w:tcW w:type="dxa" w:w="3312"/>
          </w:tcPr>
          <w:p>
            <w:r>
              <w:t>n</w:t>
            </w:r>
          </w:p>
        </w:tc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Formparameter</w:t>
            </w:r>
          </w:p>
        </w:tc>
      </w:tr>
    </w:tbl>
    <w:p>
      <w:r>
        <w:t>Vor Freigabe als Nebel-V1 müssen Definition, Einheiten und Rolle jedes Exercise-Parameters gegen die konkrete Quellimplementierung geprüft werden.</w:t>
      </w:r>
    </w:p>
    <w:p>
      <w:pPr>
        <w:pStyle w:val="Heading1"/>
      </w:pPr>
      <w:r>
        <w:t>11. CGM- und Beobachtungsschicht</w:t>
      </w:r>
    </w:p>
    <w:p>
      <w:r>
        <w:t>Die CGM-Schicht darf nicht mit der physiologischen Glukose verwechselt werden. CGM misst interstitielle Glukose und kann bei schnellen Änderungen gegenüber Blut-/Plasmaglukose verzögert sein.</w:t>
      </w:r>
    </w:p>
    <w:p>
      <w:r>
        <w:rPr>
          <w:rFonts w:ascii="Consolas" w:hAnsi="Consolas"/>
          <w:sz w:val="18"/>
        </w:rPr>
        <w:t>dGint/dt = (G - Gint)/Tphys</w:t>
        <w:br/>
        <w:t>Gsensor   = Filter(Gint + epsilon)</w:t>
      </w:r>
    </w:p>
    <w:p>
      <w:pPr>
        <w:pStyle w:val="ListBullet"/>
      </w:pPr>
      <w:r>
        <w:t>Tphys wird evidence-constrained geführt.</w:t>
      </w:r>
    </w:p>
    <w:p>
      <w:pPr>
        <w:pStyle w:val="ListBullet"/>
      </w:pPr>
      <w:r>
        <w:t>Sensorrauschen epsilon ist ein Beobachtungsfehler, kein physiologischer Zustand.</w:t>
      </w:r>
    </w:p>
    <w:p>
      <w:pPr>
        <w:pStyle w:val="ListBullet"/>
      </w:pPr>
      <w:r>
        <w:t>Filterung wird separat implementiert.</w:t>
      </w:r>
    </w:p>
    <w:p>
      <w:pPr>
        <w:pStyle w:val="ListBullet"/>
      </w:pPr>
      <w:r>
        <w:t>Druck-/Bewegungsartefakte, Alterung und Drift sind in V1 nicht zwingend enthalten.</w:t>
      </w:r>
    </w:p>
    <w:p>
      <w:pPr>
        <w:pStyle w:val="Heading1"/>
      </w:pPr>
      <w:r>
        <w:t>12. Parameter-Registry</w:t>
      </w:r>
    </w:p>
    <w:p>
      <w:r>
        <w:t>Jeder Parameter erhält mindestens: Name, Einheit, Definition, Quelle, Population/Kontext, nominalen Wert, plausible Range oder Distribution, Konfidenz, Kalibrierstatus und Validierungsszenarien.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Bereich</w:t>
            </w:r>
          </w:p>
        </w:tc>
        <w:tc>
          <w:tcPr>
            <w:tcW w:type="dxa" w:w="4968"/>
          </w:tcPr>
          <w:p>
            <w:r>
              <w:t>Parameter</w:t>
            </w:r>
          </w:p>
        </w:tc>
      </w:tr>
      <w:tr>
        <w:tc>
          <w:tcPr>
            <w:tcW w:type="dxa" w:w="4968"/>
          </w:tcPr>
          <w:p>
            <w:r>
              <w:t>Glukose</w:t>
            </w:r>
          </w:p>
        </w:tc>
        <w:tc>
          <w:tcPr>
            <w:tcW w:type="dxa" w:w="4968"/>
          </w:tcPr>
          <w:p>
            <w:r>
              <w:t>VG, k1/k2 bzw. quelläquivalente Transferparameter, F01/F01c, EGP0</w:t>
            </w:r>
          </w:p>
        </w:tc>
      </w:tr>
      <w:tr>
        <w:tc>
          <w:tcPr>
            <w:tcW w:type="dxa" w:w="4968"/>
          </w:tcPr>
          <w:p>
            <w:r>
              <w:t>Insulinwirkung</w:t>
            </w:r>
          </w:p>
        </w:tc>
        <w:tc>
          <w:tcPr>
            <w:tcW w:type="dxa" w:w="4968"/>
          </w:tcPr>
          <w:p>
            <w:r>
              <w:t>Sf1, Sf2, Sf3, ka1, ka2, ka3</w:t>
            </w:r>
          </w:p>
        </w:tc>
      </w:tr>
      <w:tr>
        <w:tc>
          <w:tcPr>
            <w:tcW w:type="dxa" w:w="4968"/>
          </w:tcPr>
          <w:p>
            <w:r>
              <w:t>Insulin</w:t>
            </w:r>
          </w:p>
        </w:tc>
        <w:tc>
          <w:tcPr>
            <w:tcW w:type="dxa" w:w="4968"/>
          </w:tcPr>
          <w:p>
            <w:r>
              <w:t>tmaxI, VI, ke</w:t>
            </w:r>
          </w:p>
        </w:tc>
      </w:tr>
      <w:tr>
        <w:tc>
          <w:tcPr>
            <w:tcW w:type="dxa" w:w="4968"/>
          </w:tcPr>
          <w:p>
            <w:r>
              <w:t>Mahlzeit</w:t>
            </w:r>
          </w:p>
        </w:tc>
        <w:tc>
          <w:tcPr>
            <w:tcW w:type="dxa" w:w="4968"/>
          </w:tcPr>
          <w:p>
            <w:r>
              <w:t>Ag, tmaxG, Km, Vm0, Vmx</w:t>
            </w:r>
          </w:p>
        </w:tc>
      </w:tr>
      <w:tr>
        <w:tc>
          <w:tcPr>
            <w:tcW w:type="dxa" w:w="4968"/>
          </w:tcPr>
          <w:p>
            <w:r>
              <w:t>Exercise</w:t>
            </w:r>
          </w:p>
        </w:tc>
        <w:tc>
          <w:tcPr>
            <w:tcW w:type="dxa" w:w="4968"/>
          </w:tcPr>
          <w:p>
            <w:r>
              <w:t>THR, Tin, Tex, a, n, beta, gamma</w:t>
            </w:r>
          </w:p>
        </w:tc>
      </w:tr>
      <w:tr>
        <w:tc>
          <w:tcPr>
            <w:tcW w:type="dxa" w:w="4968"/>
          </w:tcPr>
          <w:p>
            <w:r>
              <w:t>CGM</w:t>
            </w:r>
          </w:p>
        </w:tc>
        <w:tc>
          <w:tcPr>
            <w:tcW w:type="dxa" w:w="4968"/>
          </w:tcPr>
          <w:p>
            <w:r>
              <w:t>Tphys, Sensorrauschen / Filterparameter</w:t>
            </w:r>
          </w:p>
        </w:tc>
      </w:tr>
    </w:tbl>
    <w:p>
      <w:r>
        <w:t>Parameter dürfen nicht ausschließlich in Code-Konstanten abgelegt werden. Eine zentrale Registry ist Voraussetzung für Reproduzierbarkeit und spätere Populationen.</w:t>
      </w:r>
    </w:p>
    <w:p>
      <w:pPr>
        <w:pStyle w:val="Heading1"/>
      </w:pPr>
      <w:r>
        <w:t>13. Parameterpolitik</w:t>
      </w:r>
    </w:p>
    <w:p>
      <w:pPr>
        <w:pStyle w:val="ListBullet"/>
      </w:pPr>
      <w:r>
        <w:t>Quellparameter bleiben mit Literaturstelle und Kontext erhalten.</w:t>
      </w:r>
    </w:p>
    <w:p>
      <w:pPr>
        <w:pStyle w:val="ListBullet"/>
      </w:pPr>
      <w:r>
        <w:t>Kalibrierte Nebel-Parameter werden klar als kalibriert gekennzeichnet.</w:t>
      </w:r>
    </w:p>
    <w:p>
      <w:pPr>
        <w:pStyle w:val="ListBullet"/>
      </w:pPr>
      <w:r>
        <w:t>Ein Parameter darf nicht gleichzeitig als Literaturwert und als empirisch optimierter Wert ausgegeben werden.</w:t>
      </w:r>
    </w:p>
    <w:p>
      <w:pPr>
        <w:pStyle w:val="ListBullet"/>
      </w:pPr>
      <w:r>
        <w:t>Ranges/Verteilungen sind nur dann zu verwenden, wenn die Quelle sie ausreichend stützt.</w:t>
      </w:r>
    </w:p>
    <w:p>
      <w:pPr>
        <w:pStyle w:val="ListBullet"/>
      </w:pPr>
      <w:r>
        <w:t>Keine scheinpräzisen Individualparameter ohne Datenbasis.</w:t>
      </w:r>
    </w:p>
    <w:p>
      <w:pPr>
        <w:pStyle w:val="Heading1"/>
      </w:pPr>
      <w:r>
        <w:t>14. Numerische Integration</w:t>
      </w:r>
    </w:p>
    <w:p>
      <w:pPr>
        <w:pStyle w:val="ListBullet"/>
      </w:pPr>
      <w:r>
        <w:t>Zielgröße für V1: 1-Minuten-Zeitschritt.</w:t>
      </w:r>
    </w:p>
    <w:p>
      <w:pPr>
        <w:pStyle w:val="ListBullet"/>
      </w:pPr>
      <w:r>
        <w:t>Konvergenztest gegen 0,5 min und/oder 0,25 min.</w:t>
      </w:r>
    </w:p>
    <w:p>
      <w:pPr>
        <w:pStyle w:val="ListBullet"/>
      </w:pPr>
      <w:r>
        <w:t>Ereignisse werden an exakten Zeitgrenzen verarbeitet.</w:t>
      </w:r>
    </w:p>
    <w:p>
      <w:pPr>
        <w:pStyle w:val="ListBullet"/>
      </w:pPr>
      <w:r>
        <w:t>Physiologisch nicht sinnvolle negative Zustände werden verhindert.</w:t>
      </w:r>
    </w:p>
    <w:p>
      <w:pPr>
        <w:pStyle w:val="ListBullet"/>
      </w:pPr>
      <w:r>
        <w:t>Lange Simulationen werden auf Stabilität geprüft.</w:t>
      </w:r>
    </w:p>
    <w:p>
      <w:pPr>
        <w:pStyle w:val="ListBullet"/>
      </w:pPr>
      <w:r>
        <w:t>Ein identisches Event-Set muss deterministisch denselben Verlauf reproduzieren.</w:t>
      </w:r>
    </w:p>
    <w:p>
      <w:r>
        <w:t>Die Schrittweite ist eine Engineering-Entscheidung und kein physiologischer Parameter.</w:t>
      </w:r>
    </w:p>
    <w:p>
      <w:pPr>
        <w:pStyle w:val="Heading1"/>
      </w:pPr>
      <w:r>
        <w:t>15. Validierungshierarchie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Stufe</w:t>
            </w:r>
          </w:p>
        </w:tc>
        <w:tc>
          <w:tcPr>
            <w:tcW w:type="dxa" w:w="4968"/>
          </w:tcPr>
          <w:p>
            <w:r>
              <w:t>Prüfung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Gleichungs- und Einheitenprüfung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Subsystemtests: Insulin, Mahlzeit, Exercise, Glukose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Integrierte physiologische Szenarien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Population / individuelle Variabilität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CGM-Beobachtungsmodell</w:t>
            </w:r>
          </w:p>
        </w:tc>
      </w:tr>
      <w:tr>
        <w:tc>
          <w:tcPr>
            <w:tcW w:type="dxa" w:w="4968"/>
          </w:tcPr>
          <w:p>
            <w:r>
              <w:t>6</w:t>
            </w:r>
          </w:p>
        </w:tc>
        <w:tc>
          <w:tcPr>
            <w:tcW w:type="dxa" w:w="4968"/>
          </w:tcPr>
          <w:p>
            <w:r>
              <w:t>Pädagogische Szenarien und UX</w:t>
            </w:r>
          </w:p>
        </w:tc>
      </w:tr>
    </w:tbl>
    <w:p>
      <w:r>
        <w:t>Jede höhere Ebene darf erst als belastbar gelten, wenn die darunterliegenden Ebenen reproduzierbar funktionieren.</w:t>
      </w:r>
    </w:p>
    <w:p>
      <w:pPr>
        <w:pStyle w:val="Heading1"/>
      </w:pPr>
      <w:r>
        <w:t>16. V1 bewusst nicht enthalten</w:t>
      </w:r>
    </w:p>
    <w:p>
      <w:pPr>
        <w:pStyle w:val="ListBullet"/>
      </w:pPr>
      <w:r>
        <w:t>Keine vollständige Reproduktion der UVA/Padova-Simulation.</w:t>
      </w:r>
    </w:p>
    <w:p>
      <w:pPr>
        <w:pStyle w:val="ListBullet"/>
      </w:pPr>
      <w:r>
        <w:t>Kein vollständiges Glukagon-/Gegenregulationsmodell.</w:t>
      </w:r>
    </w:p>
    <w:p>
      <w:pPr>
        <w:pStyle w:val="ListBullet"/>
      </w:pPr>
      <w:r>
        <w:t>Keine detaillierte Fett- und Proteinmetabolik.</w:t>
      </w:r>
    </w:p>
    <w:p>
      <w:pPr>
        <w:pStyle w:val="ListBullet"/>
      </w:pPr>
      <w:r>
        <w:t>Keine beliebigen Stress-, Krankheits- oder Schlaf-Multiplikatoren.</w:t>
      </w:r>
    </w:p>
    <w:p>
      <w:pPr>
        <w:pStyle w:val="ListBullet"/>
      </w:pPr>
      <w:r>
        <w:t>Keine Sensoralterung, kein komplexes Drift-/Druckartefaktmodell.</w:t>
      </w:r>
    </w:p>
    <w:p>
      <w:pPr>
        <w:pStyle w:val="ListBullet"/>
      </w:pPr>
      <w:r>
        <w:t>Keine klinischen Insulindosisempfehlungen.</w:t>
      </w:r>
    </w:p>
    <w:p>
      <w:pPr>
        <w:pStyle w:val="ListBullet"/>
      </w:pPr>
      <w:r>
        <w:t>Keine automatische medizinische Beratung.</w:t>
      </w:r>
    </w:p>
    <w:p>
      <w:pPr>
        <w:pStyle w:val="Heading1"/>
      </w:pPr>
      <w:r>
        <w:t>17. Wissenschaftliche Referenzfamilien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Quelle / Modellfamilie</w:t>
            </w:r>
          </w:p>
        </w:tc>
        <w:tc>
          <w:tcPr>
            <w:tcW w:type="dxa" w:w="4968"/>
          </w:tcPr>
          <w:p>
            <w:r>
              <w:t>Rolle in Nebel</w:t>
            </w:r>
          </w:p>
        </w:tc>
      </w:tr>
      <w:tr>
        <w:tc>
          <w:tcPr>
            <w:tcW w:type="dxa" w:w="4968"/>
          </w:tcPr>
          <w:p>
            <w:r>
              <w:t>Bergman Minimal Model</w:t>
            </w:r>
          </w:p>
        </w:tc>
        <w:tc>
          <w:tcPr>
            <w:tcW w:type="dxa" w:w="4968"/>
          </w:tcPr>
          <w:p>
            <w:r>
              <w:t>Historische / konzeptionelle Grundlage für Glukose-Insulin-Dynamik</w:t>
            </w:r>
          </w:p>
        </w:tc>
      </w:tr>
      <w:tr>
        <w:tc>
          <w:tcPr>
            <w:tcW w:type="dxa" w:w="4968"/>
          </w:tcPr>
          <w:p>
            <w:r>
              <w:t>Hovorka</w:t>
            </w:r>
          </w:p>
        </w:tc>
        <w:tc>
          <w:tcPr>
            <w:tcW w:type="dxa" w:w="4968"/>
          </w:tcPr>
          <w:p>
            <w:r>
              <w:t>Kompakte Zwei-Kompartiment-Glukose-, Insulin- und Wirkungsstruktur</w:t>
            </w:r>
          </w:p>
        </w:tc>
      </w:tr>
      <w:tr>
        <w:tc>
          <w:tcPr>
            <w:tcW w:type="dxa" w:w="4968"/>
          </w:tcPr>
          <w:p>
            <w:r>
              <w:t>Dalla Man</w:t>
            </w:r>
          </w:p>
        </w:tc>
        <w:tc>
          <w:tcPr>
            <w:tcW w:type="dxa" w:w="4968"/>
          </w:tcPr>
          <w:p>
            <w:r>
              <w:t>Mahlzeiten-/Glukoseappearance-Modell; Upgrade-Pfad</w:t>
            </w:r>
          </w:p>
        </w:tc>
      </w:tr>
      <w:tr>
        <w:tc>
          <w:tcPr>
            <w:tcW w:type="dxa" w:w="4968"/>
          </w:tcPr>
          <w:p>
            <w:r>
              <w:t>UVA/Padova</w:t>
            </w:r>
          </w:p>
        </w:tc>
        <w:tc>
          <w:tcPr>
            <w:tcW w:type="dxa" w:w="4968"/>
          </w:tcPr>
          <w:p>
            <w:r>
              <w:t>Referenz für integrierte T1D-Simulation und Population</w:t>
            </w:r>
          </w:p>
        </w:tc>
      </w:tr>
      <w:tr>
        <w:tc>
          <w:tcPr>
            <w:tcW w:type="dxa" w:w="4968"/>
          </w:tcPr>
          <w:p>
            <w:r>
              <w:t>Exercise model</w:t>
            </w:r>
          </w:p>
        </w:tc>
        <w:tc>
          <w:tcPr>
            <w:tcW w:type="dxa" w:w="4968"/>
          </w:tcPr>
          <w:p>
            <w:r>
              <w:t>Ausgangspunkt für zeitabhängige Bewegungseffekte</w:t>
            </w:r>
          </w:p>
        </w:tc>
      </w:tr>
      <w:tr>
        <w:tc>
          <w:tcPr>
            <w:tcW w:type="dxa" w:w="4968"/>
          </w:tcPr>
          <w:p>
            <w:r>
              <w:t>ISPAD / ADA</w:t>
            </w:r>
          </w:p>
        </w:tc>
        <w:tc>
          <w:tcPr>
            <w:tcW w:type="dxa" w:w="4968"/>
          </w:tcPr>
          <w:p>
            <w:r>
              <w:t>CGM- und Hypoglykämie-Kontext; keine Engine-Gleichungen</w:t>
            </w:r>
          </w:p>
        </w:tc>
      </w:tr>
    </w:tbl>
    <w:p>
      <w:r>
        <w:t>Die Referenzfamilien dienen unterschiedlichen Zwecken. Es ist nicht zulässig, Parameter oder Gleichungen verschiedener Modelle ohne explizite Harmonisierung zu mischen.</w:t>
      </w:r>
    </w:p>
    <w:p>
      <w:pPr>
        <w:pStyle w:val="Heading1"/>
      </w:pPr>
      <w:r>
        <w:t>18. Implementierungsreihenfolge</w:t>
      </w:r>
    </w:p>
    <w:p>
      <w:pPr>
        <w:pStyle w:val="ListBullet"/>
      </w:pPr>
      <w:r>
        <w:t>1. Zustandsobjekt und Einheiten festlegen.</w:t>
      </w:r>
    </w:p>
    <w:p>
      <w:pPr>
        <w:pStyle w:val="ListBullet"/>
      </w:pPr>
      <w:r>
        <w:t>2. Event-System für Mahlzeit, Insulin und Bewegung bauen.</w:t>
      </w:r>
    </w:p>
    <w:p>
      <w:pPr>
        <w:pStyle w:val="ListBullet"/>
      </w:pPr>
      <w:r>
        <w:t>3. Glukose-/Insulin-Basismodell isoliert testen.</w:t>
      </w:r>
    </w:p>
    <w:p>
      <w:pPr>
        <w:pStyle w:val="ListBullet"/>
      </w:pPr>
      <w:r>
        <w:t>4. Verzögerte Insulinwirkung ergänzen.</w:t>
      </w:r>
    </w:p>
    <w:p>
      <w:pPr>
        <w:pStyle w:val="ListBullet"/>
      </w:pPr>
      <w:r>
        <w:t>5. Mahlzeitenabsorption ergänzen.</w:t>
      </w:r>
    </w:p>
    <w:p>
      <w:pPr>
        <w:pStyle w:val="ListBullet"/>
      </w:pPr>
      <w:r>
        <w:t>6. Exercise-Modul ergänzen.</w:t>
      </w:r>
    </w:p>
    <w:p>
      <w:pPr>
        <w:pStyle w:val="ListBullet"/>
      </w:pPr>
      <w:r>
        <w:t>7. CGM als getrennte Beobachtungsschicht ergänzen.</w:t>
      </w:r>
    </w:p>
    <w:p>
      <w:pPr>
        <w:pStyle w:val="ListBullet"/>
      </w:pPr>
      <w:r>
        <w:t>8. Parameter-Registry anschließen.</w:t>
      </w:r>
    </w:p>
    <w:p>
      <w:pPr>
        <w:pStyle w:val="ListBullet"/>
      </w:pPr>
      <w:r>
        <w:t>9. Deterministische Replay- und Regressionstests bauen.</w:t>
      </w:r>
    </w:p>
    <w:p>
      <w:pPr>
        <w:pStyle w:val="ListBullet"/>
      </w:pPr>
      <w:r>
        <w:t>10. Erst danach UI und Szenario-Logik eng an die Engine koppeln.</w:t>
      </w:r>
    </w:p>
    <w:p>
      <w:pPr>
        <w:pStyle w:val="Heading1"/>
      </w:pPr>
      <w:r>
        <w:t>19. Akzeptanzkriterien für V1</w:t>
      </w:r>
    </w:p>
    <w:p>
      <w:pPr>
        <w:pStyle w:val="ListBullet"/>
      </w:pPr>
      <w:r>
        <w:t>Ein identisches Szenario liefert bei erneutem Lauf identische Ergebnisse.</w:t>
      </w:r>
    </w:p>
    <w:p>
      <w:pPr>
        <w:pStyle w:val="ListBullet"/>
      </w:pPr>
      <w:r>
        <w:t>Mahlzeit, Insulin und Bewegung erzeugen getrennte, nachvollziehbare Zustandsänderungen.</w:t>
      </w:r>
    </w:p>
    <w:p>
      <w:pPr>
        <w:pStyle w:val="ListBullet"/>
      </w:pPr>
      <w:r>
        <w:t>Die CGM-Ausgabe kann von der internen Glukose unterschieden werden.</w:t>
      </w:r>
    </w:p>
    <w:p>
      <w:pPr>
        <w:pStyle w:val="ListBullet"/>
      </w:pPr>
      <w:r>
        <w:t>Alle aktiven Parameter sind versioniert und rückverfolgbar.</w:t>
      </w:r>
    </w:p>
    <w:p>
      <w:pPr>
        <w:pStyle w:val="ListBullet"/>
      </w:pPr>
      <w:r>
        <w:t>Einheitenfehler werden durch Tests erkannt.</w:t>
      </w:r>
    </w:p>
    <w:p>
      <w:pPr>
        <w:pStyle w:val="ListBullet"/>
      </w:pPr>
      <w:r>
        <w:t>Die Engine kann ohne UI ausgeführt und getestet werden.</w:t>
      </w:r>
    </w:p>
    <w:p>
      <w:pPr>
        <w:pStyle w:val="ListBullet"/>
      </w:pPr>
      <w:r>
        <w:t>Die Architektur erlaubt spätere Erweiterungen ohne Umbau der UI-Schicht.</w:t>
      </w:r>
    </w:p>
    <w:p>
      <w:pPr>
        <w:pStyle w:val="Heading1"/>
      </w:pPr>
      <w:r>
        <w:t>20. Wichtiger wissenschaftlicher Vorbehalt</w:t>
      </w:r>
    </w:p>
    <w:p>
      <w:r>
        <w:t>Diese Spezifikation ist eine technische Forschungs- und Bildungsgrundlage. Sie ist weder eine klinische Validierung noch eine medizinische Dosierungsanleitung. Die publizierten Modelle sind kontextabhängig; ihre Parameter wurden für bestimmte Populationen, Experimente oder Simulatoren bestimmt. Vor jeder Nutzung mit realen Therapieentscheidungen wären wesentlich weitergehende Validierung, Sicherheitsmechanismen und regulatorische Anforderungen erforderlich.</w:t>
      </w:r>
    </w:p>
    <w:p>
      <w:pPr>
        <w:pStyle w:val="Heading1"/>
      </w:pPr>
      <w:r>
        <w:t>21. Nächster Forschungsschritt</w:t>
      </w:r>
    </w:p>
    <w:p>
      <w:r>
        <w:t>Vor der eigentlichen Implementierung sollten die endgültigen Quellgleichungen für die ausgewählte V1-Kombination in einer kleinen mathematischen Referenzdatei festgeschrieben werden. Danach werden Einheiten, Parameterwerte und Testfälle gegen diese Referenz geprüft. Erst dann sollte die Software-Implementierung beginnen.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