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Nebel — Scientific Engine Foundation</w:t>
      </w:r>
    </w:p>
    <w:p>
      <w:pPr>
        <w:jc w:val="center"/>
      </w:pPr>
      <w:r>
        <w:rPr>
          <w:i/>
        </w:rPr>
        <w:t>Evidence base, model candidates, scope and validation strategy</w:t>
      </w:r>
    </w:p>
    <w:p>
      <w:pPr>
        <w:spacing w:after="100"/>
      </w:pPr>
      <w:r>
        <w:rPr>
          <w:b w:val="0"/>
        </w:rPr>
        <w:t>This document defines the scientific starting point for a new Type 1 diabetes / glucose–insulin simulation engine. The existing prototype is treated exclusively as a UX and interaction prototype. No prototype equation, coefficient, timing constant or implementation detail is a physiological ground truth.</w:t>
      </w:r>
    </w:p>
    <w:p>
      <w:pPr>
        <w:spacing w:after="100"/>
      </w:pPr>
      <w:r>
        <w:rPr>
          <w:b w:val="0"/>
        </w:rPr>
        <w:t>The goal is a transparent educational simulation: scientifically grounded, deliberately simpler than a clinical research simulator, and structured so that every important assumption can be traced to evidence or explicitly labeled as a modeling choice.</w:t>
      </w:r>
    </w:p>
    <w:p>
      <w:pPr>
        <w:pStyle w:val="Heading1"/>
      </w:pPr>
      <w:r>
        <w:t>1. Prototype vs. engine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Prototype</w:t>
            </w:r>
          </w:p>
        </w:tc>
        <w:tc>
          <w:tcPr>
            <w:tcW w:type="dxa" w:w="5040"/>
            <w:vAlign w:val="center"/>
            <w:shd w:fill="EDEDED"/>
          </w:tcPr>
          <w:p>
            <w:r>
              <w:rPr>
                <w:b/>
              </w:rPr>
              <w:t>New engine</w:t>
            </w:r>
          </w:p>
        </w:tc>
      </w:tr>
      <w:tr>
        <w:tc>
          <w:tcPr>
            <w:tcW w:type="dxa" w:w="5040"/>
          </w:tcPr>
          <w:p>
            <w:r>
              <w:t>UX / interaction exploration</w:t>
            </w:r>
          </w:p>
        </w:tc>
        <w:tc>
          <w:tcPr>
            <w:tcW w:type="dxa" w:w="5040"/>
          </w:tcPr>
          <w:p>
            <w:r>
              <w:t>Physiological and mathematical model</w:t>
            </w:r>
          </w:p>
        </w:tc>
      </w:tr>
      <w:tr>
        <w:tc>
          <w:tcPr>
            <w:tcW w:type="dxa" w:w="5040"/>
          </w:tcPr>
          <w:p>
            <w:r>
              <w:t>Tests how the simulation feels</w:t>
            </w:r>
          </w:p>
        </w:tc>
        <w:tc>
          <w:tcPr>
            <w:tcW w:type="dxa" w:w="5040"/>
          </w:tcPr>
          <w:p>
            <w:r>
              <w:t>Defines how glucose, insulin and events evolve</w:t>
            </w:r>
          </w:p>
        </w:tc>
      </w:tr>
      <w:tr>
        <w:tc>
          <w:tcPr>
            <w:tcW w:type="dxa" w:w="5040"/>
          </w:tcPr>
          <w:p>
            <w:r>
              <w:t>Useful for information hierarchy and controls</w:t>
            </w:r>
          </w:p>
        </w:tc>
        <w:tc>
          <w:tcPr>
            <w:tcW w:type="dxa" w:w="5040"/>
          </w:tcPr>
          <w:p>
            <w:r>
              <w:t>Uses documented models and validation</w:t>
            </w:r>
          </w:p>
        </w:tc>
      </w:tr>
      <w:tr>
        <w:tc>
          <w:tcPr>
            <w:tcW w:type="dxa" w:w="5040"/>
          </w:tcPr>
          <w:p>
            <w:r>
              <w:t>May contain placeholder formulas</w:t>
            </w:r>
          </w:p>
        </w:tc>
        <w:tc>
          <w:tcPr>
            <w:tcW w:type="dxa" w:w="5040"/>
          </w:tcPr>
          <w:p>
            <w:r>
              <w:t>No placeholder parameter is treated as truth</w:t>
            </w:r>
          </w:p>
        </w:tc>
      </w:tr>
      <w:tr>
        <w:tc>
          <w:tcPr>
            <w:tcW w:type="dxa" w:w="5040"/>
          </w:tcPr>
          <w:p>
            <w:r>
              <w:t>Can change freely</w:t>
            </w:r>
          </w:p>
        </w:tc>
        <w:tc>
          <w:tcPr>
            <w:tcW w:type="dxa" w:w="5040"/>
          </w:tcPr>
          <w:p>
            <w:r>
              <w:t>Changes require evidence or a documented decision</w:t>
            </w:r>
          </w:p>
        </w:tc>
      </w:tr>
    </w:tbl>
    <w:p/>
    <w:p>
      <w:pPr>
        <w:spacing w:after="100"/>
      </w:pPr>
      <w:r>
        <w:rPr>
          <w:b w:val="0"/>
        </w:rPr>
        <w:t>The prototype therefore contributes only experience requirements: what users can change, what should be visible, and how consequences should be communicated. The engine starts from scientific literature.</w:t>
      </w:r>
    </w:p>
    <w:p>
      <w:pPr>
        <w:pStyle w:val="Heading1"/>
      </w:pPr>
      <w:r>
        <w:t>2. Evidence hierarchy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Level</w:t>
            </w:r>
          </w:p>
        </w:tc>
        <w:tc>
          <w:tcPr>
            <w:tcW w:type="dxa" w:w="5040"/>
            <w:vAlign w:val="center"/>
            <w:shd w:fill="EDEDED"/>
          </w:tcPr>
          <w:p>
            <w:r>
              <w:rPr>
                <w:b/>
              </w:rPr>
              <w:t>Use</w:t>
            </w:r>
          </w:p>
        </w:tc>
      </w:tr>
      <w:tr>
        <w:tc>
          <w:tcPr>
            <w:tcW w:type="dxa" w:w="5040"/>
          </w:tcPr>
          <w:p>
            <w:r>
              <w:t>Primary physiological research</w:t>
            </w:r>
          </w:p>
        </w:tc>
        <w:tc>
          <w:tcPr>
            <w:tcW w:type="dxa" w:w="5040"/>
          </w:tcPr>
          <w:p>
            <w:r>
              <w:t>Equations, mechanisms, parameterization and validation data</w:t>
            </w:r>
          </w:p>
        </w:tc>
      </w:tr>
      <w:tr>
        <w:tc>
          <w:tcPr>
            <w:tcW w:type="dxa" w:w="5040"/>
          </w:tcPr>
          <w:p>
            <w:r>
              <w:t>Established simulation models</w:t>
            </w:r>
          </w:p>
        </w:tc>
        <w:tc>
          <w:tcPr>
            <w:tcW w:type="dxa" w:w="5040"/>
          </w:tcPr>
          <w:p>
            <w:r>
              <w:t>Structural reference and benchmark behavior</w:t>
            </w:r>
          </w:p>
        </w:tc>
      </w:tr>
      <w:tr>
        <w:tc>
          <w:tcPr>
            <w:tcW w:type="dxa" w:w="5040"/>
          </w:tcPr>
          <w:p>
            <w:r>
              <w:t>ADA / ISPAD / consensus guidance</w:t>
            </w:r>
          </w:p>
        </w:tc>
        <w:tc>
          <w:tcPr>
            <w:tcW w:type="dxa" w:w="5040"/>
          </w:tcPr>
          <w:p>
            <w:r>
              <w:t>Clinical terminology, thresholds and real-world behavior</w:t>
            </w:r>
          </w:p>
        </w:tc>
      </w:tr>
      <w:tr>
        <w:tc>
          <w:tcPr>
            <w:tcW w:type="dxa" w:w="5040"/>
          </w:tcPr>
          <w:p>
            <w:r>
              <w:t>Open-source implementations</w:t>
            </w:r>
          </w:p>
        </w:tc>
        <w:tc>
          <w:tcPr>
            <w:tcW w:type="dxa" w:w="5040"/>
          </w:tcPr>
          <w:p>
            <w:r>
              <w:t>Implementation cross-checks and reproducible test scenarios</w:t>
            </w:r>
          </w:p>
        </w:tc>
      </w:tr>
      <w:tr>
        <w:tc>
          <w:tcPr>
            <w:tcW w:type="dxa" w:w="5040"/>
          </w:tcPr>
          <w:p>
            <w:r>
              <w:t>Educational systems</w:t>
            </w:r>
          </w:p>
        </w:tc>
        <w:tc>
          <w:tcPr>
            <w:tcW w:type="dxa" w:w="5040"/>
          </w:tcPr>
          <w:p>
            <w:r>
              <w:t>Interaction and learning design only</w:t>
            </w:r>
          </w:p>
        </w:tc>
      </w:tr>
    </w:tbl>
    <w:p/>
    <w:p>
      <w:pPr>
        <w:spacing w:after="100"/>
      </w:pPr>
      <w:r>
        <w:rPr>
          <w:b w:val="0"/>
        </w:rPr>
        <w:t>A useful rule is: physiology comes from physiological research; clinical meaning comes from clinical guidance; interaction ideas come from educational systems. These sources should not be mixed.</w:t>
      </w:r>
    </w:p>
    <w:p>
      <w:pPr>
        <w:pStyle w:val="Heading1"/>
      </w:pPr>
      <w:r>
        <w:t>3. Core literature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Pr>
                <w:b/>
              </w:rPr>
              <w:t>Model/source</w:t>
            </w:r>
          </w:p>
        </w:tc>
        <w:tc>
          <w:tcPr>
            <w:tcW w:type="dxa" w:w="3360"/>
            <w:vAlign w:val="center"/>
            <w:shd w:fill="EDEDED"/>
          </w:tcPr>
          <w:p>
            <w:r>
              <w:rPr>
                <w:b/>
              </w:rPr>
              <w:t>Main contribution</w:t>
            </w:r>
          </w:p>
        </w:tc>
        <w:tc>
          <w:tcPr>
            <w:tcW w:type="dxa" w:w="3360"/>
            <w:vAlign w:val="center"/>
            <w:shd w:fill="EDEDED"/>
          </w:tcPr>
          <w:p>
            <w:r>
              <w:rPr>
                <w:b/>
              </w:rPr>
              <w:t>Nebel role</w:t>
            </w:r>
          </w:p>
        </w:tc>
      </w:tr>
      <w:tr>
        <w:tc>
          <w:tcPr>
            <w:tcW w:type="dxa" w:w="3360"/>
          </w:tcPr>
          <w:p>
            <w:r>
              <w:t>Bergman Minimal Model</w:t>
            </w:r>
          </w:p>
        </w:tc>
        <w:tc>
          <w:tcPr>
            <w:tcW w:type="dxa" w:w="3360"/>
          </w:tcPr>
          <w:p>
            <w:r>
              <w:t>Compact description of glucose disappearance, glucose effectiveness and insulin sensitivity.</w:t>
            </w:r>
          </w:p>
        </w:tc>
        <w:tc>
          <w:tcPr>
            <w:tcW w:type="dxa" w:w="3360"/>
          </w:tcPr>
          <w:p>
            <w:r>
              <w:t>Conceptual foundation; insufficient alone for everyday T1D simulation.</w:t>
            </w:r>
          </w:p>
        </w:tc>
      </w:tr>
      <w:tr>
        <w:tc>
          <w:tcPr>
            <w:tcW w:type="dxa" w:w="3360"/>
          </w:tcPr>
          <w:p>
            <w:r>
              <w:t>Hovorka</w:t>
            </w:r>
          </w:p>
        </w:tc>
        <w:tc>
          <w:tcPr>
            <w:tcW w:type="dxa" w:w="3360"/>
          </w:tcPr>
          <w:p>
            <w:r>
              <w:t>Compartmental glucose, insulin and insulin-action structure; distribution, disposal and endogenous production.</w:t>
            </w:r>
          </w:p>
        </w:tc>
        <w:tc>
          <w:tcPr>
            <w:tcW w:type="dxa" w:w="3360"/>
          </w:tcPr>
          <w:p>
            <w:r>
              <w:t>Primary structural reference for a compact custom engine.</w:t>
            </w:r>
          </w:p>
        </w:tc>
      </w:tr>
      <w:tr>
        <w:tc>
          <w:tcPr>
            <w:tcW w:type="dxa" w:w="3360"/>
          </w:tcPr>
          <w:p>
            <w:r>
              <w:t>Dalla Man meal model</w:t>
            </w:r>
          </w:p>
        </w:tc>
        <w:tc>
          <w:tcPr>
            <w:tcW w:type="dxa" w:w="3360"/>
          </w:tcPr>
          <w:p>
            <w:r>
              <w:t>Tracer-based meal absorption and postprandial glucose/insulin fluxes.</w:t>
            </w:r>
          </w:p>
        </w:tc>
        <w:tc>
          <w:tcPr>
            <w:tcW w:type="dxa" w:w="3360"/>
          </w:tcPr>
          <w:p>
            <w:r>
              <w:t>Primary meal/GI reference.</w:t>
            </w:r>
          </w:p>
        </w:tc>
      </w:tr>
      <w:tr>
        <w:tc>
          <w:tcPr>
            <w:tcW w:type="dxa" w:w="3360"/>
          </w:tcPr>
          <w:p>
            <w:r>
              <w:t>UVA/Padova</w:t>
            </w:r>
          </w:p>
        </w:tc>
        <w:tc>
          <w:tcPr>
            <w:tcW w:type="dxa" w:w="3360"/>
          </w:tcPr>
          <w:p>
            <w:r>
              <w:t>Large validated T1D simulator with virtual subjects, SC insulin and sensor modeling.</w:t>
            </w:r>
          </w:p>
        </w:tc>
        <w:tc>
          <w:tcPr>
            <w:tcW w:type="dxa" w:w="3360"/>
          </w:tcPr>
          <w:p>
            <w:r>
              <w:t>Benchmark/reference; do not reproduce wholesale.</w:t>
            </w:r>
          </w:p>
        </w:tc>
      </w:tr>
      <w:tr>
        <w:tc>
          <w:tcPr>
            <w:tcW w:type="dxa" w:w="3360"/>
          </w:tcPr>
          <w:p>
            <w:r>
              <w:t>Exercise models</w:t>
            </w:r>
          </w:p>
        </w:tc>
        <w:tc>
          <w:tcPr>
            <w:tcW w:type="dxa" w:w="3360"/>
          </w:tcPr>
          <w:p>
            <w:r>
              <w:t>Acute insulin-independent uptake plus prolonged sensitivity effects.</w:t>
            </w:r>
          </w:p>
        </w:tc>
        <w:tc>
          <w:tcPr>
            <w:tcW w:type="dxa" w:w="3360"/>
          </w:tcPr>
          <w:p>
            <w:r>
              <w:t>Primary activity reference.</w:t>
            </w:r>
          </w:p>
        </w:tc>
      </w:tr>
      <w:tr>
        <w:tc>
          <w:tcPr>
            <w:tcW w:type="dxa" w:w="3360"/>
          </w:tcPr>
          <w:p>
            <w:r>
              <w:t>CGM literature</w:t>
            </w:r>
          </w:p>
        </w:tc>
        <w:tc>
          <w:tcPr>
            <w:tcW w:type="dxa" w:w="3360"/>
          </w:tcPr>
          <w:p>
            <w:r>
              <w:t>Interstitial delay, sensor reaction, filtering and artifacts.</w:t>
            </w:r>
          </w:p>
        </w:tc>
        <w:tc>
          <w:tcPr>
            <w:tcW w:type="dxa" w:w="3360"/>
          </w:tcPr>
          <w:p>
            <w:r>
              <w:t>Observation-layer reference.</w:t>
            </w:r>
          </w:p>
        </w:tc>
      </w:tr>
    </w:tbl>
    <w:p/>
    <w:p>
      <w:pPr>
        <w:spacing w:after="100"/>
      </w:pPr>
      <w:r>
        <w:rPr>
          <w:b w:val="0"/>
        </w:rPr>
        <w:t>Hovorka's work describes glucose using a two-compartment structure and separates insulin effects on distribution/transport, disposal and endogenous glucose production.¹ Dalla Man's meal model derives subsystem behavior from tracer meal data.² The UVA/Padova simulator demonstrates how these ideas can be combined into a large population simulator.³</w:t>
      </w:r>
    </w:p>
    <w:p>
      <w:pPr>
        <w:pStyle w:val="Heading1"/>
      </w:pPr>
      <w:r>
        <w:t>4. Proposed engine architecture</w:t>
      </w:r>
    </w:p>
    <w:p>
      <w:pPr>
        <w:spacing w:after="100"/>
      </w:pPr>
      <w:r>
        <w:rPr>
          <w:b w:val="0"/>
        </w:rPr>
        <w:t>The engine should be a layered dynamical system. Physiological state, intervention inputs and observed sensor values must remain separate.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Layer</w:t>
            </w:r>
          </w:p>
        </w:tc>
        <w:tc>
          <w:tcPr>
            <w:tcW w:type="dxa" w:w="5040"/>
            <w:vAlign w:val="center"/>
            <w:shd w:fill="EDEDED"/>
          </w:tcPr>
          <w:p>
            <w:r>
              <w:rPr>
                <w:b/>
              </w:rPr>
              <w:t>Contents</w:t>
            </w:r>
          </w:p>
        </w:tc>
      </w:tr>
      <w:tr>
        <w:tc>
          <w:tcPr>
            <w:tcW w:type="dxa" w:w="5040"/>
          </w:tcPr>
          <w:p>
            <w:r>
              <w:t>Inputs</w:t>
            </w:r>
          </w:p>
        </w:tc>
        <w:tc>
          <w:tcPr>
            <w:tcW w:type="dxa" w:w="5040"/>
          </w:tcPr>
          <w:p>
            <w:r>
              <w:t>Meals, insulin delivery, exercise and optional contextual events</w:t>
            </w:r>
          </w:p>
        </w:tc>
      </w:tr>
      <w:tr>
        <w:tc>
          <w:tcPr>
            <w:tcW w:type="dxa" w:w="5040"/>
          </w:tcPr>
          <w:p>
            <w:r>
              <w:t>Physiology</w:t>
            </w:r>
          </w:p>
        </w:tc>
        <w:tc>
          <w:tcPr>
            <w:tcW w:type="dxa" w:w="5040"/>
          </w:tcPr>
          <w:p>
            <w:r>
              <w:t>Glucose compartments, GI absorption, insulin kinetics/action, endogenous glucose production</w:t>
            </w:r>
          </w:p>
        </w:tc>
      </w:tr>
      <w:tr>
        <w:tc>
          <w:tcPr>
            <w:tcW w:type="dxa" w:w="5040"/>
          </w:tcPr>
          <w:p>
            <w:r>
              <w:t>Exercise</w:t>
            </w:r>
          </w:p>
        </w:tc>
        <w:tc>
          <w:tcPr>
            <w:tcW w:type="dxa" w:w="5040"/>
          </w:tcPr>
          <w:p>
            <w:r>
              <w:t>Acute glucose uptake and slower recovery/sensitivity effect</w:t>
            </w:r>
          </w:p>
        </w:tc>
      </w:tr>
      <w:tr>
        <w:tc>
          <w:tcPr>
            <w:tcW w:type="dxa" w:w="5040"/>
          </w:tcPr>
          <w:p>
            <w:r>
              <w:t>Observation</w:t>
            </w:r>
          </w:p>
        </w:tc>
        <w:tc>
          <w:tcPr>
            <w:tcW w:type="dxa" w:w="5040"/>
          </w:tcPr>
          <w:p>
            <w:r>
              <w:t>Interstitial glucose, sensor dynamics, filtering and noise</w:t>
            </w:r>
          </w:p>
        </w:tc>
      </w:tr>
      <w:tr>
        <w:tc>
          <w:tcPr>
            <w:tcW w:type="dxa" w:w="5040"/>
          </w:tcPr>
          <w:p>
            <w:r>
              <w:t>Experience</w:t>
            </w:r>
          </w:p>
        </w:tc>
        <w:tc>
          <w:tcPr>
            <w:tcW w:type="dxa" w:w="5040"/>
          </w:tcPr>
          <w:p>
            <w:r>
              <w:t>User decisions, visualization and delayed consequences</w:t>
            </w:r>
          </w:p>
        </w:tc>
      </w:tr>
    </w:tbl>
    <w:p/>
    <w:p>
      <w:pPr>
        <w:spacing w:after="100"/>
      </w:pPr>
      <w:r>
        <w:rPr>
          <w:b w:val="0"/>
        </w:rPr>
        <w:t>This separation is especially important for CGM: the sensor reports interstitial glucose, not the underlying plasma value, and published guidance notes a physiological delay of about 5–10 minutes plus additional sensor and filtering delays.⁴</w:t>
      </w:r>
    </w:p>
    <w:p>
      <w:pPr>
        <w:pStyle w:val="Heading1"/>
      </w:pPr>
      <w:r>
        <w:t>5. Minimum physiological state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DEDED"/>
          </w:tcPr>
          <w:p>
            <w:r>
              <w:rPr>
                <w:b/>
              </w:rPr>
              <w:t>State</w:t>
            </w:r>
          </w:p>
        </w:tc>
        <w:tc>
          <w:tcPr>
            <w:tcW w:type="dxa" w:w="3360"/>
            <w:vAlign w:val="center"/>
            <w:shd w:fill="EDEDED"/>
          </w:tcPr>
          <w:p>
            <w:r>
              <w:rPr>
                <w:b/>
              </w:rPr>
              <w:t>Meaning</w:t>
            </w:r>
          </w:p>
        </w:tc>
        <w:tc>
          <w:tcPr>
            <w:tcW w:type="dxa" w:w="3360"/>
            <w:vAlign w:val="center"/>
            <w:shd w:fill="EDEDED"/>
          </w:tcPr>
          <w:p>
            <w:r>
              <w:rPr>
                <w:b/>
              </w:rPr>
              <w:t>Priority</w:t>
            </w:r>
          </w:p>
        </w:tc>
      </w:tr>
      <w:tr>
        <w:tc>
          <w:tcPr>
            <w:tcW w:type="dxa" w:w="3360"/>
          </w:tcPr>
          <w:p>
            <w:r>
              <w:t>Central glucose</w:t>
            </w:r>
          </w:p>
        </w:tc>
        <w:tc>
          <w:tcPr>
            <w:tcW w:type="dxa" w:w="3360"/>
          </w:tcPr>
          <w:p>
            <w:r>
              <w:t>Primary glucose concentration/mass.</w:t>
            </w:r>
          </w:p>
        </w:tc>
        <w:tc>
          <w:tcPr>
            <w:tcW w:type="dxa" w:w="3360"/>
          </w:tcPr>
          <w:p>
            <w:r>
              <w:t>V1</w:t>
            </w:r>
          </w:p>
        </w:tc>
      </w:tr>
      <w:tr>
        <w:tc>
          <w:tcPr>
            <w:tcW w:type="dxa" w:w="3360"/>
          </w:tcPr>
          <w:p>
            <w:r>
              <w:t>Peripheral/access glucose</w:t>
            </w:r>
          </w:p>
        </w:tc>
        <w:tc>
          <w:tcPr>
            <w:tcW w:type="dxa" w:w="3360"/>
          </w:tcPr>
          <w:p>
            <w:r>
              <w:t>Second glucose compartment where the selected model requires it.</w:t>
            </w:r>
          </w:p>
        </w:tc>
        <w:tc>
          <w:tcPr>
            <w:tcW w:type="dxa" w:w="3360"/>
          </w:tcPr>
          <w:p>
            <w:r>
              <w:t>V1</w:t>
            </w:r>
          </w:p>
        </w:tc>
      </w:tr>
      <w:tr>
        <w:tc>
          <w:tcPr>
            <w:tcW w:type="dxa" w:w="3360"/>
          </w:tcPr>
          <w:p>
            <w:r>
              <w:t>SC insulin depot</w:t>
            </w:r>
          </w:p>
        </w:tc>
        <w:tc>
          <w:tcPr>
            <w:tcW w:type="dxa" w:w="3360"/>
          </w:tcPr>
          <w:p>
            <w:r>
              <w:t>Insulin remaining after subcutaneous delivery.</w:t>
            </w:r>
          </w:p>
        </w:tc>
        <w:tc>
          <w:tcPr>
            <w:tcW w:type="dxa" w:w="3360"/>
          </w:tcPr>
          <w:p>
            <w:r>
              <w:t>V1</w:t>
            </w:r>
          </w:p>
        </w:tc>
      </w:tr>
      <w:tr>
        <w:tc>
          <w:tcPr>
            <w:tcW w:type="dxa" w:w="3360"/>
          </w:tcPr>
          <w:p>
            <w:r>
              <w:t>Plasma insulin</w:t>
            </w:r>
          </w:p>
        </w:tc>
        <w:tc>
          <w:tcPr>
            <w:tcW w:type="dxa" w:w="3360"/>
          </w:tcPr>
          <w:p>
            <w:r>
              <w:t>Circulating insulin.</w:t>
            </w:r>
          </w:p>
        </w:tc>
        <w:tc>
          <w:tcPr>
            <w:tcW w:type="dxa" w:w="3360"/>
          </w:tcPr>
          <w:p>
            <w:r>
              <w:t>V1</w:t>
            </w:r>
          </w:p>
        </w:tc>
      </w:tr>
      <w:tr>
        <w:tc>
          <w:tcPr>
            <w:tcW w:type="dxa" w:w="3360"/>
          </w:tcPr>
          <w:p>
            <w:r>
              <w:t>Insulin-action states</w:t>
            </w:r>
          </w:p>
        </w:tc>
        <w:tc>
          <w:tcPr>
            <w:tcW w:type="dxa" w:w="3360"/>
          </w:tcPr>
          <w:p>
            <w:r>
              <w:t>Delayed effect on transport, disposal and EGP.</w:t>
            </w:r>
          </w:p>
        </w:tc>
        <w:tc>
          <w:tcPr>
            <w:tcW w:type="dxa" w:w="3360"/>
          </w:tcPr>
          <w:p>
            <w:r>
              <w:t>V1</w:t>
            </w:r>
          </w:p>
        </w:tc>
      </w:tr>
      <w:tr>
        <w:tc>
          <w:tcPr>
            <w:tcW w:type="dxa" w:w="3360"/>
          </w:tcPr>
          <w:p>
            <w:r>
              <w:t>GI absorption states</w:t>
            </w:r>
          </w:p>
        </w:tc>
        <w:tc>
          <w:tcPr>
            <w:tcW w:type="dxa" w:w="3360"/>
          </w:tcPr>
          <w:p>
            <w:r>
              <w:t>Time-dependent carbohydrate/glucose appearance.</w:t>
            </w:r>
          </w:p>
        </w:tc>
        <w:tc>
          <w:tcPr>
            <w:tcW w:type="dxa" w:w="3360"/>
          </w:tcPr>
          <w:p>
            <w:r>
              <w:t>V1</w:t>
            </w:r>
          </w:p>
        </w:tc>
      </w:tr>
      <w:tr>
        <w:tc>
          <w:tcPr>
            <w:tcW w:type="dxa" w:w="3360"/>
          </w:tcPr>
          <w:p>
            <w:r>
              <w:t>Exercise states</w:t>
            </w:r>
          </w:p>
        </w:tc>
        <w:tc>
          <w:tcPr>
            <w:tcW w:type="dxa" w:w="3360"/>
          </w:tcPr>
          <w:p>
            <w:r>
              <w:t>Acute uptake + recovery/sensitivity effect.</w:t>
            </w:r>
          </w:p>
        </w:tc>
        <w:tc>
          <w:tcPr>
            <w:tcW w:type="dxa" w:w="3360"/>
          </w:tcPr>
          <w:p>
            <w:r>
              <w:t>V1</w:t>
            </w:r>
          </w:p>
        </w:tc>
      </w:tr>
      <w:tr>
        <w:tc>
          <w:tcPr>
            <w:tcW w:type="dxa" w:w="3360"/>
          </w:tcPr>
          <w:p>
            <w:r>
              <w:t>Interstitial glucose</w:t>
            </w:r>
          </w:p>
        </w:tc>
        <w:tc>
          <w:tcPr>
            <w:tcW w:type="dxa" w:w="3360"/>
          </w:tcPr>
          <w:p>
            <w:r>
              <w:t>Sensor-accessible glucose.</w:t>
            </w:r>
          </w:p>
        </w:tc>
        <w:tc>
          <w:tcPr>
            <w:tcW w:type="dxa" w:w="3360"/>
          </w:tcPr>
          <w:p>
            <w:r>
              <w:t>V1 if CGM is simulated</w:t>
            </w:r>
          </w:p>
        </w:tc>
      </w:tr>
      <w:tr>
        <w:tc>
          <w:tcPr>
            <w:tcW w:type="dxa" w:w="3360"/>
          </w:tcPr>
          <w:p>
            <w:r>
              <w:t>Sensor/filter state</w:t>
            </w:r>
          </w:p>
        </w:tc>
        <w:tc>
          <w:tcPr>
            <w:tcW w:type="dxa" w:w="3360"/>
          </w:tcPr>
          <w:p>
            <w:r>
              <w:t>Displayed CGM after dynamics/noise.</w:t>
            </w:r>
          </w:p>
        </w:tc>
        <w:tc>
          <w:tcPr>
            <w:tcW w:type="dxa" w:w="3360"/>
          </w:tcPr>
          <w:p>
            <w:r>
              <w:t>V1 if CGM is simulated</w:t>
            </w:r>
          </w:p>
        </w:tc>
      </w:tr>
    </w:tbl>
    <w:p/>
    <w:p>
      <w:pPr>
        <w:pStyle w:val="Heading1"/>
      </w:pPr>
      <w:r>
        <w:t>6. Meals</w:t>
      </w:r>
    </w:p>
    <w:p>
      <w:pPr>
        <w:spacing w:after="100"/>
      </w:pPr>
      <w:r>
        <w:rPr>
          <w:b w:val="0"/>
        </w:rPr>
        <w:t>The meal subsystem should produce a time-dependent glucose appearance rate rather than an instantaneous glucose jump. Dalla Man et al. built a postprandial model using tracer meal data and explicitly represented meal rate of appearance, endogenous glucose production, utilization and insulin secretion.²</w:t>
      </w:r>
    </w:p>
    <w:p>
      <w:pPr>
        <w:pStyle w:val="ListBullet"/>
      </w:pPr>
      <w:r>
        <w:t>Carbohydrate consumed and carbohydrate appearing systemically must be separate concepts.</w:t>
      </w:r>
    </w:p>
    <w:p>
      <w:pPr>
        <w:pStyle w:val="ListBullet"/>
      </w:pPr>
      <w:r>
        <w:t>Meal absorption should be dynamic and parameterized.</w:t>
      </w:r>
    </w:p>
    <w:p>
      <w:pPr>
        <w:pStyle w:val="ListBullet"/>
      </w:pPr>
      <w:r>
        <w:t>Meal timing relative to insulin delivery must emerge from the model.</w:t>
      </w:r>
    </w:p>
    <w:p>
      <w:pPr>
        <w:pStyle w:val="ListBullet"/>
      </w:pPr>
      <w:r>
        <w:t>Fat/protein effects should only be added through an explicit published model or a clearly labeled later approximation.</w:t>
      </w:r>
    </w:p>
    <w:p>
      <w:pPr>
        <w:pStyle w:val="Heading1"/>
      </w:pPr>
      <w:r>
        <w:t>7. Insulin</w:t>
      </w:r>
    </w:p>
    <w:p>
      <w:pPr>
        <w:spacing w:after="100"/>
      </w:pPr>
      <w:r>
        <w:rPr>
          <w:b w:val="0"/>
        </w:rPr>
        <w:t>The insulin subsystem needs at least delivery/absorption, circulating insulin and delayed physiological action. Hovorka-style models explicitly represent insulin action separately from insulin concentration.¹</w:t>
      </w:r>
    </w:p>
    <w:p>
      <w:pPr>
        <w:pStyle w:val="ListBullet"/>
      </w:pPr>
      <w:r>
        <w:t>Support basal infusion and discrete bolus delivery.</w:t>
      </w:r>
    </w:p>
    <w:p>
      <w:pPr>
        <w:pStyle w:val="ListBullet"/>
      </w:pPr>
      <w:r>
        <w:t>Use formulation-specific pharmacokinetic/pharmacodynamic characteristics when multiple insulin types are exposed.</w:t>
      </w:r>
    </w:p>
    <w:p>
      <w:pPr>
        <w:pStyle w:val="ListBullet"/>
      </w:pPr>
      <w:r>
        <w:t>Do not subtract glucose immediately after an injection.</w:t>
      </w:r>
    </w:p>
    <w:p>
      <w:pPr>
        <w:pStyle w:val="ListBullet"/>
      </w:pPr>
      <w:r>
        <w:t>Store every important parameter with unit, source, population, range and confidence.</w:t>
      </w:r>
    </w:p>
    <w:p>
      <w:pPr>
        <w:pStyle w:val="Heading1"/>
      </w:pPr>
      <w:r>
        <w:t>8. Exercise</w:t>
      </w:r>
    </w:p>
    <w:p>
      <w:pPr>
        <w:spacing w:after="100"/>
      </w:pPr>
      <w:r>
        <w:rPr>
          <w:b w:val="0"/>
        </w:rPr>
        <w:t>Exercise is a dedicated physiological perturbation, not a fixed glucose subtraction. Published work describes a rapid increase in insulin-independent glucose clearance and a slower, longer-lasting change in insulin sensitivity.⁵ A later model incorporated intensity, duration, timing, insulin and carbohydrate intake and validated the model against independent datasets.⁶</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Dimension</w:t>
            </w:r>
          </w:p>
        </w:tc>
        <w:tc>
          <w:tcPr>
            <w:tcW w:type="dxa" w:w="5040"/>
            <w:vAlign w:val="center"/>
            <w:shd w:fill="EDEDED"/>
          </w:tcPr>
          <w:p>
            <w:r>
              <w:rPr>
                <w:b/>
              </w:rPr>
              <w:t>Representation</w:t>
            </w:r>
          </w:p>
        </w:tc>
      </w:tr>
      <w:tr>
        <w:tc>
          <w:tcPr>
            <w:tcW w:type="dxa" w:w="5040"/>
          </w:tcPr>
          <w:p>
            <w:r>
              <w:t>Intensity</w:t>
            </w:r>
          </w:p>
        </w:tc>
        <w:tc>
          <w:tcPr>
            <w:tcW w:type="dxa" w:w="5040"/>
          </w:tcPr>
          <w:p>
            <w:r>
              <w:t>Continuous or discrete intensity driver</w:t>
            </w:r>
          </w:p>
        </w:tc>
      </w:tr>
      <w:tr>
        <w:tc>
          <w:tcPr>
            <w:tcW w:type="dxa" w:w="5040"/>
          </w:tcPr>
          <w:p>
            <w:r>
              <w:t>Duration</w:t>
            </w:r>
          </w:p>
        </w:tc>
        <w:tc>
          <w:tcPr>
            <w:tcW w:type="dxa" w:w="5040"/>
          </w:tcPr>
          <w:p>
            <w:r>
              <w:t>Total exposure and recovery</w:t>
            </w:r>
          </w:p>
        </w:tc>
      </w:tr>
      <w:tr>
        <w:tc>
          <w:tcPr>
            <w:tcW w:type="dxa" w:w="5040"/>
          </w:tcPr>
          <w:p>
            <w:r>
              <w:t>Acute uptake</w:t>
            </w:r>
          </w:p>
        </w:tc>
        <w:tc>
          <w:tcPr>
            <w:tcW w:type="dxa" w:w="5040"/>
          </w:tcPr>
          <w:p>
            <w:r>
              <w:t>Fast effect during activity</w:t>
            </w:r>
          </w:p>
        </w:tc>
      </w:tr>
      <w:tr>
        <w:tc>
          <w:tcPr>
            <w:tcW w:type="dxa" w:w="5040"/>
          </w:tcPr>
          <w:p>
            <w:r>
              <w:t>Post-exercise sensitivity</w:t>
            </w:r>
          </w:p>
        </w:tc>
        <w:tc>
          <w:tcPr>
            <w:tcW w:type="dxa" w:w="5040"/>
          </w:tcPr>
          <w:p>
            <w:r>
              <w:t>Slower recovery effect</w:t>
            </w:r>
          </w:p>
        </w:tc>
      </w:tr>
      <w:tr>
        <w:tc>
          <w:tcPr>
            <w:tcW w:type="dxa" w:w="5040"/>
          </w:tcPr>
          <w:p>
            <w:r>
              <w:t>Timing</w:t>
            </w:r>
          </w:p>
        </w:tc>
        <w:tc>
          <w:tcPr>
            <w:tcW w:type="dxa" w:w="5040"/>
          </w:tcPr>
          <w:p>
            <w:r>
              <w:t>Interaction with prior meals and insulin</w:t>
            </w:r>
          </w:p>
        </w:tc>
      </w:tr>
      <w:tr>
        <w:tc>
          <w:tcPr>
            <w:tcW w:type="dxa" w:w="5040"/>
          </w:tcPr>
          <w:p>
            <w:r>
              <w:t>Individual response</w:t>
            </w:r>
          </w:p>
        </w:tc>
        <w:tc>
          <w:tcPr>
            <w:tcW w:type="dxa" w:w="5040"/>
          </w:tcPr>
          <w:p>
            <w:r>
              <w:t>Subject-specific exercise sensitivity</w:t>
            </w:r>
          </w:p>
        </w:tc>
      </w:tr>
    </w:tbl>
    <w:p/>
    <w:p>
      <w:pPr>
        <w:spacing w:after="100"/>
      </w:pPr>
      <w:r>
        <w:rPr>
          <w:b w:val="0"/>
        </w:rPr>
        <w:t>ADA 2026 also emphasizes heterogeneous responses to activity and the possibility of hypoglycemia during and for several hours after exercise because insulin sensitivity can remain elevated.⁷</w:t>
      </w:r>
    </w:p>
    <w:p>
      <w:pPr>
        <w:pStyle w:val="Heading1"/>
      </w:pPr>
      <w:r>
        <w:t>9. Circadian effects</w:t>
      </w:r>
    </w:p>
    <w:p>
      <w:pPr>
        <w:spacing w:after="100"/>
      </w:pPr>
      <w:r>
        <w:rPr>
          <w:b w:val="0"/>
        </w:rPr>
        <w:t>Circadian variation should be a physiological modifier, not a fixed morning curve copied from the prototype. A V1 model can use a low-dimensional time-of-day modifier for insulin sensitivity and/or endogenous glucose production, but its amplitude and timing should be treated as parameters requiring evidence.</w:t>
      </w:r>
    </w:p>
    <w:p>
      <w:pPr>
        <w:pStyle w:val="ListBullet"/>
      </w:pPr>
      <w:r>
        <w:t>Do not copy the prototype's dawn amplitude or time window as a physiological constant.</w:t>
      </w:r>
    </w:p>
    <w:p>
      <w:pPr>
        <w:pStyle w:val="ListBullet"/>
      </w:pPr>
      <w:r>
        <w:t>Treat dawn phenomenon as variable between people rather than guaranteed.</w:t>
      </w:r>
    </w:p>
    <w:p>
      <w:pPr>
        <w:pStyle w:val="ListBullet"/>
      </w:pPr>
      <w:r>
        <w:t>Only retain circadian complexity that improves validated scenarios.</w:t>
      </w:r>
    </w:p>
    <w:p>
      <w:pPr>
        <w:pStyle w:val="Heading1"/>
      </w:pPr>
      <w:r>
        <w:t>10. CGM observation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Component</w:t>
            </w:r>
          </w:p>
        </w:tc>
        <w:tc>
          <w:tcPr>
            <w:tcW w:type="dxa" w:w="5040"/>
            <w:vAlign w:val="center"/>
            <w:shd w:fill="EDEDED"/>
          </w:tcPr>
          <w:p>
            <w:r>
              <w:rPr>
                <w:b/>
              </w:rPr>
              <w:t>V1 decision</w:t>
            </w:r>
          </w:p>
        </w:tc>
      </w:tr>
      <w:tr>
        <w:tc>
          <w:tcPr>
            <w:tcW w:type="dxa" w:w="5040"/>
          </w:tcPr>
          <w:p>
            <w:r>
              <w:t>Interstitial compartment</w:t>
            </w:r>
          </w:p>
        </w:tc>
        <w:tc>
          <w:tcPr>
            <w:tcW w:type="dxa" w:w="5040"/>
          </w:tcPr>
          <w:p>
            <w:r>
              <w:t>Separate from physiological/plasma glucose.</w:t>
            </w:r>
          </w:p>
        </w:tc>
      </w:tr>
      <w:tr>
        <w:tc>
          <w:tcPr>
            <w:tcW w:type="dxa" w:w="5040"/>
          </w:tcPr>
          <w:p>
            <w:r>
              <w:t>Physiological lag</w:t>
            </w:r>
          </w:p>
        </w:tc>
        <w:tc>
          <w:tcPr>
            <w:tcW w:type="dxa" w:w="5040"/>
          </w:tcPr>
          <w:p>
            <w:r>
              <w:t>Use literature-supported order of magnitude (~5–10 min).</w:t>
            </w:r>
          </w:p>
        </w:tc>
      </w:tr>
      <w:tr>
        <w:tc>
          <w:tcPr>
            <w:tcW w:type="dxa" w:w="5040"/>
          </w:tcPr>
          <w:p>
            <w:r>
              <w:t>Sensor response/filtering</w:t>
            </w:r>
          </w:p>
        </w:tc>
        <w:tc>
          <w:tcPr>
            <w:tcW w:type="dxa" w:w="5040"/>
          </w:tcPr>
          <w:p>
            <w:r>
              <w:t>Include if the displayed trace is intended to feel like CGM.</w:t>
            </w:r>
          </w:p>
        </w:tc>
      </w:tr>
      <w:tr>
        <w:tc>
          <w:tcPr>
            <w:tcW w:type="dxa" w:w="5040"/>
          </w:tcPr>
          <w:p>
            <w:r>
              <w:t>Noise</w:t>
            </w:r>
          </w:p>
        </w:tc>
        <w:tc>
          <w:tcPr>
            <w:tcW w:type="dxa" w:w="5040"/>
          </w:tcPr>
          <w:p>
            <w:r>
              <w:t>Explicit observation process; avoid arbitrary fixed noise as physiology.</w:t>
            </w:r>
          </w:p>
        </w:tc>
      </w:tr>
      <w:tr>
        <w:tc>
          <w:tcPr>
            <w:tcW w:type="dxa" w:w="5040"/>
          </w:tcPr>
          <w:p>
            <w:r>
              <w:t>Rate-dependent discrepancy</w:t>
            </w:r>
          </w:p>
        </w:tc>
        <w:tc>
          <w:tcPr>
            <w:tcW w:type="dxa" w:w="5040"/>
          </w:tcPr>
          <w:p>
            <w:r>
              <w:t>Consider for rapid changes.</w:t>
            </w:r>
          </w:p>
        </w:tc>
      </w:tr>
      <w:tr>
        <w:tc>
          <w:tcPr>
            <w:tcW w:type="dxa" w:w="5040"/>
          </w:tcPr>
          <w:p>
            <w:r>
              <w:t>Pressure/motion artifacts</w:t>
            </w:r>
          </w:p>
        </w:tc>
        <w:tc>
          <w:tcPr>
            <w:tcW w:type="dxa" w:w="5040"/>
          </w:tcPr>
          <w:p>
            <w:r>
              <w:t>Later extension.</w:t>
            </w:r>
          </w:p>
        </w:tc>
      </w:tr>
      <w:tr>
        <w:tc>
          <w:tcPr>
            <w:tcW w:type="dxa" w:w="5040"/>
          </w:tcPr>
          <w:p>
            <w:r>
              <w:t>Sensor aging/drift</w:t>
            </w:r>
          </w:p>
        </w:tc>
        <w:tc>
          <w:tcPr>
            <w:tcW w:type="dxa" w:w="5040"/>
          </w:tcPr>
          <w:p>
            <w:r>
              <w:t>Later extension.</w:t>
            </w:r>
          </w:p>
        </w:tc>
      </w:tr>
    </w:tbl>
    <w:p/>
    <w:p>
      <w:pPr>
        <w:spacing w:after="100"/>
      </w:pPr>
      <w:r>
        <w:rPr>
          <w:b w:val="0"/>
        </w:rPr>
        <w:t>ISPAD reports discrepancies between blood glucose and CGM particularly in hypoglycemia and rapid changes, due partly to physiological delay, sensor reaction and digital filtering. Motion and pressure can also affect sensor performance.⁴</w:t>
      </w:r>
    </w:p>
    <w:p>
      <w:pPr>
        <w:pStyle w:val="Heading1"/>
      </w:pPr>
      <w:r>
        <w:t>11. Hypoglycemia</w:t>
      </w:r>
    </w:p>
    <w:p>
      <w:pPr>
        <w:spacing w:after="100"/>
      </w:pPr>
      <w:r>
        <w:rPr>
          <w:b w:val="0"/>
        </w:rPr>
        <w:t>For educational classification, ADA 2026 defines Level 1 hypoglycemia as &lt;70 mg/dL and ≥54 mg/dL and Level 2 as &lt;54 mg/dL. It also emphasizes that &lt;70 mg/dL is clinically important even without symptoms because impaired awareness can occur.⁸</w:t>
      </w:r>
    </w:p>
    <w:p>
      <w:pPr>
        <w:pStyle w:val="ListBullet"/>
      </w:pPr>
      <w:r>
        <w:t>Clinical thresholds are reference states, not equations.</w:t>
      </w:r>
    </w:p>
    <w:p>
      <w:pPr>
        <w:pStyle w:val="ListBullet"/>
      </w:pPr>
      <w:r>
        <w:t>Symptoms should not be deterministic from one glucose value.</w:t>
      </w:r>
    </w:p>
    <w:p>
      <w:pPr>
        <w:pStyle w:val="ListBullet"/>
      </w:pPr>
      <w:r>
        <w:t>Any later hypoglycemia-awareness model should be history-dependent and evidence-based.</w:t>
      </w:r>
    </w:p>
    <w:p>
      <w:pPr>
        <w:pStyle w:val="ListBullet"/>
      </w:pPr>
      <w:r>
        <w:t>Safety communication must remain separate from physiological state calculation.</w:t>
      </w:r>
    </w:p>
    <w:p>
      <w:pPr>
        <w:pStyle w:val="Heading1"/>
      </w:pPr>
      <w:r>
        <w:t>12. Individual variability</w:t>
      </w:r>
    </w:p>
    <w:p>
      <w:pPr>
        <w:spacing w:after="100"/>
      </w:pPr>
      <w:r>
        <w:rPr>
          <w:b w:val="0"/>
        </w:rPr>
        <w:t>A single average patient is useful for debugging but not enough for a realistic simulator. UVA/Padova uses subject-specific parameter vectors drawn from joint parameter distributions; its 2008 population contained 300 virtual subjects: 100 adults, 100 adolescents and 100 children.³</w:t>
      </w:r>
    </w:p>
    <w:p>
      <w:pPr>
        <w:pStyle w:val="ListBullet"/>
      </w:pPr>
      <w:r>
        <w:t>V1: one fully parameterized virtual person.</w:t>
      </w:r>
    </w:p>
    <w:p>
      <w:pPr>
        <w:pStyle w:val="ListBullet"/>
      </w:pPr>
      <w:r>
        <w:t>V1.5: a small population of interpretable virtual subjects.</w:t>
      </w:r>
    </w:p>
    <w:p>
      <w:pPr>
        <w:pStyle w:val="ListBullet"/>
      </w:pPr>
      <w:r>
        <w:t>Correlations between parameters must be respected where evidence supports them.</w:t>
      </w:r>
    </w:p>
    <w:p>
      <w:pPr>
        <w:pStyle w:val="ListBullet"/>
      </w:pPr>
      <w:r>
        <w:t>Every parameter should store source, unit, nominal value, plausible range/distribution and confidence.</w:t>
      </w:r>
    </w:p>
    <w:p>
      <w:pPr>
        <w:pStyle w:val="Heading1"/>
      </w:pPr>
      <w:r>
        <w:t>13. What not to build in V1</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Feature</w:t>
            </w:r>
          </w:p>
        </w:tc>
        <w:tc>
          <w:tcPr>
            <w:tcW w:type="dxa" w:w="5040"/>
            <w:vAlign w:val="center"/>
            <w:shd w:fill="EDEDED"/>
          </w:tcPr>
          <w:p>
            <w:r>
              <w:rPr>
                <w:b/>
              </w:rPr>
              <w:t>Reason to defer</w:t>
            </w:r>
          </w:p>
        </w:tc>
      </w:tr>
      <w:tr>
        <w:tc>
          <w:tcPr>
            <w:tcW w:type="dxa" w:w="5040"/>
          </w:tcPr>
          <w:p>
            <w:r>
              <w:t>Full UVA/Padova reproduction</w:t>
            </w:r>
          </w:p>
        </w:tc>
        <w:tc>
          <w:tcPr>
            <w:tcW w:type="dxa" w:w="5040"/>
          </w:tcPr>
          <w:p>
            <w:r>
              <w:t>Too complex for the educational objective and creates major validation burden.</w:t>
            </w:r>
          </w:p>
        </w:tc>
      </w:tr>
      <w:tr>
        <w:tc>
          <w:tcPr>
            <w:tcW w:type="dxa" w:w="5040"/>
          </w:tcPr>
          <w:p>
            <w:r>
              <w:t>Full glucagon/counterregulation</w:t>
            </w:r>
          </w:p>
        </w:tc>
        <w:tc>
          <w:tcPr>
            <w:tcW w:type="dxa" w:w="5040"/>
          </w:tcPr>
          <w:p>
            <w:r>
              <w:t>Important, but not required for the first core model.</w:t>
            </w:r>
          </w:p>
        </w:tc>
      </w:tr>
      <w:tr>
        <w:tc>
          <w:tcPr>
            <w:tcW w:type="dxa" w:w="5040"/>
          </w:tcPr>
          <w:p>
            <w:r>
              <w:t>Detailed fat/protein metabolism</w:t>
            </w:r>
          </w:p>
        </w:tc>
        <w:tc>
          <w:tcPr>
            <w:tcW w:type="dxa" w:w="5040"/>
          </w:tcPr>
          <w:p>
            <w:r>
              <w:t>Requires additional evidence and calibration.</w:t>
            </w:r>
          </w:p>
        </w:tc>
      </w:tr>
      <w:tr>
        <w:tc>
          <w:tcPr>
            <w:tcW w:type="dxa" w:w="5040"/>
          </w:tcPr>
          <w:p>
            <w:r>
              <w:t>Stress/illness/sleep as fixed multipliers</w:t>
            </w:r>
          </w:p>
        </w:tc>
        <w:tc>
          <w:tcPr>
            <w:tcW w:type="dxa" w:w="5040"/>
          </w:tcPr>
          <w:p>
            <w:r>
              <w:t>Real effects are context-dependent; fixed multipliers create false precision.</w:t>
            </w:r>
          </w:p>
        </w:tc>
      </w:tr>
      <w:tr>
        <w:tc>
          <w:tcPr>
            <w:tcW w:type="dxa" w:w="5040"/>
          </w:tcPr>
          <w:p>
            <w:r>
              <w:t>Pressure/sensor aging artifacts</w:t>
            </w:r>
          </w:p>
        </w:tc>
        <w:tc>
          <w:tcPr>
            <w:tcW w:type="dxa" w:w="5040"/>
          </w:tcPr>
          <w:p>
            <w:r>
              <w:t>Advanced realism; not core physiology.</w:t>
            </w:r>
          </w:p>
        </w:tc>
      </w:tr>
      <w:tr>
        <w:tc>
          <w:tcPr>
            <w:tcW w:type="dxa" w:w="5040"/>
          </w:tcPr>
          <w:p>
            <w:r>
              <w:t>Clinical dosing recommendations</w:t>
            </w:r>
          </w:p>
        </w:tc>
        <w:tc>
          <w:tcPr>
            <w:tcW w:type="dxa" w:w="5040"/>
          </w:tcPr>
          <w:p>
            <w:r>
              <w:t>Would change the project from education/simulation into a medical decision system.</w:t>
            </w:r>
          </w:p>
        </w:tc>
      </w:tr>
    </w:tbl>
    <w:p/>
    <w:p>
      <w:pPr>
        <w:pStyle w:val="Heading1"/>
      </w:pPr>
      <w:r>
        <w:t>14. Recommended V1</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Module</w:t>
            </w:r>
          </w:p>
        </w:tc>
        <w:tc>
          <w:tcPr>
            <w:tcW w:type="dxa" w:w="5040"/>
            <w:vAlign w:val="center"/>
            <w:shd w:fill="EDEDED"/>
          </w:tcPr>
          <w:p>
            <w:r>
              <w:rPr>
                <w:b/>
              </w:rPr>
              <w:t>Decision</w:t>
            </w:r>
          </w:p>
        </w:tc>
      </w:tr>
      <w:tr>
        <w:tc>
          <w:tcPr>
            <w:tcW w:type="dxa" w:w="5040"/>
          </w:tcPr>
          <w:p>
            <w:r>
              <w:t>Glucose</w:t>
            </w:r>
          </w:p>
        </w:tc>
        <w:tc>
          <w:tcPr>
            <w:tcW w:type="dxa" w:w="5040"/>
          </w:tcPr>
          <w:p>
            <w:r>
              <w:t>Compact two-compartment or equivalent validated structure</w:t>
            </w:r>
          </w:p>
        </w:tc>
      </w:tr>
      <w:tr>
        <w:tc>
          <w:tcPr>
            <w:tcW w:type="dxa" w:w="5040"/>
          </w:tcPr>
          <w:p>
            <w:r>
              <w:t>Insulin</w:t>
            </w:r>
          </w:p>
        </w:tc>
        <w:tc>
          <w:tcPr>
            <w:tcW w:type="dxa" w:w="5040"/>
          </w:tcPr>
          <w:p>
            <w:r>
              <w:t>SC delivery → plasma insulin → delayed action</w:t>
            </w:r>
          </w:p>
        </w:tc>
      </w:tr>
      <w:tr>
        <w:tc>
          <w:tcPr>
            <w:tcW w:type="dxa" w:w="5040"/>
          </w:tcPr>
          <w:p>
            <w:r>
              <w:t>Meal</w:t>
            </w:r>
          </w:p>
        </w:tc>
        <w:tc>
          <w:tcPr>
            <w:tcW w:type="dxa" w:w="5040"/>
          </w:tcPr>
          <w:p>
            <w:r>
              <w:t>Dynamic GI absorption / glucose appearance</w:t>
            </w:r>
          </w:p>
        </w:tc>
      </w:tr>
      <w:tr>
        <w:tc>
          <w:tcPr>
            <w:tcW w:type="dxa" w:w="5040"/>
          </w:tcPr>
          <w:p>
            <w:r>
              <w:t>Exercise</w:t>
            </w:r>
          </w:p>
        </w:tc>
        <w:tc>
          <w:tcPr>
            <w:tcW w:type="dxa" w:w="5040"/>
          </w:tcPr>
          <w:p>
            <w:r>
              <w:t>Acute uptake + prolonged sensitivity/recovery</w:t>
            </w:r>
          </w:p>
        </w:tc>
      </w:tr>
      <w:tr>
        <w:tc>
          <w:tcPr>
            <w:tcW w:type="dxa" w:w="5040"/>
          </w:tcPr>
          <w:p>
            <w:r>
              <w:t>Liver/EGP</w:t>
            </w:r>
          </w:p>
        </w:tc>
        <w:tc>
          <w:tcPr>
            <w:tcW w:type="dxa" w:w="5040"/>
          </w:tcPr>
          <w:p>
            <w:r>
              <w:t>Explicit endogenous glucose production</w:t>
            </w:r>
          </w:p>
        </w:tc>
      </w:tr>
      <w:tr>
        <w:tc>
          <w:tcPr>
            <w:tcW w:type="dxa" w:w="5040"/>
          </w:tcPr>
          <w:p>
            <w:r>
              <w:t>Circadian</w:t>
            </w:r>
          </w:p>
        </w:tc>
        <w:tc>
          <w:tcPr>
            <w:tcW w:type="dxa" w:w="5040"/>
          </w:tcPr>
          <w:p>
            <w:r>
              <w:t>Low-dimensional parameterized modifier</w:t>
            </w:r>
          </w:p>
        </w:tc>
      </w:tr>
      <w:tr>
        <w:tc>
          <w:tcPr>
            <w:tcW w:type="dxa" w:w="5040"/>
          </w:tcPr>
          <w:p>
            <w:r>
              <w:t>CGM</w:t>
            </w:r>
          </w:p>
        </w:tc>
        <w:tc>
          <w:tcPr>
            <w:tcW w:type="dxa" w:w="5040"/>
          </w:tcPr>
          <w:p>
            <w:r>
              <w:t>Separate interstitial/sensor observation layer when needed</w:t>
            </w:r>
          </w:p>
        </w:tc>
      </w:tr>
      <w:tr>
        <w:tc>
          <w:tcPr>
            <w:tcW w:type="dxa" w:w="5040"/>
          </w:tcPr>
          <w:p>
            <w:r>
              <w:t>Virtual person</w:t>
            </w:r>
          </w:p>
        </w:tc>
        <w:tc>
          <w:tcPr>
            <w:tcW w:type="dxa" w:w="5040"/>
          </w:tcPr>
          <w:p>
            <w:r>
              <w:t>Small subject-specific parameter set</w:t>
            </w:r>
          </w:p>
        </w:tc>
      </w:tr>
      <w:tr>
        <w:tc>
          <w:tcPr>
            <w:tcW w:type="dxa" w:w="5040"/>
          </w:tcPr>
          <w:p>
            <w:r>
              <w:t>Events</w:t>
            </w:r>
          </w:p>
        </w:tc>
        <w:tc>
          <w:tcPr>
            <w:tcW w:type="dxa" w:w="5040"/>
          </w:tcPr>
          <w:p>
            <w:r>
              <w:t>Timestamped meal, insulin and activity inputs</w:t>
            </w:r>
          </w:p>
        </w:tc>
      </w:tr>
      <w:tr>
        <w:tc>
          <w:tcPr>
            <w:tcW w:type="dxa" w:w="5040"/>
          </w:tcPr>
          <w:p>
            <w:r>
              <w:t>Replay</w:t>
            </w:r>
          </w:p>
        </w:tc>
        <w:tc>
          <w:tcPr>
            <w:tcW w:type="dxa" w:w="5040"/>
          </w:tcPr>
          <w:p>
            <w:r>
              <w:t>Deterministic given subject, seed and event stream</w:t>
            </w:r>
          </w:p>
        </w:tc>
      </w:tr>
    </w:tbl>
    <w:p/>
    <w:p>
      <w:pPr>
        <w:spacing w:after="100"/>
      </w:pPr>
      <w:r>
        <w:rPr>
          <w:b w:val="0"/>
        </w:rPr>
        <w:t>The recommended strategy is a custom compact engine inspired by Hovorka and Dalla Man, benchmarked against UVA/Padova behavior where appropriate. It is not a clone of any one simulator.</w:t>
      </w:r>
    </w:p>
    <w:p>
      <w:pPr>
        <w:pStyle w:val="Heading1"/>
      </w:pPr>
      <w:r>
        <w:t>15. Validation plan</w:t>
      </w:r>
    </w:p>
    <w:p>
      <w:pPr>
        <w:spacing w:after="100"/>
      </w:pPr>
      <w:r>
        <w:rPr>
          <w:b w:val="0"/>
        </w:rPr>
        <w:t>Validation begins before UI implementation. The UVA/Padova review explicitly notes that good in-silico performance does not guarantee in-vivo performance; simulation is a prerequisite to, not a substitute for, clinical trials.³</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Test</w:t>
            </w:r>
          </w:p>
        </w:tc>
        <w:tc>
          <w:tcPr>
            <w:tcW w:type="dxa" w:w="5040"/>
            <w:vAlign w:val="center"/>
            <w:shd w:fill="EDEDED"/>
          </w:tcPr>
          <w:p>
            <w:r>
              <w:rPr>
                <w:b/>
              </w:rPr>
              <w:t>Expected behavior</w:t>
            </w:r>
          </w:p>
        </w:tc>
      </w:tr>
      <w:tr>
        <w:tc>
          <w:tcPr>
            <w:tcW w:type="dxa" w:w="5040"/>
          </w:tcPr>
          <w:p>
            <w:r>
              <w:t>Baseline</w:t>
            </w:r>
          </w:p>
        </w:tc>
        <w:tc>
          <w:tcPr>
            <w:tcW w:type="dxa" w:w="5040"/>
          </w:tcPr>
          <w:p>
            <w:r>
              <w:t>Stable state without perturbations.</w:t>
            </w:r>
          </w:p>
        </w:tc>
      </w:tr>
      <w:tr>
        <w:tc>
          <w:tcPr>
            <w:tcW w:type="dxa" w:w="5040"/>
          </w:tcPr>
          <w:p>
            <w:r>
              <w:t>Meal</w:t>
            </w:r>
          </w:p>
        </w:tc>
        <w:tc>
          <w:tcPr>
            <w:tcW w:type="dxa" w:w="5040"/>
          </w:tcPr>
          <w:p>
            <w:r>
              <w:t>Delayed rise and recovery, not an instantaneous jump.</w:t>
            </w:r>
          </w:p>
        </w:tc>
      </w:tr>
      <w:tr>
        <w:tc>
          <w:tcPr>
            <w:tcW w:type="dxa" w:w="5040"/>
          </w:tcPr>
          <w:p>
            <w:r>
              <w:t>Bolus</w:t>
            </w:r>
          </w:p>
        </w:tc>
        <w:tc>
          <w:tcPr>
            <w:tcW w:type="dxa" w:w="5040"/>
          </w:tcPr>
          <w:p>
            <w:r>
              <w:t>Delayed lowering followed by recovery.</w:t>
            </w:r>
          </w:p>
        </w:tc>
      </w:tr>
      <w:tr>
        <w:tc>
          <w:tcPr>
            <w:tcW w:type="dxa" w:w="5040"/>
          </w:tcPr>
          <w:p>
            <w:r>
              <w:t>Meal + bolus timing</w:t>
            </w:r>
          </w:p>
        </w:tc>
        <w:tc>
          <w:tcPr>
            <w:tcW w:type="dxa" w:w="5040"/>
          </w:tcPr>
          <w:p>
            <w:r>
              <w:t>Changing timing changes the trajectory.</w:t>
            </w:r>
          </w:p>
        </w:tc>
      </w:tr>
      <w:tr>
        <w:tc>
          <w:tcPr>
            <w:tcW w:type="dxa" w:w="5040"/>
          </w:tcPr>
          <w:p>
            <w:r>
              <w:t>Exercise</w:t>
            </w:r>
          </w:p>
        </w:tc>
        <w:tc>
          <w:tcPr>
            <w:tcW w:type="dxa" w:w="5040"/>
          </w:tcPr>
          <w:p>
            <w:r>
              <w:t>Acute and post-exercise effects appear.</w:t>
            </w:r>
          </w:p>
        </w:tc>
      </w:tr>
      <w:tr>
        <w:tc>
          <w:tcPr>
            <w:tcW w:type="dxa" w:w="5040"/>
          </w:tcPr>
          <w:p>
            <w:r>
              <w:t>CGM rapid change</w:t>
            </w:r>
          </w:p>
        </w:tc>
        <w:tc>
          <w:tcPr>
            <w:tcW w:type="dxa" w:w="5040"/>
          </w:tcPr>
          <w:p>
            <w:r>
              <w:t>Displayed trace lags physiological state.</w:t>
            </w:r>
          </w:p>
        </w:tc>
      </w:tr>
      <w:tr>
        <w:tc>
          <w:tcPr>
            <w:tcW w:type="dxa" w:w="5040"/>
          </w:tcPr>
          <w:p>
            <w:r>
              <w:t>Hypoglycemia</w:t>
            </w:r>
          </w:p>
        </w:tc>
        <w:tc>
          <w:tcPr>
            <w:tcW w:type="dxa" w:w="5040"/>
          </w:tcPr>
          <w:p>
            <w:r>
              <w:t>Clinical threshold classification behaves correctly.</w:t>
            </w:r>
          </w:p>
        </w:tc>
      </w:tr>
      <w:tr>
        <w:tc>
          <w:tcPr>
            <w:tcW w:type="dxa" w:w="5040"/>
          </w:tcPr>
          <w:p>
            <w:r>
              <w:t>Sensitivity perturbation</w:t>
            </w:r>
          </w:p>
        </w:tc>
        <w:tc>
          <w:tcPr>
            <w:tcW w:type="dxa" w:w="5040"/>
          </w:tcPr>
          <w:p>
            <w:r>
              <w:t>Increasing sensitivity changes responses in the expected direction.</w:t>
            </w:r>
          </w:p>
        </w:tc>
      </w:tr>
      <w:tr>
        <w:tc>
          <w:tcPr>
            <w:tcW w:type="dxa" w:w="5040"/>
          </w:tcPr>
          <w:p>
            <w:r>
              <w:t>Population</w:t>
            </w:r>
          </w:p>
        </w:tc>
        <w:tc>
          <w:tcPr>
            <w:tcW w:type="dxa" w:w="5040"/>
          </w:tcPr>
          <w:p>
            <w:r>
              <w:t>Subjects differ without becoming implausible.</w:t>
            </w:r>
          </w:p>
        </w:tc>
      </w:tr>
      <w:tr>
        <w:tc>
          <w:tcPr>
            <w:tcW w:type="dxa" w:w="5040"/>
          </w:tcPr>
          <w:p>
            <w:r>
              <w:t>Replay</w:t>
            </w:r>
          </w:p>
        </w:tc>
        <w:tc>
          <w:tcPr>
            <w:tcW w:type="dxa" w:w="5040"/>
          </w:tcPr>
          <w:p>
            <w:r>
              <w:t>Same state + events + seed reproduces the same result.</w:t>
            </w:r>
          </w:p>
        </w:tc>
      </w:tr>
    </w:tbl>
    <w:p/>
    <w:p>
      <w:pPr>
        <w:pStyle w:val="Heading1"/>
      </w:pPr>
      <w:r>
        <w:t>16. Open-source and comparable systems</w:t>
      </w:r>
    </w:p>
    <w:p>
      <w:pPr>
        <w:spacing w:after="100"/>
      </w:pPr>
      <w:r>
        <w:rPr>
          <w:b w:val="0"/>
        </w:rPr>
        <w:t>Open-source implementations are useful for cross-checking architecture and building reproducible tests. simglucose describes itself as a Python implementation of the 2008 UVA/Padova simulator and includes virtual patients.⁹ The ETH exercise-model project also provides code and associated data for reproducing its calibration and analyses.⁶ These are reference resources, not the scientific definition of Nebel.</w:t>
      </w:r>
    </w:p>
    <w:p>
      <w:pPr>
        <w:spacing w:after="100"/>
      </w:pPr>
      <w:r>
        <w:rPr>
          <w:b w:val="0"/>
        </w:rPr>
        <w:t>Educationally, DIABLOG is historically relevant: it allowed users to vary meals and insulin timing/dose and observe 24-hour glucose/insulin profiles; an early evaluation with 22 patients reported good acceptance.¹⁰ This supports the product concept that causal experimentation can be the central learning mechanism, while the underlying physiology remains hidden beneath the interface.</w:t>
      </w:r>
    </w:p>
    <w:p>
      <w:pPr>
        <w:pStyle w:val="Heading1"/>
      </w:pPr>
      <w:r>
        <w:t>17. Parameter governance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Pr>
                <w:b/>
              </w:rPr>
              <w:t>Every parameter should record</w:t>
            </w:r>
          </w:p>
        </w:tc>
        <w:tc>
          <w:tcPr>
            <w:tcW w:type="dxa" w:w="5040"/>
            <w:vAlign w:val="center"/>
            <w:shd w:fill="EDEDED"/>
          </w:tcPr>
          <w:p>
            <w:r>
              <w:rPr>
                <w:b/>
              </w:rPr>
              <w:t>Example metadata</w:t>
            </w:r>
          </w:p>
        </w:tc>
      </w:tr>
      <w:tr>
        <w:tc>
          <w:tcPr>
            <w:tcW w:type="dxa" w:w="5040"/>
          </w:tcPr>
          <w:p>
            <w:r>
              <w:t>Name + unit</w:t>
            </w:r>
          </w:p>
        </w:tc>
        <w:tc>
          <w:tcPr>
            <w:tcW w:type="dxa" w:w="5040"/>
          </w:tcPr>
          <w:p>
            <w:r>
              <w:t>insulin action rate, min⁻¹</w:t>
            </w:r>
          </w:p>
        </w:tc>
      </w:tr>
      <w:tr>
        <w:tc>
          <w:tcPr>
            <w:tcW w:type="dxa" w:w="5040"/>
          </w:tcPr>
          <w:p>
            <w:r>
              <w:t>Definition</w:t>
            </w:r>
          </w:p>
        </w:tc>
        <w:tc>
          <w:tcPr>
            <w:tcW w:type="dxa" w:w="5040"/>
          </w:tcPr>
          <w:p>
            <w:r>
              <w:t>What physiological process it controls</w:t>
            </w:r>
          </w:p>
        </w:tc>
      </w:tr>
      <w:tr>
        <w:tc>
          <w:tcPr>
            <w:tcW w:type="dxa" w:w="5040"/>
          </w:tcPr>
          <w:p>
            <w:r>
              <w:t>Source</w:t>
            </w:r>
          </w:p>
        </w:tc>
        <w:tc>
          <w:tcPr>
            <w:tcW w:type="dxa" w:w="5040"/>
          </w:tcPr>
          <w:p>
            <w:r>
              <w:t>Paper / guideline / dataset</w:t>
            </w:r>
          </w:p>
        </w:tc>
      </w:tr>
      <w:tr>
        <w:tc>
          <w:tcPr>
            <w:tcW w:type="dxa" w:w="5040"/>
          </w:tcPr>
          <w:p>
            <w:r>
              <w:t>Population</w:t>
            </w:r>
          </w:p>
        </w:tc>
        <w:tc>
          <w:tcPr>
            <w:tcW w:type="dxa" w:w="5040"/>
          </w:tcPr>
          <w:p>
            <w:r>
              <w:t>Adults, children, T1D, healthy etc.</w:t>
            </w:r>
          </w:p>
        </w:tc>
      </w:tr>
      <w:tr>
        <w:tc>
          <w:tcPr>
            <w:tcW w:type="dxa" w:w="5040"/>
          </w:tcPr>
          <w:p>
            <w:r>
              <w:t>Nominal value</w:t>
            </w:r>
          </w:p>
        </w:tc>
        <w:tc>
          <w:tcPr>
            <w:tcW w:type="dxa" w:w="5040"/>
          </w:tcPr>
          <w:p>
            <w:r>
              <w:t>Reference value used by default</w:t>
            </w:r>
          </w:p>
        </w:tc>
      </w:tr>
      <w:tr>
        <w:tc>
          <w:tcPr>
            <w:tcW w:type="dxa" w:w="5040"/>
          </w:tcPr>
          <w:p>
            <w:r>
              <w:t>Range/distribution</w:t>
            </w:r>
          </w:p>
        </w:tc>
        <w:tc>
          <w:tcPr>
            <w:tcW w:type="dxa" w:w="5040"/>
          </w:tcPr>
          <w:p>
            <w:r>
              <w:t>Plausible population variability</w:t>
            </w:r>
          </w:p>
        </w:tc>
      </w:tr>
      <w:tr>
        <w:tc>
          <w:tcPr>
            <w:tcW w:type="dxa" w:w="5040"/>
          </w:tcPr>
          <w:p>
            <w:r>
              <w:t>Confidence</w:t>
            </w:r>
          </w:p>
        </w:tc>
        <w:tc>
          <w:tcPr>
            <w:tcW w:type="dxa" w:w="5040"/>
          </w:tcPr>
          <w:p>
            <w:r>
              <w:t>High / medium / low</w:t>
            </w:r>
          </w:p>
        </w:tc>
      </w:tr>
      <w:tr>
        <w:tc>
          <w:tcPr>
            <w:tcW w:type="dxa" w:w="5040"/>
          </w:tcPr>
          <w:p>
            <w:r>
              <w:t>Calibration status</w:t>
            </w:r>
          </w:p>
        </w:tc>
        <w:tc>
          <w:tcPr>
            <w:tcW w:type="dxa" w:w="5040"/>
          </w:tcPr>
          <w:p>
            <w:r>
              <w:t>Literature / fitted / provisional</w:t>
            </w:r>
          </w:p>
        </w:tc>
      </w:tr>
      <w:tr>
        <w:tc>
          <w:tcPr>
            <w:tcW w:type="dxa" w:w="5040"/>
          </w:tcPr>
          <w:p>
            <w:r>
              <w:t>Validation scenario</w:t>
            </w:r>
          </w:p>
        </w:tc>
        <w:tc>
          <w:tcPr>
            <w:tcW w:type="dxa" w:w="5040"/>
          </w:tcPr>
          <w:p>
            <w:r>
              <w:t>Which test demonstrates behavior</w:t>
            </w:r>
          </w:p>
        </w:tc>
      </w:tr>
    </w:tbl>
    <w:p/>
    <w:p>
      <w:pPr>
        <w:spacing w:after="100"/>
      </w:pPr>
      <w:r>
        <w:rPr>
          <w:b w:val="0"/>
        </w:rPr>
        <w:t>This prevents a common failure mode: a number becomes embedded in code, later looks authoritative, and loses the context of why it exists.</w:t>
      </w:r>
    </w:p>
    <w:p>
      <w:pPr>
        <w:pStyle w:val="Heading1"/>
      </w:pPr>
      <w:r>
        <w:t>18. Research register</w:t>
      </w:r>
    </w:p>
    <w:p>
      <w:pPr>
        <w:pStyle w:val="ListNumber"/>
      </w:pPr>
      <w:r>
        <w:rPr>
          <w:b/>
        </w:rPr>
        <w:t xml:space="preserve">Hovorka et al. (2002). </w:t>
      </w:r>
      <w:r>
        <w:t>Partitioning glucose distribution/transport, disposal, and endogenous production during IVGTT. https://pubmed.ncbi.nlm.nih.gov/11934663/</w:t>
      </w:r>
    </w:p>
    <w:p>
      <w:pPr>
        <w:pStyle w:val="ListNumber"/>
      </w:pPr>
      <w:r>
        <w:rPr>
          <w:b/>
        </w:rPr>
        <w:t xml:space="preserve">Dalla Man, Rizza &amp; Cobelli (2007). </w:t>
      </w:r>
      <w:r>
        <w:t>Meal simulation model of the glucose-insulin system. https://pubmed.ncbi.nlm.nih.gov/17926672/</w:t>
      </w:r>
    </w:p>
    <w:p>
      <w:pPr>
        <w:pStyle w:val="ListNumber"/>
      </w:pPr>
      <w:r>
        <w:rPr>
          <w:b/>
        </w:rPr>
        <w:t xml:space="preserve">Cobelli &amp; Kovatchev (2023). </w:t>
      </w:r>
      <w:r>
        <w:t>Developing the UVA/Padova Type 1 Diabetes Simulator: Modeling, Validation, Refinements, and Utility. https://pmc.ncbi.nlm.nih.gov/articles/PMC10658679/</w:t>
      </w:r>
    </w:p>
    <w:p>
      <w:pPr>
        <w:pStyle w:val="ListNumber"/>
      </w:pPr>
      <w:r>
        <w:rPr>
          <w:b/>
        </w:rPr>
        <w:t xml:space="preserve">ISPAD (2022). </w:t>
      </w:r>
      <w:r>
        <w:t>Clinical Practice Consensus Guidelines: Diabetes technologies: Glucose monitoring. https://pmc.ncbi.nlm.nih.gov/articles/PMC10107687/</w:t>
      </w:r>
    </w:p>
    <w:p>
      <w:pPr>
        <w:pStyle w:val="ListNumber"/>
      </w:pPr>
      <w:r>
        <w:rPr>
          <w:b/>
        </w:rPr>
        <w:t xml:space="preserve">Dalla Man, Breton &amp; Cobelli (2009). </w:t>
      </w:r>
      <w:r>
        <w:t>Physical Activity into the Meal Glucose–Insulin Model of Type 1 Diabetes: In Silico Studies. https://pmc.ncbi.nlm.nih.gov/articles/PMC2769836/</w:t>
      </w:r>
    </w:p>
    <w:p>
      <w:pPr>
        <w:pStyle w:val="ListNumber"/>
      </w:pPr>
      <w:r>
        <w:rPr>
          <w:b/>
        </w:rPr>
        <w:t xml:space="preserve">Félix et al. (2023). </w:t>
      </w:r>
      <w:r>
        <w:t>New model of glucose-insulin regulation characterizes effects of physical activity.... https://pmc.ncbi.nlm.nih.gov/articles/PMC9974135/</w:t>
      </w:r>
    </w:p>
    <w:p>
      <w:pPr>
        <w:pStyle w:val="ListNumber"/>
      </w:pPr>
      <w:r>
        <w:rPr>
          <w:b/>
        </w:rPr>
        <w:t xml:space="preserve">ADA (2026). </w:t>
      </w:r>
      <w:r>
        <w:t>Standards of Care in Diabetes—2026: Facilitating Positive Health Behaviors and Well-being. https://diabetesjournals.org/care/article/49/Supplement_1/S89/163932/5-Facilitating-Positive-Health-Behaviors-and-Well</w:t>
      </w:r>
    </w:p>
    <w:p>
      <w:pPr>
        <w:pStyle w:val="ListNumber"/>
      </w:pPr>
      <w:r>
        <w:rPr>
          <w:b/>
        </w:rPr>
        <w:t xml:space="preserve">ADA (2026). </w:t>
      </w:r>
      <w:r>
        <w:t>Standards of Care in Diabetes—2026: Glycemic Goals, Hypoglycemia, and Hyperglycemic Crises. https://diabetesjournals.org/care/article/49/Supplement_1/S132/163927/6-Glycemic-Goals-Hypoglycemia-and-Hyperglycemic</w:t>
      </w:r>
    </w:p>
    <w:p>
      <w:pPr>
        <w:pStyle w:val="ListNumber"/>
      </w:pPr>
      <w:r>
        <w:rPr>
          <w:b/>
        </w:rPr>
        <w:t xml:space="preserve">Xie / simglucose. </w:t>
      </w:r>
      <w:r>
        <w:t>Type-1 Diabetes simulator implemented in Python. https://github.com/jxx123/simglucose</w:t>
      </w:r>
    </w:p>
    <w:p>
      <w:pPr>
        <w:pStyle w:val="ListNumber"/>
      </w:pPr>
      <w:r>
        <w:rPr>
          <w:b/>
        </w:rPr>
        <w:t xml:space="preserve">DIABLOG (1990). </w:t>
      </w:r>
      <w:r>
        <w:t>A simulation program of insulin-glucose dynamics for education of diabetics. https://pubmed.ncbi.nlm.nih.gov/2249430/</w:t>
      </w:r>
    </w:p>
    <w:p>
      <w:pPr>
        <w:pStyle w:val="ListNumber"/>
      </w:pPr>
      <w:r>
        <w:rPr>
          <w:b/>
        </w:rPr>
        <w:t xml:space="preserve">Bergman et al. (1979). </w:t>
      </w:r>
      <w:r>
        <w:t>Quantitative estimation of insulin sensitivity. https://pubmed.ncbi.nlm.nih.gov/443421/</w:t>
      </w:r>
    </w:p>
    <w:p>
      <w:pPr>
        <w:pStyle w:val="Heading1"/>
      </w:pPr>
      <w:r>
        <w:t>19. Immediate next research step</w:t>
      </w:r>
    </w:p>
    <w:p>
      <w:pPr>
        <w:spacing w:after="100"/>
      </w:pPr>
      <w:r>
        <w:rPr>
          <w:b w:val="0"/>
        </w:rPr>
        <w:t>Before writing engine code, the next artifact should be a formal equation-and-parameter specification for the selected V1 model.</w:t>
      </w:r>
    </w:p>
    <w:p>
      <w:pPr>
        <w:pStyle w:val="ListBullet"/>
      </w:pPr>
      <w:r>
        <w:t>Choose the exact glucose equations.</w:t>
      </w:r>
    </w:p>
    <w:p>
      <w:pPr>
        <w:pStyle w:val="ListBullet"/>
      </w:pPr>
      <w:r>
        <w:t>Choose the exact insulin absorption/action equations.</w:t>
      </w:r>
    </w:p>
    <w:p>
      <w:pPr>
        <w:pStyle w:val="ListBullet"/>
      </w:pPr>
      <w:r>
        <w:t>Choose the exact meal absorption model.</w:t>
      </w:r>
    </w:p>
    <w:p>
      <w:pPr>
        <w:pStyle w:val="ListBullet"/>
      </w:pPr>
      <w:r>
        <w:t>Choose the exercise model and required parameters.</w:t>
      </w:r>
    </w:p>
    <w:p>
      <w:pPr>
        <w:pStyle w:val="ListBullet"/>
      </w:pPr>
      <w:r>
        <w:t>Define the minimum virtual-person parameter set.</w:t>
      </w:r>
    </w:p>
    <w:p>
      <w:pPr>
        <w:pStyle w:val="ListBullet"/>
      </w:pPr>
      <w:r>
        <w:t>Assign units, ranges, distributions, sources and confidence to every parameter.</w:t>
      </w:r>
    </w:p>
    <w:p>
      <w:pPr>
        <w:pStyle w:val="ListBullet"/>
      </w:pPr>
      <w:r>
        <w:t>Define numerical integration and timestep requirements.</w:t>
      </w:r>
    </w:p>
    <w:p>
      <w:pPr>
        <w:pStyle w:val="ListBullet"/>
      </w:pPr>
      <w:r>
        <w:t>Create the validation scenario suite before implementation.</w:t>
      </w:r>
    </w:p>
    <w:p>
      <w:pPr>
        <w:spacing w:after="100"/>
      </w:pPr>
      <w:r>
        <w:rPr>
          <w:b w:val="0"/>
        </w:rPr>
        <w:t>This document is therefore the scientific foundation for the engine. The old prototype remains an experience prototype and should be evaluated separately for interaction design, information hierarchy and visual communication.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