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"/>
      </w:pPr>
      <w:r>
        <w:rPr>
          <w:b/>
          <w:color w:val="007E83"/>
          <w:sz w:val="18"/>
        </w:rPr>
        <w:t>IMPROVEMENT 03 OF 05  |  DETAILED FEATURE DOCUMENT</w:t>
      </w:r>
    </w:p>
    <w:p>
      <w:pPr>
        <w:pStyle w:val="Title"/>
      </w:pPr>
      <w:r>
        <w:t>Service and Lasting Resolution Verification</w:t>
      </w:r>
    </w:p>
    <w:p>
      <w:pPr>
        <w:spacing w:after="300"/>
      </w:pPr>
      <w:r>
        <w:rPr>
          <w:i/>
          <w:color w:val="566477"/>
          <w:sz w:val="23"/>
        </w:rPr>
        <w:t>Separate “someone visited” from “the problem stayed fixed.”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89"/>
            <w:shd w:fill="EFF6F6"/>
            <w:tcMar>
              <w:top w:w="150" w:type="dxa"/>
              <w:start w:w="180" w:type="dxa"/>
              <w:bottom w:w="140" w:type="dxa"/>
              <w:end w:w="180" w:type="dxa"/>
            </w:tcMar>
            <w:tcBorders>
              <w:left w:val="single" w:sz="22" w:color="12A2A6"/>
            </w:tcBorders>
          </w:tcPr>
          <w:p>
            <w:pPr>
              <w:spacing w:after="40"/>
            </w:pPr>
            <w:r>
              <w:rPr>
                <w:b/>
                <w:color w:val="007E83"/>
                <w:sz w:val="16"/>
              </w:rPr>
              <w:t>IN ONE SENTENCE</w:t>
            </w:r>
          </w:p>
          <w:p>
            <w:pPr>
              <w:spacing w:after="20" w:line="276" w:lineRule="auto"/>
            </w:pPr>
            <w:r>
              <w:t>Record proof that work happened, then independently check whether the site remains clear later.</w:t>
            </w:r>
          </w:p>
        </w:tc>
      </w:tr>
    </w:tbl>
    <w:p>
      <w:pPr>
        <w:spacing w:after="0"/>
      </w:pPr>
    </w:p>
    <w:p>
      <w:pPr>
        <w:pStyle w:val="Heading2"/>
      </w:pPr>
      <w: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7128"/>
      </w:tblGrid>
      <w:tr>
        <w:trPr>
          <w:tblHeader w:val="true"/>
        </w:trPr>
        <w:tc>
          <w:tcPr>
            <w:tcW w:type="dxa" w:w="4744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744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Simple answer</w:t>
            </w:r>
          </w:p>
        </w:tc>
      </w:tr>
      <w:tr>
        <w:tc>
          <w:tcPr>
            <w:tcW w:type="dxa" w:w="2275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Who uses it?</w:t>
            </w:r>
          </w:p>
        </w:tc>
        <w:tc>
          <w:tcPr>
            <w:tcW w:type="dxa" w:w="7128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Field worker, supervisor, contractor, property owner</w:t>
            </w:r>
          </w:p>
        </w:tc>
      </w:tr>
      <w:tr>
        <w:tc>
          <w:tcPr>
            <w:tcW w:type="dxa" w:w="227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Main benefit</w:t>
            </w:r>
          </w:p>
        </w:tc>
        <w:tc>
          <w:tcPr>
            <w:tcW w:type="dxa" w:w="712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Improve trust in service records and see whether a problem truly stays resolved.</w:t>
            </w:r>
          </w:p>
        </w:tc>
      </w:tr>
      <w:tr>
        <w:tc>
          <w:tcPr>
            <w:tcW w:type="dxa" w:w="2275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Recommended stage</w:t>
            </w:r>
          </w:p>
        </w:tc>
        <w:tc>
          <w:tcPr>
            <w:tcW w:type="dxa" w:w="7128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Build early, alongside the site registry and before advanced prediction</w:t>
            </w:r>
          </w:p>
        </w:tc>
      </w:tr>
      <w:tr>
        <w:tc>
          <w:tcPr>
            <w:tcW w:type="dxa" w:w="227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What it depends on</w:t>
            </w:r>
          </w:p>
        </w:tc>
        <w:tc>
          <w:tcPr>
            <w:tcW w:type="dxa" w:w="712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A location ID, work-order record, time-stamped evidence, and a follow-up process.</w:t>
            </w:r>
          </w:p>
        </w:tc>
      </w:tr>
    </w:tbl>
    <w:p>
      <w:pPr>
        <w:spacing w:after="0"/>
      </w:pPr>
    </w:p>
    <w:p>
      <w:r>
        <w:t>Document purpose: explain this new feature in easy English, show how it could work, and give a practical development and testing plan. This is a proposal from the supplied improvement notes; it is not a claim that the feature is already built.</w:t>
      </w:r>
    </w:p>
    <w:p>
      <w:pPr>
        <w:pStyle w:val="Heading1"/>
      </w:pPr>
      <w:r>
        <w:t>1. The basic idea</w:t>
      </w:r>
    </w:p>
    <w:p>
      <w:r>
        <w:t>In many systems, pressing “Complete” closes a job immediately. That can hide unfinished work, unclear proof, or a problem that returns two days later. This improvement keeps two separate answers: “Was the visit completed?” and “Did the fix last?”</w:t>
      </w:r>
    </w:p>
    <w:p>
      <w:pPr>
        <w:pStyle w:val="Heading1"/>
      </w:pPr>
      <w:r>
        <w:t>2. Why this distinction matters</w:t>
      </w:r>
    </w:p>
    <w:p>
      <w:r>
        <w:t>A contractor may clean a water-filled drain correctly. The worker can finish the visit on time, but the drain can fill again after the next rain. Both facts matter. The contractor did do a service; the location may still need a stronger solution.</w:t>
      </w:r>
    </w:p>
    <w:p>
      <w:r>
        <w:t>Treating them as two separate checks creates an honest record. It helps supervisors, customers, and good contractors see what happened without claiming more than the evidence proves.</w:t>
      </w:r>
    </w:p>
    <w:p>
      <w:pPr>
        <w:pStyle w:val="Heading1"/>
      </w:pPr>
      <w:r>
        <w:t>3. A realistic example</w:t>
      </w:r>
    </w:p>
    <w:p>
      <w:r>
        <w:t>A worker is assigned to remove standing water from a construction pit. They visit the correct site, record what they did, and upload after-work photographs. A supervisor accepts the service evidence. The order status becomes “Work verified — follow-up needed.”</w:t>
      </w:r>
    </w:p>
    <w:p>
      <w:r>
        <w:t>After the next rainfall, an inspector checks the pit again. If it remains clear, the issue can be marked “Resolved after follow-up.” If water returns, the system reopens the issue and links it to the same location history.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89"/>
            <w:shd w:fill="EFF6F6"/>
            <w:tcMar>
              <w:top w:w="150" w:type="dxa"/>
              <w:start w:w="180" w:type="dxa"/>
              <w:bottom w:w="140" w:type="dxa"/>
              <w:end w:w="180" w:type="dxa"/>
            </w:tcMar>
            <w:tcBorders>
              <w:left w:val="single" w:sz="22" w:color="12A2A6"/>
            </w:tcBorders>
          </w:tcPr>
          <w:p>
            <w:pPr>
              <w:spacing w:after="40"/>
            </w:pPr>
            <w:r>
              <w:rPr>
                <w:b/>
                <w:color w:val="007E83"/>
                <w:sz w:val="16"/>
              </w:rPr>
              <w:t>TWO SEPARATE OUTCOMES</w:t>
            </w:r>
          </w:p>
          <w:p>
            <w:pPr>
              <w:spacing w:after="20" w:line="276" w:lineRule="auto"/>
            </w:pPr>
            <w:r>
              <w:t>Work completed: the agreed activity appears to have been done.  |  Problem resolved: a later inspection found the site in the expected condition. One does not automatically prove the other.</w:t>
            </w:r>
          </w:p>
        </w:tc>
      </w:tr>
    </w:tbl>
    <w:p>
      <w:pPr>
        <w:spacing w:after="0"/>
      </w:pPr>
    </w:p>
    <w:p>
      <w:pPr>
        <w:pStyle w:val="Heading1"/>
      </w:pPr>
      <w:r>
        <w:t>4. Step-by-step workflow</w:t>
      </w:r>
    </w:p>
    <w:p>
      <w:pPr>
        <w:pStyle w:val="ListNumber"/>
      </w:pPr>
      <w:r>
        <w:t>Create a task: specify the exact site, problem, required action, assigned worker, due date, and what evidence is expected.</w:t>
      </w:r>
    </w:p>
    <w:p>
      <w:pPr>
        <w:pStyle w:val="ListNumber"/>
      </w:pPr>
      <w:r>
        <w:t>Worker confirms arrival and completes the agreed task. Save timestamps, notes, material used, and photos where appropriate.</w:t>
      </w:r>
    </w:p>
    <w:p>
      <w:pPr>
        <w:pStyle w:val="ListNumber"/>
      </w:pPr>
      <w:r>
        <w:t>System checks basic completeness: correct work order, allowed file type, sufficient evidence, and possible duplicate upload.</w:t>
      </w:r>
    </w:p>
    <w:p>
      <w:pPr>
        <w:pStyle w:val="ListNumber"/>
      </w:pPr>
      <w:r>
        <w:t>Supervisor reviews the evidence and either accepts the completed service or requests more information.</w:t>
      </w:r>
    </w:p>
    <w:p>
      <w:pPr>
        <w:pStyle w:val="ListNumber"/>
      </w:pPr>
      <w:r>
        <w:t>The case remains on a follow-up list if the resolution must be checked later.</w:t>
      </w:r>
    </w:p>
    <w:p>
      <w:pPr>
        <w:pStyle w:val="ListNumber"/>
      </w:pPr>
      <w:r>
        <w:t>Inspector performs the follow-up and records “clear,” “still present,” or “uncertain.”</w:t>
      </w:r>
    </w:p>
    <w:p>
      <w:pPr>
        <w:pStyle w:val="ListNumber"/>
      </w:pPr>
      <w:r>
        <w:t>If the issue returns, reopen it and record the new finding without deleting earlier service history.</w:t>
      </w:r>
    </w:p>
    <w:p>
      <w:pPr>
        <w:pStyle w:val="Heading1"/>
      </w:pPr>
      <w:r>
        <w:t>5. Job statuses in simple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4752"/>
        <w:gridCol w:w="2203"/>
      </w:tblGrid>
      <w:tr>
        <w:trPr>
          <w:tblHeader w:val="true"/>
        </w:trPr>
        <w:tc>
          <w:tcPr>
            <w:tcW w:type="dxa" w:w="3163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63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163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Who changes it</w:t>
            </w:r>
          </w:p>
        </w:tc>
      </w:tr>
      <w:tr>
        <w:tc>
          <w:tcPr>
            <w:tcW w:type="dxa" w:w="2448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Assigned</w:t>
            </w:r>
          </w:p>
        </w:tc>
        <w:tc>
          <w:tcPr>
            <w:tcW w:type="dxa" w:w="4752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A worker has the task.</w:t>
            </w:r>
          </w:p>
        </w:tc>
        <w:tc>
          <w:tcPr>
            <w:tcW w:type="dxa" w:w="2203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Manager or dispatcher</w:t>
            </w:r>
          </w:p>
        </w:tc>
      </w:tr>
      <w:tr>
        <w:tc>
          <w:tcPr>
            <w:tcW w:type="dxa" w:w="244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In progress</w:t>
            </w:r>
          </w:p>
        </w:tc>
        <w:tc>
          <w:tcPr>
            <w:tcW w:type="dxa" w:w="475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The worker started the task.</w:t>
            </w:r>
          </w:p>
        </w:tc>
        <w:tc>
          <w:tcPr>
            <w:tcW w:type="dxa" w:w="220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Worker</w:t>
            </w:r>
          </w:p>
        </w:tc>
      </w:tr>
      <w:tr>
        <w:tc>
          <w:tcPr>
            <w:tcW w:type="dxa" w:w="2448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Evidence submitted</w:t>
            </w:r>
          </w:p>
        </w:tc>
        <w:tc>
          <w:tcPr>
            <w:tcW w:type="dxa" w:w="4752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Worker says work is done and uploads proof.</w:t>
            </w:r>
          </w:p>
        </w:tc>
        <w:tc>
          <w:tcPr>
            <w:tcW w:type="dxa" w:w="2203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Worker</w:t>
            </w:r>
          </w:p>
        </w:tc>
      </w:tr>
      <w:tr>
        <w:tc>
          <w:tcPr>
            <w:tcW w:type="dxa" w:w="244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Work verified</w:t>
            </w:r>
          </w:p>
        </w:tc>
        <w:tc>
          <w:tcPr>
            <w:tcW w:type="dxa" w:w="475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Supervisor accepted evidence of the service.</w:t>
            </w:r>
          </w:p>
        </w:tc>
        <w:tc>
          <w:tcPr>
            <w:tcW w:type="dxa" w:w="220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Supervisor</w:t>
            </w:r>
          </w:p>
        </w:tc>
      </w:tr>
      <w:tr>
        <w:tc>
          <w:tcPr>
            <w:tcW w:type="dxa" w:w="2448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Follow-up due</w:t>
            </w:r>
          </w:p>
        </w:tc>
        <w:tc>
          <w:tcPr>
            <w:tcW w:type="dxa" w:w="4752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A later site check is still required.</w:t>
            </w:r>
          </w:p>
        </w:tc>
        <w:tc>
          <w:tcPr>
            <w:tcW w:type="dxa" w:w="2203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System/manager</w:t>
            </w:r>
          </w:p>
        </w:tc>
      </w:tr>
      <w:tr>
        <w:tc>
          <w:tcPr>
            <w:tcW w:type="dxa" w:w="244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Resolved after follow-up</w:t>
            </w:r>
          </w:p>
        </w:tc>
        <w:tc>
          <w:tcPr>
            <w:tcW w:type="dxa" w:w="475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An authorized person confirmed the intended condition.</w:t>
            </w:r>
          </w:p>
        </w:tc>
        <w:tc>
          <w:tcPr>
            <w:tcW w:type="dxa" w:w="220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Inspector/supervisor</w:t>
            </w:r>
          </w:p>
        </w:tc>
      </w:tr>
      <w:tr>
        <w:tc>
          <w:tcPr>
            <w:tcW w:type="dxa" w:w="2448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Reopened / needs action</w:t>
            </w:r>
          </w:p>
        </w:tc>
        <w:tc>
          <w:tcPr>
            <w:tcW w:type="dxa" w:w="4752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Issue still exists or came back.</w:t>
            </w:r>
          </w:p>
        </w:tc>
        <w:tc>
          <w:tcPr>
            <w:tcW w:type="dxa" w:w="2203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Inspector/manager</w:t>
            </w:r>
          </w:p>
        </w:tc>
      </w:tr>
    </w:tbl>
    <w:p>
      <w:pPr>
        <w:spacing w:after="0"/>
      </w:pPr>
    </w:p>
    <w:p>
      <w:r>
        <w:t>A rejected photo should not mean the worker failed the task. It means the evidence needs clarification. Save the rejection reason and allow resubmission.</w:t>
      </w:r>
    </w:p>
    <w:p>
      <w:pPr>
        <w:pStyle w:val="Heading1"/>
      </w:pPr>
      <w:r>
        <w:t>6. What evidence should be recorded?</w:t>
      </w:r>
    </w:p>
    <w:p>
      <w:pPr>
        <w:pStyle w:val="ListBullet"/>
      </w:pPr>
      <w:r>
        <w:t>A photo or short video of the specific site, when appropriate and allowed.</w:t>
      </w:r>
    </w:p>
    <w:p>
      <w:pPr>
        <w:pStyle w:val="ListBullet"/>
      </w:pPr>
      <w:r>
        <w:t>A selected action type: cleaned, drained, repaired, covered, inspected, or unable to access.</w:t>
      </w:r>
    </w:p>
    <w:p>
      <w:pPr>
        <w:pStyle w:val="ListBullet"/>
      </w:pPr>
      <w:r>
        <w:t>Worker name, task ID, capture time, upload time, and supervisor decision.</w:t>
      </w:r>
    </w:p>
    <w:p>
      <w:pPr>
        <w:pStyle w:val="ListBullet"/>
      </w:pPr>
      <w:r>
        <w:t>A short written description of what changed and what still needs attention.</w:t>
      </w:r>
    </w:p>
    <w:p>
      <w:pPr>
        <w:pStyle w:val="ListBullet"/>
      </w:pPr>
      <w:r>
        <w:t>Optional location evidence such as a scanned on-site QR label or geolocation.</w:t>
      </w:r>
    </w:p>
    <w:p>
      <w:pPr>
        <w:pStyle w:val="ListBullet"/>
      </w:pPr>
      <w:r>
        <w:t>Independent follow-up observation, with date and responsible reviewer.</w:t>
      </w:r>
    </w:p>
    <w:p>
      <w:pPr>
        <w:pStyle w:val="Heading1"/>
      </w:pPr>
      <w:r>
        <w:t>7. Where computer vision may help</w:t>
      </w:r>
    </w:p>
    <w:p>
      <w:r>
        <w:t>A future image tool could flag photographs that look identical to old submissions, are too blurry, or do not appear to show the required area. These are warning flags for a human—not proof that the worker lied.</w:t>
      </w:r>
    </w:p>
    <w:p>
      <w:r>
        <w:t>GPS can be inaccurate indoors; timestamps can be misleading; before-and-after photos may use different angles. The safest first version relies on evidence requirements, clear records, and human review.</w:t>
      </w:r>
    </w:p>
    <w:p>
      <w:pPr>
        <w:pStyle w:val="Heading1"/>
      </w:pPr>
      <w:r>
        <w:t>8. What each user sees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243"/>
      </w:tblGrid>
      <w:tr>
        <w:trPr>
          <w:tblHeader w:val="true"/>
        </w:trPr>
        <w:tc>
          <w:tcPr>
            <w:tcW w:type="dxa" w:w="4744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User</w:t>
            </w:r>
          </w:p>
        </w:tc>
        <w:tc>
          <w:tcPr>
            <w:tcW w:type="dxa" w:w="4744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Main view</w:t>
            </w:r>
          </w:p>
        </w:tc>
      </w:tr>
      <w:tr>
        <w:tc>
          <w:tcPr>
            <w:tcW w:type="dxa" w:w="2160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Worker</w:t>
            </w:r>
          </w:p>
        </w:tc>
        <w:tc>
          <w:tcPr>
            <w:tcW w:type="dxa" w:w="7243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Assigned tasks; step-by-step evidence form; upload status; review feedback.</w:t>
            </w:r>
          </w:p>
        </w:tc>
      </w:tr>
      <w:tr>
        <w:tc>
          <w:tcPr>
            <w:tcW w:type="dxa" w:w="2160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Supervisor</w:t>
            </w:r>
          </w:p>
        </w:tc>
        <w:tc>
          <w:tcPr>
            <w:tcW w:type="dxa" w:w="724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Evidence review queue; missing information; approve/reject with reason.</w:t>
            </w:r>
          </w:p>
        </w:tc>
      </w:tr>
      <w:tr>
        <w:tc>
          <w:tcPr>
            <w:tcW w:type="dxa" w:w="2160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Property manager</w:t>
            </w:r>
          </w:p>
        </w:tc>
        <w:tc>
          <w:tcPr>
            <w:tcW w:type="dxa" w:w="7243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Completed visits, due follow-ups, reopened cases, and contractor performance.</w:t>
            </w:r>
          </w:p>
        </w:tc>
      </w:tr>
      <w:tr>
        <w:tc>
          <w:tcPr>
            <w:tcW w:type="dxa" w:w="2160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Client or auditor</w:t>
            </w:r>
          </w:p>
        </w:tc>
        <w:tc>
          <w:tcPr>
            <w:tcW w:type="dxa" w:w="724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Read-only service history and downloadable, permission-limited reports.</w:t>
            </w:r>
          </w:p>
        </w:tc>
      </w:tr>
    </w:tbl>
    <w:p>
      <w:pPr>
        <w:spacing w:after="0"/>
      </w:pPr>
    </w:p>
    <w:p>
      <w:pPr>
        <w:pStyle w:val="Heading1"/>
      </w:pPr>
      <w:r>
        <w:t>9. Storage and integration</w:t>
      </w:r>
    </w:p>
    <w:p>
      <w:r>
        <w:t>Each service event should link to one work order and one site location. Save evidence files separately from the main database, with secure file links. The database should keep a versioned record of review decisions and changes.</w:t>
      </w:r>
    </w:p>
    <w:p>
      <w:r>
        <w:t>The earlier site-history feature supplies location information; the scheduling feature decides when follow-up is reasonable; the repair-planning feature uses repeat visits and actual expenses. This creates one connected flow rather than three unrelated dashboards.</w:t>
      </w:r>
    </w:p>
    <w:p>
      <w:pPr>
        <w:pStyle w:val="Heading1"/>
      </w:pPr>
      <w:r>
        <w:t>10. Build in stages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5"/>
        <w:gridCol w:w="3888"/>
        <w:gridCol w:w="4320"/>
      </w:tblGrid>
      <w:tr>
        <w:trPr>
          <w:tblHeader w:val="true"/>
        </w:trPr>
        <w:tc>
          <w:tcPr>
            <w:tcW w:type="dxa" w:w="3163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163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What to build</w:t>
            </w:r>
          </w:p>
        </w:tc>
        <w:tc>
          <w:tcPr>
            <w:tcW w:type="dxa" w:w="3163"/>
            <w:shd w:fill="172C4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r>
              <w:rPr>
                <w:b/>
                <w:color w:val="FFFFFF"/>
                <w:sz w:val="17"/>
              </w:rPr>
              <w:t>Acceptance test</w:t>
            </w:r>
          </w:p>
        </w:tc>
      </w:tr>
      <w:tr>
        <w:tc>
          <w:tcPr>
            <w:tcW w:type="dxa" w:w="1195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MVP</w:t>
            </w:r>
          </w:p>
        </w:tc>
        <w:tc>
          <w:tcPr>
            <w:tcW w:type="dxa" w:w="3888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Work-order states, evidence upload, supervisor sign-off, follow-up result.</w:t>
            </w:r>
          </w:p>
        </w:tc>
        <w:tc>
          <w:tcPr>
            <w:tcW w:type="dxa" w:w="4320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Completed service and confirmed resolution cannot be confused.</w:t>
            </w:r>
          </w:p>
        </w:tc>
      </w:tr>
      <w:tr>
        <w:tc>
          <w:tcPr>
            <w:tcW w:type="dxa" w:w="119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Pilot</w:t>
            </w:r>
          </w:p>
        </w:tc>
        <w:tc>
          <w:tcPr>
            <w:tcW w:type="dxa" w:w="388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Contractor portal, QR scans, automatic reminders, exportable audit trail.</w:t>
            </w:r>
          </w:p>
        </w:tc>
        <w:tc>
          <w:tcPr>
            <w:tcW w:type="dxa" w:w="4320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Every decision can be traced to an authorized user and time.</w:t>
            </w:r>
          </w:p>
        </w:tc>
      </w:tr>
      <w:tr>
        <w:tc>
          <w:tcPr>
            <w:tcW w:type="dxa" w:w="1195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b/>
                <w:sz w:val="16"/>
              </w:rPr>
              <w:t>Later</w:t>
            </w:r>
          </w:p>
        </w:tc>
        <w:tc>
          <w:tcPr>
            <w:tcW w:type="dxa" w:w="3888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Image quality and duplicate-image flags, evidence scoring with human review.</w:t>
            </w:r>
          </w:p>
        </w:tc>
        <w:tc>
          <w:tcPr>
            <w:tcW w:type="dxa" w:w="4320"/>
            <w:tcMar>
              <w:top w:w="115" w:type="dxa"/>
              <w:start w:w="115" w:type="dxa"/>
              <w:bottom w:w="115" w:type="dxa"/>
              <w:end w:w="115" w:type="dxa"/>
            </w:tcMar>
            <w:shd w:fill="F4F8FA"/>
            <w:vAlign w:val="center"/>
            <w:tcBorders>
              <w:bottom w:val="single" w:sz="5" w:color="DFE9EA"/>
            </w:tcBorders>
          </w:tcPr>
          <w:p>
            <w:pPr>
              <w:spacing w:after="0" w:line="264" w:lineRule="auto"/>
            </w:pPr>
            <w:r>
              <w:rPr>
                <w:sz w:val="16"/>
              </w:rPr>
              <w:t>Low false-accusation rate on a labeled test set.</w:t>
            </w:r>
          </w:p>
        </w:tc>
      </w:tr>
    </w:tbl>
    <w:p>
      <w:pPr>
        <w:spacing w:after="0"/>
      </w:pPr>
    </w:p>
    <w:p>
      <w:pPr>
        <w:pStyle w:val="Heading1"/>
      </w:pPr>
      <w:r>
        <w:t>11. Measures that matter</w:t>
      </w:r>
    </w:p>
    <w:p>
      <w:pPr>
        <w:pStyle w:val="ListBullet"/>
      </w:pPr>
      <w:r>
        <w:t>Percentage of assigned tasks finished on time.</w:t>
      </w:r>
    </w:p>
    <w:p>
      <w:pPr>
        <w:pStyle w:val="ListBullet"/>
      </w:pPr>
      <w:r>
        <w:t>Percentage with evidence accepted by an authorized reviewer.</w:t>
      </w:r>
    </w:p>
    <w:p>
      <w:pPr>
        <w:pStyle w:val="ListBullet"/>
      </w:pPr>
      <w:r>
        <w:t>Time between report, work completion, and later confirmed resolution.</w:t>
      </w:r>
    </w:p>
    <w:p>
      <w:pPr>
        <w:pStyle w:val="ListBullet"/>
      </w:pPr>
      <w:r>
        <w:t>Percentage of resolved cases reopened during an agreed follow-up period.</w:t>
      </w:r>
    </w:p>
    <w:p>
      <w:pPr>
        <w:pStyle w:val="ListBullet"/>
      </w:pPr>
      <w:r>
        <w:t>Rate of rejected or unclear evidence and reasons for rejection.</w:t>
      </w:r>
    </w:p>
    <w:p>
      <w:pPr>
        <w:pStyle w:val="ListBullet"/>
      </w:pPr>
      <w:r>
        <w:t>Customer or supervisor time spent checking contractor work.</w:t>
      </w:r>
    </w:p>
    <w:p>
      <w:pPr>
        <w:pStyle w:val="Heading1"/>
      </w:pPr>
      <w:r>
        <w:t>12. Risks and rules that protect trust</w:t>
      </w:r>
    </w:p>
    <w:p>
      <w:pPr>
        <w:pStyle w:val="ListBullet"/>
      </w:pPr>
      <w:r>
        <w:t>Do not label a property or person “safe” based only on a photo or an app confirmation.</w:t>
      </w:r>
    </w:p>
    <w:p>
      <w:pPr>
        <w:pStyle w:val="ListBullet"/>
      </w:pPr>
      <w:r>
        <w:t>Do not turn an AI flag into a fraud accusation without human review.</w:t>
      </w:r>
    </w:p>
    <w:p>
      <w:pPr>
        <w:pStyle w:val="ListBullet"/>
      </w:pPr>
      <w:r>
        <w:t>Protect worker privacy; do not collect location continuously when it is unnecessary.</w:t>
      </w:r>
    </w:p>
    <w:p>
      <w:pPr>
        <w:pStyle w:val="ListBullet"/>
      </w:pPr>
      <w:r>
        <w:t>Keep an audit trail so that past evidence and approvals are not silently overwritten.</w:t>
      </w:r>
    </w:p>
    <w:p>
      <w:pPr>
        <w:pStyle w:val="ListBullet"/>
      </w:pPr>
      <w:r>
        <w:t>A delayed follow-up should be shown as “not yet checked,” not counted as lasting success.</w:t>
      </w:r>
    </w:p>
    <w:p>
      <w:pPr>
        <w:pStyle w:val="ListBullet"/>
      </w:pPr>
      <w:r>
        <w:t>Make offline uploads possible if staff work in places with weak internet.</w:t>
      </w:r>
    </w:p>
    <w:p>
      <w:pPr>
        <w:pStyle w:val="Heading1"/>
      </w:pPr>
      <w:r>
        <w:t>13. Business value</w:t>
      </w:r>
    </w:p>
    <w:p>
      <w:r>
        <w:t>This could support a paid contractor portal and clear service-quality reports for property managers. The value is not simply collecting after-work photographs; similar tools already exist. The stronger feature is the link between the service, that location’s history, and whether the issue came back.</w:t>
      </w:r>
    </w:p>
    <w:p>
      <w:r>
        <w:t>A pilot should show less time spent chasing proof, faster follow-up, and fewer unresolved cases hidden by the word “complete.”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489"/>
            <w:shd w:fill="EFF6F6"/>
            <w:tcMar>
              <w:top w:w="150" w:type="dxa"/>
              <w:start w:w="180" w:type="dxa"/>
              <w:bottom w:w="140" w:type="dxa"/>
              <w:end w:w="180" w:type="dxa"/>
            </w:tcMar>
            <w:tcBorders>
              <w:left w:val="single" w:sz="22" w:color="12A2A6"/>
            </w:tcBorders>
          </w:tcPr>
          <w:p>
            <w:pPr>
              <w:spacing w:after="40"/>
            </w:pPr>
            <w:r>
              <w:rPr>
                <w:b/>
                <w:color w:val="007E83"/>
                <w:sz w:val="16"/>
              </w:rPr>
              <w:t>QUESTIONS FOR AN EXPERT</w:t>
            </w:r>
          </w:p>
          <w:p>
            <w:pPr>
              <w:spacing w:after="20" w:line="276" w:lineRule="auto"/>
            </w:pPr>
            <w:r>
              <w:t>What evidence is fair and practical in the field? Which jobs need independent follow-up? Who is allowed to approve a lasting resolution?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267" w:right="1210" w:bottom="1109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477"/>
        <w:sz w:val="15"/>
      </w:rPr>
      <w:t xml:space="preserve">Concept proposal  ·  Not an implemented feature     |    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/>
        <w:b/>
        <w:color w:val="007E83"/>
        <w:sz w:val="16"/>
      </w:rPr>
      <w:t>DENGUEAI PRO  /  PRODUCT INNOVATION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30" w:line="281" w:lineRule="auto"/>
    </w:pPr>
    <w:rPr>
      <w:rFonts w:ascii="Carlito" w:hAnsi="Carlito"/>
      <w:color w:val="172C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Lato" w:hAnsi="Lato"/>
      <w:b/>
      <w:bCs/>
      <w:color w:val="172C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rlito" w:hAnsi="Carlito"/>
      <w:b/>
      <w:bCs/>
      <w:color w:val="007E8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rlito" w:hAnsi="Carlito"/>
      <w:b/>
      <w:bCs/>
      <w:color w:val="172C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Lato" w:hAnsi="Lato"/>
      <w:b/>
      <w:color w:val="172C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89" w:hanging="216"/>
      <w:contextualSpacing/>
    </w:pPr>
    <w:rPr>
      <w:rFonts w:ascii="Carlito" w:hAnsi="Carlito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89" w:hanging="216"/>
      <w:contextualSpacing/>
    </w:pPr>
    <w:rPr>
      <w:rFonts w:ascii="Carlito" w:hAnsi="Carlito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and Lasting Resolution Verification</dc:title>
  <dc:subject>DengueAI Pro product improvement proposal</dc:subject>
  <dc:creator>DengueAI Pro — Concept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