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
      </w:pPr>
      <w:r>
        <w:rPr>
          <w:b/>
          <w:color w:val="007E83"/>
          <w:sz w:val="18"/>
        </w:rPr>
        <w:t>IMPROVEMENT 04 OF 05  |  DETAILED FEATURE DOCUMENT</w:t>
      </w:r>
    </w:p>
    <w:p>
      <w:pPr>
        <w:pStyle w:val="Title"/>
      </w:pPr>
      <w:r>
        <w:t>Permanent Repair and Cost-Savings Recommendations</w:t>
      </w:r>
    </w:p>
    <w:p>
      <w:pPr>
        <w:spacing w:after="300"/>
      </w:pPr>
      <w:r>
        <w:rPr>
          <w:i/>
          <w:color w:val="566477"/>
          <w:sz w:val="23"/>
        </w:rPr>
        <w:t>Know when a lasting repair may be better than paying for repeat cleanup.</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IN ONE SENTENCE</w:t>
            </w:r>
          </w:p>
          <w:p>
            <w:pPr>
              <w:spacing w:after="20" w:line="276" w:lineRule="auto"/>
            </w:pPr>
            <w:r>
              <w:t>Compare the likely cost of repeated visits with a qualified person’s proposed permanent repair, and track what happens afterward.</w:t>
            </w:r>
          </w:p>
        </w:tc>
      </w:tr>
    </w:tbl>
    <w:p>
      <w:pPr>
        <w:spacing w:after="0"/>
      </w:pPr>
    </w:p>
    <w:p>
      <w:pPr>
        <w:pStyle w:val="Heading2"/>
      </w:pPr>
      <w:r>
        <w:t>At a glance</w:t>
      </w:r>
    </w:p>
    <w:tbl>
      <w:tblPr>
        <w:tblW w:type="auto" w:w="0"/>
        <w:jc w:val="center"/>
        <w:tblLayout w:type="fixed"/>
        <w:tblLook w:firstColumn="1" w:firstRow="1" w:lastColumn="0" w:lastRow="0" w:noHBand="0" w:noVBand="1" w:val="04A0"/>
      </w:tblPr>
      <w:tblGrid>
        <w:gridCol w:w="2275"/>
        <w:gridCol w:w="7128"/>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Topic</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Simple answer</w:t>
            </w:r>
          </w:p>
        </w:tc>
      </w:tr>
      <w:tr>
        <w:tc>
          <w:tcPr>
            <w:tcW w:type="dxa" w:w="227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Who uses it?</w:t>
            </w:r>
          </w:p>
        </w:tc>
        <w:tc>
          <w:tcPr>
            <w:tcW w:type="dxa" w:w="712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Facilities manager, finance lead, asset owner, maintenance engineer</w:t>
            </w:r>
          </w:p>
        </w:tc>
      </w:tr>
      <w:tr>
        <w:tc>
          <w:tcPr>
            <w:tcW w:type="dxa" w:w="2275"/>
            <w:tcMar>
              <w:top w:w="115" w:type="dxa"/>
              <w:start w:w="115" w:type="dxa"/>
              <w:bottom w:w="115" w:type="dxa"/>
              <w:end w:w="115" w:type="dxa"/>
            </w:tcMar>
            <w:vAlign w:val="center"/>
            <w:tcBorders>
              <w:bottom w:val="single" w:sz="5" w:color="DFE9EA"/>
            </w:tcBorders>
          </w:tcPr>
          <w:p>
            <w:pPr>
              <w:spacing w:after="0" w:line="264" w:lineRule="auto"/>
            </w:pPr>
            <w:r>
              <w:rPr>
                <w:b/>
                <w:sz w:val="16"/>
              </w:rPr>
              <w:t>Main benefit</w:t>
            </w:r>
          </w:p>
        </w:tc>
        <w:tc>
          <w:tcPr>
            <w:tcW w:type="dxa" w:w="7128"/>
            <w:tcMar>
              <w:top w:w="115" w:type="dxa"/>
              <w:start w:w="115" w:type="dxa"/>
              <w:bottom w:w="115" w:type="dxa"/>
              <w:end w:w="115" w:type="dxa"/>
            </w:tcMar>
            <w:vAlign w:val="center"/>
            <w:tcBorders>
              <w:bottom w:val="single" w:sz="5" w:color="DFE9EA"/>
            </w:tcBorders>
          </w:tcPr>
          <w:p>
            <w:pPr>
              <w:spacing w:after="0" w:line="264" w:lineRule="auto"/>
            </w:pPr>
            <w:r>
              <w:rPr>
                <w:sz w:val="16"/>
              </w:rPr>
              <w:t>Connect repeated problems to actual costs and support better repair decisions.</w:t>
            </w:r>
          </w:p>
        </w:tc>
      </w:tr>
      <w:tr>
        <w:tc>
          <w:tcPr>
            <w:tcW w:type="dxa" w:w="227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Recommended stage</w:t>
            </w:r>
          </w:p>
        </w:tc>
        <w:tc>
          <w:tcPr>
            <w:tcW w:type="dxa" w:w="712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High-value premium module: build after histories and verified work orders</w:t>
            </w:r>
          </w:p>
        </w:tc>
      </w:tr>
      <w:tr>
        <w:tc>
          <w:tcPr>
            <w:tcW w:type="dxa" w:w="2275"/>
            <w:tcMar>
              <w:top w:w="115" w:type="dxa"/>
              <w:start w:w="115" w:type="dxa"/>
              <w:bottom w:w="115" w:type="dxa"/>
              <w:end w:w="115" w:type="dxa"/>
            </w:tcMar>
            <w:vAlign w:val="center"/>
            <w:tcBorders>
              <w:bottom w:val="single" w:sz="5" w:color="DFE9EA"/>
            </w:tcBorders>
          </w:tcPr>
          <w:p>
            <w:pPr>
              <w:spacing w:after="0" w:line="264" w:lineRule="auto"/>
            </w:pPr>
            <w:r>
              <w:rPr>
                <w:b/>
                <w:sz w:val="16"/>
              </w:rPr>
              <w:t>What it depends on</w:t>
            </w:r>
          </w:p>
        </w:tc>
        <w:tc>
          <w:tcPr>
            <w:tcW w:type="dxa" w:w="7128"/>
            <w:tcMar>
              <w:top w:w="115" w:type="dxa"/>
              <w:start w:w="115" w:type="dxa"/>
              <w:bottom w:w="115" w:type="dxa"/>
              <w:end w:w="115" w:type="dxa"/>
            </w:tcMar>
            <w:vAlign w:val="center"/>
            <w:tcBorders>
              <w:bottom w:val="single" w:sz="5" w:color="DFE9EA"/>
            </w:tcBorders>
          </w:tcPr>
          <w:p>
            <w:pPr>
              <w:spacing w:after="0" w:line="264" w:lineRule="auto"/>
            </w:pPr>
            <w:r>
              <w:rPr>
                <w:sz w:val="16"/>
              </w:rPr>
              <w:t>Location records, trustworthy visit costs, maintenance advice, and real supplier quotations.</w:t>
            </w:r>
          </w:p>
        </w:tc>
      </w:tr>
    </w:tbl>
    <w:p>
      <w:pPr>
        <w:spacing w:after="0"/>
      </w:pPr>
    </w:p>
    <w:p>
      <w:r>
        <w:t>Document purpose: explain this new feature in easy English, show how it could work, and give a practical development and testing plan. This is a proposal from the supplied improvement notes; it is not a claim that the feature is already built.</w:t>
      </w:r>
    </w:p>
    <w:p>
      <w:pPr>
        <w:pStyle w:val="Heading1"/>
      </w:pPr>
      <w:r>
        <w:t>1. The basic idea</w:t>
      </w:r>
    </w:p>
    <w:p>
      <w:r>
        <w:t>Cleaning the same blocked drain again and again costs time and money. Sometimes that is still the right choice. Other times, repairing the drain may be cheaper over the next year. This module helps a manager see the choices using records, costs, and clear assumptions.</w:t>
      </w:r>
    </w:p>
    <w:p>
      <w:pPr>
        <w:pStyle w:val="Heading1"/>
      </w:pPr>
      <w:r>
        <w:t>2. The question it helps answer</w:t>
      </w:r>
    </w:p>
    <w:p>
      <w:r>
        <w:t>The system does not design a repair or approve construction work. It helps answer a simpler business question: “Is this repeated problem expensive enough that we should ask a qualified person to investigate a permanent fix?”</w:t>
      </w:r>
    </w:p>
    <w:p>
      <w:r>
        <w:t>It can rank repeated issues, collect service costs, attach approved repair options and quotations, and compare possible savings. A human makes the final decision.</w:t>
      </w:r>
    </w:p>
    <w:p>
      <w:pPr>
        <w:pStyle w:val="Heading1"/>
      </w:pPr>
      <w:r>
        <w:t>3. Example with easy numbers</w:t>
      </w:r>
    </w:p>
    <w:p>
      <w:r>
        <w:t>Imagine a drain needs cleanup every month at a recorded cost of ৳2,000 per visit. A qualified maintenance provider offers a repair for ৳10,000. If the repair removes all future monthly cleanups, its simple payback would be five months.</w:t>
      </w:r>
    </w:p>
    <w:p>
      <w:r>
        <w:t>But suppose the repair cuts cleanup needs by only half. The saved cost becomes around ৳1,000 per month, and the simple payback becomes ten months. Any extra repair maintenance or downtime also changes the comparison.</w:t>
      </w:r>
    </w:p>
    <w:tbl>
      <w:tblPr>
        <w:tblW w:type="auto" w:w="0"/>
        <w:jc w:val="center"/>
        <w:tblLayout w:type="fixed"/>
        <w:tblLook w:firstColumn="1" w:firstRow="1" w:lastColumn="0" w:lastRow="0" w:noHBand="0" w:noVBand="1" w:val="04A0"/>
      </w:tblPr>
      <w:tblGrid>
        <w:gridCol w:w="2938"/>
        <w:gridCol w:w="1958"/>
        <w:gridCol w:w="2218"/>
        <w:gridCol w:w="2290"/>
      </w:tblGrid>
      <w:tr>
        <w:trPr>
          <w:tblHeader w:val="true"/>
        </w:trPr>
        <w:tc>
          <w:tcPr>
            <w:tcW w:type="dxa" w:w="2372"/>
            <w:shd w:fill="172C4D"/>
            <w:tcMar>
              <w:top w:w="100" w:type="dxa"/>
              <w:start w:w="115" w:type="dxa"/>
              <w:bottom w:w="100" w:type="dxa"/>
              <w:end w:w="115" w:type="dxa"/>
            </w:tcMar>
            <w:vAlign w:val="center"/>
            <w:tcBorders>
              <w:bottom w:val="single" w:sz="5" w:color="DFE9EA"/>
            </w:tcBorders>
          </w:tcPr>
          <w:p>
            <w:r>
              <w:rPr>
                <w:b/>
                <w:color w:val="FFFFFF"/>
                <w:sz w:val="17"/>
              </w:rPr>
              <w:t>Illustrative assumption</w:t>
            </w:r>
          </w:p>
        </w:tc>
        <w:tc>
          <w:tcPr>
            <w:tcW w:type="dxa" w:w="2372"/>
            <w:shd w:fill="172C4D"/>
            <w:tcMar>
              <w:top w:w="100" w:type="dxa"/>
              <w:start w:w="115" w:type="dxa"/>
              <w:bottom w:w="100" w:type="dxa"/>
              <w:end w:w="115" w:type="dxa"/>
            </w:tcMar>
            <w:vAlign w:val="center"/>
            <w:tcBorders>
              <w:bottom w:val="single" w:sz="5" w:color="DFE9EA"/>
            </w:tcBorders>
          </w:tcPr>
          <w:p>
            <w:r>
              <w:rPr>
                <w:b/>
                <w:color w:val="FFFFFF"/>
                <w:sz w:val="17"/>
              </w:rPr>
              <w:t>Before repair</w:t>
            </w:r>
          </w:p>
        </w:tc>
        <w:tc>
          <w:tcPr>
            <w:tcW w:type="dxa" w:w="2372"/>
            <w:shd w:fill="172C4D"/>
            <w:tcMar>
              <w:top w:w="100" w:type="dxa"/>
              <w:start w:w="115" w:type="dxa"/>
              <w:bottom w:w="100" w:type="dxa"/>
              <w:end w:w="115" w:type="dxa"/>
            </w:tcMar>
            <w:vAlign w:val="center"/>
            <w:tcBorders>
              <w:bottom w:val="single" w:sz="5" w:color="DFE9EA"/>
            </w:tcBorders>
          </w:tcPr>
          <w:p>
            <w:r>
              <w:rPr>
                <w:b/>
                <w:color w:val="FFFFFF"/>
                <w:sz w:val="17"/>
              </w:rPr>
              <w:t>After full fix</w:t>
            </w:r>
          </w:p>
        </w:tc>
        <w:tc>
          <w:tcPr>
            <w:tcW w:type="dxa" w:w="2372"/>
            <w:shd w:fill="172C4D"/>
            <w:tcMar>
              <w:top w:w="100" w:type="dxa"/>
              <w:start w:w="115" w:type="dxa"/>
              <w:bottom w:w="100" w:type="dxa"/>
              <w:end w:w="115" w:type="dxa"/>
            </w:tcMar>
            <w:vAlign w:val="center"/>
            <w:tcBorders>
              <w:bottom w:val="single" w:sz="5" w:color="DFE9EA"/>
            </w:tcBorders>
          </w:tcPr>
          <w:p>
            <w:r>
              <w:rPr>
                <w:b/>
                <w:color w:val="FFFFFF"/>
                <w:sz w:val="17"/>
              </w:rPr>
              <w:t>After half improvement</w:t>
            </w:r>
          </w:p>
        </w:tc>
      </w:tr>
      <w:tr>
        <w:tc>
          <w:tcPr>
            <w:tcW w:type="dxa" w:w="2938"/>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Cleanup cost / month</w:t>
            </w:r>
          </w:p>
        </w:tc>
        <w:tc>
          <w:tcPr>
            <w:tcW w:type="dxa" w:w="195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৳2,000</w:t>
            </w:r>
          </w:p>
        </w:tc>
        <w:tc>
          <w:tcPr>
            <w:tcW w:type="dxa" w:w="221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৳0</w:t>
            </w:r>
          </w:p>
        </w:tc>
        <w:tc>
          <w:tcPr>
            <w:tcW w:type="dxa" w:w="2290"/>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৳1,000</w:t>
            </w:r>
          </w:p>
        </w:tc>
      </w:tr>
      <w:tr>
        <w:tc>
          <w:tcPr>
            <w:tcW w:type="dxa" w:w="2938"/>
            <w:tcMar>
              <w:top w:w="115" w:type="dxa"/>
              <w:start w:w="115" w:type="dxa"/>
              <w:bottom w:w="115" w:type="dxa"/>
              <w:end w:w="115" w:type="dxa"/>
            </w:tcMar>
            <w:vAlign w:val="center"/>
            <w:tcBorders>
              <w:bottom w:val="single" w:sz="5" w:color="DFE9EA"/>
            </w:tcBorders>
          </w:tcPr>
          <w:p>
            <w:pPr>
              <w:spacing w:after="0" w:line="264" w:lineRule="auto"/>
            </w:pPr>
            <w:r>
              <w:rPr>
                <w:b/>
                <w:sz w:val="16"/>
              </w:rPr>
              <w:t>Monthly saving</w:t>
            </w:r>
          </w:p>
        </w:tc>
        <w:tc>
          <w:tcPr>
            <w:tcW w:type="dxa" w:w="1958"/>
            <w:tcMar>
              <w:top w:w="115" w:type="dxa"/>
              <w:start w:w="115" w:type="dxa"/>
              <w:bottom w:w="115" w:type="dxa"/>
              <w:end w:w="115" w:type="dxa"/>
            </w:tcMar>
            <w:vAlign w:val="center"/>
            <w:tcBorders>
              <w:bottom w:val="single" w:sz="5" w:color="DFE9EA"/>
            </w:tcBorders>
          </w:tcPr>
          <w:p>
            <w:pPr>
              <w:spacing w:after="0" w:line="264" w:lineRule="auto"/>
            </w:pPr>
            <w:r>
              <w:rPr>
                <w:sz w:val="16"/>
              </w:rPr>
              <w:t>—</w:t>
            </w:r>
          </w:p>
        </w:tc>
        <w:tc>
          <w:tcPr>
            <w:tcW w:type="dxa" w:w="2218"/>
            <w:tcMar>
              <w:top w:w="115" w:type="dxa"/>
              <w:start w:w="115" w:type="dxa"/>
              <w:bottom w:w="115" w:type="dxa"/>
              <w:end w:w="115" w:type="dxa"/>
            </w:tcMar>
            <w:vAlign w:val="center"/>
            <w:tcBorders>
              <w:bottom w:val="single" w:sz="5" w:color="DFE9EA"/>
            </w:tcBorders>
          </w:tcPr>
          <w:p>
            <w:pPr>
              <w:spacing w:after="0" w:line="264" w:lineRule="auto"/>
            </w:pPr>
            <w:r>
              <w:rPr>
                <w:sz w:val="16"/>
              </w:rPr>
              <w:t>৳2,000</w:t>
            </w:r>
          </w:p>
        </w:tc>
        <w:tc>
          <w:tcPr>
            <w:tcW w:type="dxa" w:w="2290"/>
            <w:tcMar>
              <w:top w:w="115" w:type="dxa"/>
              <w:start w:w="115" w:type="dxa"/>
              <w:bottom w:w="115" w:type="dxa"/>
              <w:end w:w="115" w:type="dxa"/>
            </w:tcMar>
            <w:vAlign w:val="center"/>
            <w:tcBorders>
              <w:bottom w:val="single" w:sz="5" w:color="DFE9EA"/>
            </w:tcBorders>
          </w:tcPr>
          <w:p>
            <w:pPr>
              <w:spacing w:after="0" w:line="264" w:lineRule="auto"/>
            </w:pPr>
            <w:r>
              <w:rPr>
                <w:sz w:val="16"/>
              </w:rPr>
              <w:t>৳1,000</w:t>
            </w:r>
          </w:p>
        </w:tc>
      </w:tr>
      <w:tr>
        <w:tc>
          <w:tcPr>
            <w:tcW w:type="dxa" w:w="2938"/>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One-time repair quote</w:t>
            </w:r>
          </w:p>
        </w:tc>
        <w:tc>
          <w:tcPr>
            <w:tcW w:type="dxa" w:w="195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w:t>
            </w:r>
          </w:p>
        </w:tc>
        <w:tc>
          <w:tcPr>
            <w:tcW w:type="dxa" w:w="221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৳10,000</w:t>
            </w:r>
          </w:p>
        </w:tc>
        <w:tc>
          <w:tcPr>
            <w:tcW w:type="dxa" w:w="2290"/>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৳10,000</w:t>
            </w:r>
          </w:p>
        </w:tc>
      </w:tr>
      <w:tr>
        <w:tc>
          <w:tcPr>
            <w:tcW w:type="dxa" w:w="2938"/>
            <w:tcMar>
              <w:top w:w="115" w:type="dxa"/>
              <w:start w:w="115" w:type="dxa"/>
              <w:bottom w:w="115" w:type="dxa"/>
              <w:end w:w="115" w:type="dxa"/>
            </w:tcMar>
            <w:vAlign w:val="center"/>
            <w:tcBorders>
              <w:bottom w:val="single" w:sz="5" w:color="DFE9EA"/>
            </w:tcBorders>
          </w:tcPr>
          <w:p>
            <w:pPr>
              <w:spacing w:after="0" w:line="264" w:lineRule="auto"/>
            </w:pPr>
            <w:r>
              <w:rPr>
                <w:b/>
                <w:sz w:val="16"/>
              </w:rPr>
              <w:t>Simple payback</w:t>
            </w:r>
          </w:p>
        </w:tc>
        <w:tc>
          <w:tcPr>
            <w:tcW w:type="dxa" w:w="1958"/>
            <w:tcMar>
              <w:top w:w="115" w:type="dxa"/>
              <w:start w:w="115" w:type="dxa"/>
              <w:bottom w:w="115" w:type="dxa"/>
              <w:end w:w="115" w:type="dxa"/>
            </w:tcMar>
            <w:vAlign w:val="center"/>
            <w:tcBorders>
              <w:bottom w:val="single" w:sz="5" w:color="DFE9EA"/>
            </w:tcBorders>
          </w:tcPr>
          <w:p>
            <w:pPr>
              <w:spacing w:after="0" w:line="264" w:lineRule="auto"/>
            </w:pPr>
            <w:r>
              <w:rPr>
                <w:sz w:val="16"/>
              </w:rPr>
              <w:t>—</w:t>
            </w:r>
          </w:p>
        </w:tc>
        <w:tc>
          <w:tcPr>
            <w:tcW w:type="dxa" w:w="2218"/>
            <w:tcMar>
              <w:top w:w="115" w:type="dxa"/>
              <w:start w:w="115" w:type="dxa"/>
              <w:bottom w:w="115" w:type="dxa"/>
              <w:end w:w="115" w:type="dxa"/>
            </w:tcMar>
            <w:vAlign w:val="center"/>
            <w:tcBorders>
              <w:bottom w:val="single" w:sz="5" w:color="DFE9EA"/>
            </w:tcBorders>
          </w:tcPr>
          <w:p>
            <w:pPr>
              <w:spacing w:after="0" w:line="264" w:lineRule="auto"/>
            </w:pPr>
            <w:r>
              <w:rPr>
                <w:sz w:val="16"/>
              </w:rPr>
              <w:t>5 months</w:t>
            </w:r>
          </w:p>
        </w:tc>
        <w:tc>
          <w:tcPr>
            <w:tcW w:type="dxa" w:w="2290"/>
            <w:tcMar>
              <w:top w:w="115" w:type="dxa"/>
              <w:start w:w="115" w:type="dxa"/>
              <w:bottom w:w="115" w:type="dxa"/>
              <w:end w:w="115" w:type="dxa"/>
            </w:tcMar>
            <w:vAlign w:val="center"/>
            <w:tcBorders>
              <w:bottom w:val="single" w:sz="5" w:color="DFE9EA"/>
            </w:tcBorders>
          </w:tcPr>
          <w:p>
            <w:pPr>
              <w:spacing w:after="0" w:line="264" w:lineRule="auto"/>
            </w:pPr>
            <w:r>
              <w:rPr>
                <w:sz w:val="16"/>
              </w:rPr>
              <w:t>10 months</w:t>
            </w:r>
          </w:p>
        </w:tc>
      </w:tr>
    </w:tbl>
    <w:p>
      <w:pPr>
        <w:spacing w:after="0"/>
      </w:pPr>
    </w:p>
    <w:tbl>
      <w:tblPr>
        <w:tblW w:type="auto" w:w="0"/>
        <w:tblLayout w:type="fixed"/>
        <w:tblLook w:firstColumn="1" w:firstRow="1" w:lastColumn="0" w:lastRow="0" w:noHBand="0" w:noVBand="1" w:val="04A0"/>
      </w:tblPr>
      <w:tblGrid>
        <w:gridCol w:w="9432"/>
      </w:tblGrid>
      <w:tr>
        <w:tc>
          <w:tcPr>
            <w:tcW w:type="dxa" w:w="9489"/>
            <w:shd w:fill="FFF8E8"/>
            <w:tcMar>
              <w:top w:w="150" w:type="dxa"/>
              <w:start w:w="180" w:type="dxa"/>
              <w:bottom w:w="140" w:type="dxa"/>
              <w:end w:w="180" w:type="dxa"/>
            </w:tcMar>
            <w:tcBorders>
              <w:left w:val="single" w:sz="22" w:color="AB7B21"/>
            </w:tcBorders>
          </w:tcPr>
          <w:p>
            <w:pPr>
              <w:spacing w:after="40"/>
            </w:pPr>
            <w:r>
              <w:rPr>
                <w:b/>
                <w:color w:val="AB7B21"/>
                <w:sz w:val="16"/>
              </w:rPr>
              <w:t>IMPORTANT</w:t>
            </w:r>
          </w:p>
          <w:p>
            <w:pPr>
              <w:spacing w:after="20" w:line="276" w:lineRule="auto"/>
            </w:pPr>
            <w:r>
              <w:t>These numbers are examples, not promised savings. The tool must show the assumptions, and then compare the estimate with real costs after the repair.</w:t>
            </w:r>
          </w:p>
        </w:tc>
      </w:tr>
    </w:tbl>
    <w:p>
      <w:pPr>
        <w:spacing w:after="0"/>
      </w:pPr>
    </w:p>
    <w:p>
      <w:pPr>
        <w:pStyle w:val="Heading1"/>
      </w:pPr>
      <w:r>
        <w:t>4. How it works, step by step</w:t>
      </w:r>
    </w:p>
    <w:p>
      <w:pPr>
        <w:pStyle w:val="ListNumber"/>
      </w:pPr>
      <w:r>
        <w:t>Find repeat-problem locations from the permanent hazard records.</w:t>
      </w:r>
    </w:p>
    <w:p>
      <w:pPr>
        <w:pStyle w:val="ListNumber"/>
      </w:pPr>
      <w:r>
        <w:t>Collect actual visit costs such as labor, contractor invoices, materials, access time, and disruption where these are measurable.</w:t>
      </w:r>
    </w:p>
    <w:p>
      <w:pPr>
        <w:pStyle w:val="ListNumber"/>
      </w:pPr>
      <w:r>
        <w:t>Show managers which locations have high repeat costs or many reopenings.</w:t>
      </w:r>
    </w:p>
    <w:p>
      <w:pPr>
        <w:pStyle w:val="ListNumber"/>
      </w:pPr>
      <w:r>
        <w:t>Ask a qualified maintenance person to identify whether a safe permanent repair is possible and specify the proposed work.</w:t>
      </w:r>
    </w:p>
    <w:p>
      <w:pPr>
        <w:pStyle w:val="ListNumber"/>
      </w:pPr>
      <w:r>
        <w:t>Store one or more real quotations, the expected lifetime of the fix, and continuing maintenance needs.</w:t>
      </w:r>
    </w:p>
    <w:p>
      <w:pPr>
        <w:pStyle w:val="ListNumber"/>
      </w:pPr>
      <w:r>
        <w:t>Compare “keep using the current approach” with “do the proposed repair,” under realistic scenarios.</w:t>
      </w:r>
    </w:p>
    <w:p>
      <w:pPr>
        <w:pStyle w:val="ListNumber"/>
      </w:pPr>
      <w:r>
        <w:t>Record manager approval, purchase order, completion, and follow-up results.</w:t>
      </w:r>
    </w:p>
    <w:p>
      <w:pPr>
        <w:pStyle w:val="ListNumber"/>
      </w:pPr>
      <w:r>
        <w:t>Measure actual recurrence and costs after repair, and update the financial conclusion.</w:t>
      </w:r>
    </w:p>
    <w:p>
      <w:pPr>
        <w:pStyle w:val="Heading1"/>
      </w:pPr>
      <w:r>
        <w:t>5. What the dashboard would show</w:t>
      </w:r>
    </w:p>
    <w:tbl>
      <w:tblPr>
        <w:tblW w:type="auto" w:w="0"/>
        <w:jc w:val="center"/>
        <w:tblLayout w:type="fixed"/>
        <w:tblLook w:firstColumn="1" w:firstRow="1" w:lastColumn="0" w:lastRow="0" w:noHBand="0" w:noVBand="1" w:val="04A0"/>
      </w:tblPr>
      <w:tblGrid>
        <w:gridCol w:w="2376"/>
        <w:gridCol w:w="7027"/>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View</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What it tells the manager</w:t>
            </w:r>
          </w:p>
        </w:tc>
      </w:tr>
      <w:tr>
        <w:tc>
          <w:tcPr>
            <w:tcW w:type="dxa" w:w="2376"/>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Repeated-cost list</w:t>
            </w:r>
          </w:p>
        </w:tc>
        <w:tc>
          <w:tcPr>
            <w:tcW w:type="dxa" w:w="7027"/>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Locations with many paid visits or escalating expenses.</w:t>
            </w:r>
          </w:p>
        </w:tc>
      </w:tr>
      <w:tr>
        <w:tc>
          <w:tcPr>
            <w:tcW w:type="dxa" w:w="2376"/>
            <w:tcMar>
              <w:top w:w="115" w:type="dxa"/>
              <w:start w:w="115" w:type="dxa"/>
              <w:bottom w:w="115" w:type="dxa"/>
              <w:end w:w="115" w:type="dxa"/>
            </w:tcMar>
            <w:vAlign w:val="center"/>
            <w:tcBorders>
              <w:bottom w:val="single" w:sz="5" w:color="DFE9EA"/>
            </w:tcBorders>
          </w:tcPr>
          <w:p>
            <w:pPr>
              <w:spacing w:after="0" w:line="264" w:lineRule="auto"/>
            </w:pPr>
            <w:r>
              <w:rPr>
                <w:b/>
                <w:sz w:val="16"/>
              </w:rPr>
              <w:t>Repair opportunity card</w:t>
            </w:r>
          </w:p>
        </w:tc>
        <w:tc>
          <w:tcPr>
            <w:tcW w:type="dxa" w:w="7027"/>
            <w:tcMar>
              <w:top w:w="115" w:type="dxa"/>
              <w:start w:w="115" w:type="dxa"/>
              <w:bottom w:w="115" w:type="dxa"/>
              <w:end w:w="115" w:type="dxa"/>
            </w:tcMar>
            <w:vAlign w:val="center"/>
            <w:tcBorders>
              <w:bottom w:val="single" w:sz="5" w:color="DFE9EA"/>
            </w:tcBorders>
          </w:tcPr>
          <w:p>
            <w:pPr>
              <w:spacing w:after="0" w:line="264" w:lineRule="auto"/>
            </w:pPr>
            <w:r>
              <w:rPr>
                <w:sz w:val="16"/>
              </w:rPr>
              <w:t>Problem history, total recorded cost, quote, possible savings, and open questions.</w:t>
            </w:r>
          </w:p>
        </w:tc>
      </w:tr>
      <w:tr>
        <w:tc>
          <w:tcPr>
            <w:tcW w:type="dxa" w:w="2376"/>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Scenario comparison</w:t>
            </w:r>
          </w:p>
        </w:tc>
        <w:tc>
          <w:tcPr>
            <w:tcW w:type="dxa" w:w="7027"/>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Best case / expected case / cautious case using visible assumptions.</w:t>
            </w:r>
          </w:p>
        </w:tc>
      </w:tr>
      <w:tr>
        <w:tc>
          <w:tcPr>
            <w:tcW w:type="dxa" w:w="2376"/>
            <w:tcMar>
              <w:top w:w="115" w:type="dxa"/>
              <w:start w:w="115" w:type="dxa"/>
              <w:bottom w:w="115" w:type="dxa"/>
              <w:end w:w="115" w:type="dxa"/>
            </w:tcMar>
            <w:vAlign w:val="center"/>
            <w:tcBorders>
              <w:bottom w:val="single" w:sz="5" w:color="DFE9EA"/>
            </w:tcBorders>
          </w:tcPr>
          <w:p>
            <w:pPr>
              <w:spacing w:after="0" w:line="264" w:lineRule="auto"/>
            </w:pPr>
            <w:r>
              <w:rPr>
                <w:b/>
                <w:sz w:val="16"/>
              </w:rPr>
              <w:t>Approval history</w:t>
            </w:r>
          </w:p>
        </w:tc>
        <w:tc>
          <w:tcPr>
            <w:tcW w:type="dxa" w:w="7027"/>
            <w:tcMar>
              <w:top w:w="115" w:type="dxa"/>
              <w:start w:w="115" w:type="dxa"/>
              <w:bottom w:w="115" w:type="dxa"/>
              <w:end w:w="115" w:type="dxa"/>
            </w:tcMar>
            <w:vAlign w:val="center"/>
            <w:tcBorders>
              <w:bottom w:val="single" w:sz="5" w:color="DFE9EA"/>
            </w:tcBorders>
          </w:tcPr>
          <w:p>
            <w:pPr>
              <w:spacing w:after="0" w:line="264" w:lineRule="auto"/>
            </w:pPr>
            <w:r>
              <w:rPr>
                <w:sz w:val="16"/>
              </w:rPr>
              <w:t>Who approved the plan, when, with which supplier quote.</w:t>
            </w:r>
          </w:p>
        </w:tc>
      </w:tr>
      <w:tr>
        <w:tc>
          <w:tcPr>
            <w:tcW w:type="dxa" w:w="2376"/>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After-repair check</w:t>
            </w:r>
          </w:p>
        </w:tc>
        <w:tc>
          <w:tcPr>
            <w:tcW w:type="dxa" w:w="7027"/>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Whether repeat findings and actual visit costs changed.</w:t>
            </w:r>
          </w:p>
        </w:tc>
      </w:tr>
      <w:tr>
        <w:tc>
          <w:tcPr>
            <w:tcW w:type="dxa" w:w="2376"/>
            <w:tcMar>
              <w:top w:w="115" w:type="dxa"/>
              <w:start w:w="115" w:type="dxa"/>
              <w:bottom w:w="115" w:type="dxa"/>
              <w:end w:w="115" w:type="dxa"/>
            </w:tcMar>
            <w:vAlign w:val="center"/>
            <w:tcBorders>
              <w:bottom w:val="single" w:sz="5" w:color="DFE9EA"/>
            </w:tcBorders>
          </w:tcPr>
          <w:p>
            <w:pPr>
              <w:spacing w:after="0" w:line="264" w:lineRule="auto"/>
            </w:pPr>
            <w:r>
              <w:rPr>
                <w:b/>
                <w:sz w:val="16"/>
              </w:rPr>
              <w:t>Portfolio view</w:t>
            </w:r>
          </w:p>
        </w:tc>
        <w:tc>
          <w:tcPr>
            <w:tcW w:type="dxa" w:w="7027"/>
            <w:tcMar>
              <w:top w:w="115" w:type="dxa"/>
              <w:start w:w="115" w:type="dxa"/>
              <w:bottom w:w="115" w:type="dxa"/>
              <w:end w:w="115" w:type="dxa"/>
            </w:tcMar>
            <w:vAlign w:val="center"/>
            <w:tcBorders>
              <w:bottom w:val="single" w:sz="5" w:color="DFE9EA"/>
            </w:tcBorders>
          </w:tcPr>
          <w:p>
            <w:pPr>
              <w:spacing w:after="0" w:line="264" w:lineRule="auto"/>
            </w:pPr>
            <w:r>
              <w:rPr>
                <w:sz w:val="16"/>
              </w:rPr>
              <w:t>Potential repair opportunities across buildings; no automatic spending decision.</w:t>
            </w:r>
          </w:p>
        </w:tc>
      </w:tr>
    </w:tbl>
    <w:p>
      <w:pPr>
        <w:spacing w:after="0"/>
      </w:pPr>
    </w:p>
    <w:p>
      <w:pPr>
        <w:pStyle w:val="Heading1"/>
      </w:pPr>
      <w:r>
        <w:t>6. Information to store</w:t>
      </w:r>
    </w:p>
    <w:p>
      <w:pPr>
        <w:pStyle w:val="ListBullet"/>
      </w:pPr>
      <w:r>
        <w:t>Verified location ID and the repeat-problem history.</w:t>
      </w:r>
    </w:p>
    <w:p>
      <w:pPr>
        <w:pStyle w:val="ListBullet"/>
      </w:pPr>
      <w:r>
        <w:t>Cost for each service visit, with currency and source invoice where possible.</w:t>
      </w:r>
    </w:p>
    <w:p>
      <w:pPr>
        <w:pStyle w:val="ListBullet"/>
      </w:pPr>
      <w:r>
        <w:t>Reason for recurrence and repair options, provided by a qualified person.</w:t>
      </w:r>
    </w:p>
    <w:p>
      <w:pPr>
        <w:pStyle w:val="ListBullet"/>
      </w:pPr>
      <w:r>
        <w:t>Supplier quote, assumptions, scope, and expected replacement or maintenance costs.</w:t>
      </w:r>
    </w:p>
    <w:p>
      <w:pPr>
        <w:pStyle w:val="ListBullet"/>
      </w:pPr>
      <w:r>
        <w:t>Approval decisions, actual repair cost, date, and later follow-up results.</w:t>
      </w:r>
    </w:p>
    <w:p>
      <w:pPr>
        <w:pStyle w:val="ListBullet"/>
      </w:pPr>
      <w:r>
        <w:t>A record of missing information, so the dashboard does not imply false precision.</w:t>
      </w:r>
    </w:p>
    <w:p>
      <w:pPr>
        <w:pStyle w:val="Heading1"/>
      </w:pPr>
      <w:r>
        <w:t>7. Simple calculation and cautious assumptions</w:t>
      </w:r>
    </w:p>
    <w:p>
      <w:r>
        <w:t>A starting calculation is: monthly savings = old monthly recurring cost − expected remaining monthly recurring cost. Simple payback in months = one-time repair cost ÷ monthly savings, if monthly savings are positive.</w:t>
      </w:r>
    </w:p>
    <w:p>
      <w:r>
        <w:t>A more serious evaluation also considers the repair’s useful life, any extra operating expense, downtime, safety needs, and uncertainty. The system should not compare a long-term repair against only one month of cleanup.</w:t>
      </w:r>
    </w:p>
    <w:p>
      <w:r>
        <w:t>When a supplier quote is missing or the problem cause is unknown, the tool should say “needs assessment” instead of inventing a payback figure.</w:t>
      </w:r>
    </w:p>
    <w:p>
      <w:pPr>
        <w:pStyle w:val="Heading1"/>
      </w:pPr>
      <w:r>
        <w:t>8. Where AI might help later</w:t>
      </w:r>
    </w:p>
    <w:p>
      <w:r>
        <w:t>A later model could highlight locations that are unusually expensive compared with similar sites, or estimate recurrence after a specific type of verified repair. But the first release should use clear arithmetic and an engineer-reviewed repair proposal.</w:t>
      </w:r>
    </w:p>
    <w:p>
      <w:r>
        <w:t>An LLM could explain the cost comparison in plain language. It must not generate unapproved engineering instructions, invent supplier prices, or approve spending.</w:t>
      </w:r>
    </w:p>
    <w:p>
      <w:pPr>
        <w:pStyle w:val="Heading1"/>
      </w:pPr>
      <w:r>
        <w:t>9. How it links to the other features</w:t>
      </w:r>
    </w:p>
    <w:p>
      <w:r>
        <w:t>Improvement 01 provides the record of the place. Improvement 03 confirms that a service visit actually occurred. Improvement 02 may show repeated short-term return of a problem. This module then turns that combined history into a repair discussion with evidence.</w:t>
      </w:r>
    </w:p>
    <w:p>
      <w:r>
        <w:t>After the repair, the same location record tracks what happened next. A claimed saving should be checked against actual post-repair costs; estimates are not outcomes.</w:t>
      </w:r>
    </w:p>
    <w:p>
      <w:pPr>
        <w:pStyle w:val="Heading1"/>
      </w:pPr>
      <w:r>
        <w:t>10. Development path</w:t>
      </w:r>
    </w:p>
    <w:tbl>
      <w:tblPr>
        <w:tblW w:type="auto" w:w="0"/>
        <w:jc w:val="center"/>
        <w:tblLayout w:type="fixed"/>
        <w:tblLook w:firstColumn="1" w:firstRow="1" w:lastColumn="0" w:lastRow="0" w:noHBand="0" w:noVBand="1" w:val="04A0"/>
      </w:tblPr>
      <w:tblGrid>
        <w:gridCol w:w="1210"/>
        <w:gridCol w:w="3816"/>
        <w:gridCol w:w="4378"/>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Stage</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Feature set</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Ready when…</w:t>
            </w:r>
          </w:p>
        </w:tc>
      </w:tr>
      <w:tr>
        <w:tc>
          <w:tcPr>
            <w:tcW w:type="dxa" w:w="121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MVP</w:t>
            </w:r>
          </w:p>
        </w:tc>
        <w:tc>
          <w:tcPr>
            <w:tcW w:type="dxa" w:w="3816"/>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Recorded service costs, recurring-cost list, manual repair quotes, basic payback.</w:t>
            </w:r>
          </w:p>
        </w:tc>
        <w:tc>
          <w:tcPr>
            <w:tcW w:type="dxa" w:w="437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Finance/operations can trace every number to a record or assumption.</w:t>
            </w:r>
          </w:p>
        </w:tc>
      </w:tr>
      <w:tr>
        <w:tc>
          <w:tcPr>
            <w:tcW w:type="dxa" w:w="1210"/>
            <w:tcMar>
              <w:top w:w="115" w:type="dxa"/>
              <w:start w:w="115" w:type="dxa"/>
              <w:bottom w:w="115" w:type="dxa"/>
              <w:end w:w="115" w:type="dxa"/>
            </w:tcMar>
            <w:vAlign w:val="center"/>
            <w:tcBorders>
              <w:bottom w:val="single" w:sz="5" w:color="DFE9EA"/>
            </w:tcBorders>
          </w:tcPr>
          <w:p>
            <w:pPr>
              <w:spacing w:after="0" w:line="264" w:lineRule="auto"/>
            </w:pPr>
            <w:r>
              <w:rPr>
                <w:b/>
                <w:sz w:val="16"/>
              </w:rPr>
              <w:t>Pilot</w:t>
            </w:r>
          </w:p>
        </w:tc>
        <w:tc>
          <w:tcPr>
            <w:tcW w:type="dxa" w:w="3816"/>
            <w:tcMar>
              <w:top w:w="115" w:type="dxa"/>
              <w:start w:w="115" w:type="dxa"/>
              <w:bottom w:w="115" w:type="dxa"/>
              <w:end w:w="115" w:type="dxa"/>
            </w:tcMar>
            <w:vAlign w:val="center"/>
            <w:tcBorders>
              <w:bottom w:val="single" w:sz="5" w:color="DFE9EA"/>
            </w:tcBorders>
          </w:tcPr>
          <w:p>
            <w:pPr>
              <w:spacing w:after="0" w:line="264" w:lineRule="auto"/>
            </w:pPr>
            <w:r>
              <w:rPr>
                <w:sz w:val="16"/>
              </w:rPr>
              <w:t>Approval flow, multi-quote comparison, post-repair follow-up and expense tracking.</w:t>
            </w:r>
          </w:p>
        </w:tc>
        <w:tc>
          <w:tcPr>
            <w:tcW w:type="dxa" w:w="4378"/>
            <w:tcMar>
              <w:top w:w="115" w:type="dxa"/>
              <w:start w:w="115" w:type="dxa"/>
              <w:bottom w:w="115" w:type="dxa"/>
              <w:end w:w="115" w:type="dxa"/>
            </w:tcMar>
            <w:vAlign w:val="center"/>
            <w:tcBorders>
              <w:bottom w:val="single" w:sz="5" w:color="DFE9EA"/>
            </w:tcBorders>
          </w:tcPr>
          <w:p>
            <w:pPr>
              <w:spacing w:after="0" w:line="264" w:lineRule="auto"/>
            </w:pPr>
            <w:r>
              <w:rPr>
                <w:sz w:val="16"/>
              </w:rPr>
              <w:t>Managers can compare forecast saving with observed results.</w:t>
            </w:r>
          </w:p>
        </w:tc>
      </w:tr>
      <w:tr>
        <w:tc>
          <w:tcPr>
            <w:tcW w:type="dxa" w:w="121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Later</w:t>
            </w:r>
          </w:p>
        </w:tc>
        <w:tc>
          <w:tcPr>
            <w:tcW w:type="dxa" w:w="3816"/>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Portfolio budget planning, audited estimation tools, maintenance-system integration.</w:t>
            </w:r>
          </w:p>
        </w:tc>
        <w:tc>
          <w:tcPr>
            <w:tcW w:type="dxa" w:w="437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Planning output is validated on real completed repairs.</w:t>
            </w:r>
          </w:p>
        </w:tc>
      </w:tr>
    </w:tbl>
    <w:p>
      <w:pPr>
        <w:spacing w:after="0"/>
      </w:pPr>
    </w:p>
    <w:p>
      <w:pPr>
        <w:pStyle w:val="Heading1"/>
      </w:pPr>
      <w:r>
        <w:t>11. How to measure success</w:t>
      </w:r>
    </w:p>
    <w:p>
      <w:pPr>
        <w:pStyle w:val="ListBullet"/>
      </w:pPr>
      <w:r>
        <w:t>Number of repeated problems escalated to an appropriate maintenance assessment.</w:t>
      </w:r>
    </w:p>
    <w:p>
      <w:pPr>
        <w:pStyle w:val="ListBullet"/>
      </w:pPr>
      <w:r>
        <w:t>Difference between estimated cost savings and actual observed savings.</w:t>
      </w:r>
    </w:p>
    <w:p>
      <w:pPr>
        <w:pStyle w:val="ListBullet"/>
      </w:pPr>
      <w:r>
        <w:t>Change in repeat service visits after approved repairs, compared with similar untreated sites where practical.</w:t>
      </w:r>
    </w:p>
    <w:p>
      <w:pPr>
        <w:pStyle w:val="ListBullet"/>
      </w:pPr>
      <w:r>
        <w:t>Time needed to prepare a supported repair proposal.</w:t>
      </w:r>
    </w:p>
    <w:p>
      <w:pPr>
        <w:pStyle w:val="ListBullet"/>
      </w:pPr>
      <w:r>
        <w:t>Percentage of repair recommendations rejected, with reasons.</w:t>
      </w:r>
    </w:p>
    <w:p>
      <w:pPr>
        <w:pStyle w:val="ListBullet"/>
      </w:pPr>
      <w:r>
        <w:t>Customer willingness to pay for portfolio-level repair planning.</w:t>
      </w:r>
    </w:p>
    <w:p>
      <w:pPr>
        <w:pStyle w:val="Heading1"/>
      </w:pPr>
      <w:r>
        <w:t>12. Risks and guardrails</w:t>
      </w:r>
    </w:p>
    <w:p>
      <w:pPr>
        <w:pStyle w:val="ListBullet"/>
      </w:pPr>
      <w:r>
        <w:t>Health and safety come first. A low-cost option is not always acceptable.</w:t>
      </w:r>
    </w:p>
    <w:p>
      <w:pPr>
        <w:pStyle w:val="ListBullet"/>
      </w:pPr>
      <w:r>
        <w:t>A software suggestion is not an engineering assessment or procurement approval.</w:t>
      </w:r>
    </w:p>
    <w:p>
      <w:pPr>
        <w:pStyle w:val="ListBullet"/>
      </w:pPr>
      <w:r>
        <w:t>Costs may be incomplete. Show coverage and source quality clearly.</w:t>
      </w:r>
    </w:p>
    <w:p>
      <w:pPr>
        <w:pStyle w:val="ListBullet"/>
      </w:pPr>
      <w:r>
        <w:t>A repair may reduce a problem rather than eliminate it; show several scenarios.</w:t>
      </w:r>
    </w:p>
    <w:p>
      <w:pPr>
        <w:pStyle w:val="ListBullet"/>
      </w:pPr>
      <w:r>
        <w:t>Supplier incentives and conflicts of interest should be disclosed.</w:t>
      </w:r>
    </w:p>
    <w:p>
      <w:pPr>
        <w:pStyle w:val="ListBullet"/>
      </w:pPr>
      <w:r>
        <w:t>Do not promise disease reduction or guaranteed financial returns.</w:t>
      </w:r>
    </w:p>
    <w:p>
      <w:pPr>
        <w:pStyle w:val="Heading1"/>
      </w:pPr>
      <w:r>
        <w:t>13. Commercial opportunity</w:t>
      </w:r>
    </w:p>
    <w:p>
      <w:r>
        <w:t>This feature can be a premium module for property owners who have ongoing maintenance budgets. It turns prevention records into a financially understandable decision. Its value can be measured in documented costs avoided, if a pilot actually finds savings.</w:t>
      </w:r>
    </w:p>
    <w:p>
      <w:r>
        <w:t>A credible sales pitch is: “We help you find and assess recurring maintenance problems with evidence.” A less credible pitch is: “Our AI automatically knows the cheapest permanent fix.”</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QUESTIONS FOR AN EXPERT</w:t>
            </w:r>
          </w:p>
          <w:p>
            <w:pPr>
              <w:spacing w:after="20" w:line="276" w:lineRule="auto"/>
            </w:pPr>
            <w:r>
              <w:t>Which recurring issues are safe to recommend for repair review? What cost categories should be included? What evidence is required before showing predicted savings?</w:t>
            </w:r>
          </w:p>
        </w:tc>
      </w:tr>
    </w:tbl>
    <w:p>
      <w:pPr>
        <w:spacing w:after="0"/>
      </w:pPr>
    </w:p>
    <w:sectPr w:rsidR="00FC693F" w:rsidRPr="0006063C" w:rsidSect="00034616">
      <w:headerReference w:type="default" r:id="rId9"/>
      <w:footerReference w:type="default" r:id="rId10"/>
      <w:pgSz w:w="11909" w:h="16834"/>
      <w:pgMar w:top="1267" w:right="1210" w:bottom="1109"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477"/>
        <w:sz w:val="15"/>
      </w:rPr>
      <w:t xml:space="preserve">Concept proposal  ·  Not an implemented feature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07E83"/>
        <w:sz w:val="16"/>
      </w:rPr>
      <w:t>DENGUEAI PRO  /  PRODUCT INNOVATION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81" w:lineRule="auto"/>
    </w:pPr>
    <w:rPr>
      <w:rFonts w:ascii="Carlito" w:hAnsi="Carlito"/>
      <w:color w:val="172C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ato" w:hAnsi="Lato"/>
      <w:b/>
      <w:bCs/>
      <w:color w:val="172C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007E83"/>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172C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Lato" w:hAnsi="Lato"/>
      <w:b/>
      <w:color w:val="172C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89" w:hanging="216"/>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89" w:hanging="216"/>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Repair and Cost-Savings Recommendations</dc:title>
  <dc:subject>DengueAI Pro product improvement proposal</dc:subject>
  <dc:creator>DengueAI Pro — Concept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