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
      </w:pPr>
      <w:r>
        <w:rPr>
          <w:b/>
          <w:color w:val="007E83"/>
          <w:sz w:val="18"/>
        </w:rPr>
        <w:t>IMPROVEMENT 05 OF 05  |  DETAILED FEATURE DOCUMENT</w:t>
      </w:r>
    </w:p>
    <w:p>
      <w:pPr>
        <w:pStyle w:val="Title"/>
      </w:pPr>
      <w:r>
        <w:t>Coordinated Prevention Across Properties</w:t>
      </w:r>
    </w:p>
    <w:p>
      <w:pPr>
        <w:spacing w:after="300"/>
      </w:pPr>
      <w:r>
        <w:rPr>
          <w:i/>
          <w:color w:val="566477"/>
          <w:sz w:val="23"/>
        </w:rPr>
        <w:t>Help nearby managed sites work together without sharing private data unnecessarily.</w:t>
      </w:r>
    </w:p>
    <w:tbl>
      <w:tblPr>
        <w:tblW w:type="auto" w:w="0"/>
        <w:tblLayout w:type="fixed"/>
        <w:tblLook w:firstColumn="1" w:firstRow="1" w:lastColumn="0" w:lastRow="0" w:noHBand="0" w:noVBand="1" w:val="04A0"/>
      </w:tblPr>
      <w:tblGrid>
        <w:gridCol w:w="9432"/>
      </w:tblGrid>
      <w:tr>
        <w:tc>
          <w:tcPr>
            <w:tcW w:type="dxa" w:w="9489"/>
            <w:shd w:fill="EFF6F6"/>
            <w:tcMar>
              <w:top w:w="150" w:type="dxa"/>
              <w:start w:w="180" w:type="dxa"/>
              <w:bottom w:w="140" w:type="dxa"/>
              <w:end w:w="180" w:type="dxa"/>
            </w:tcMar>
            <w:tcBorders>
              <w:left w:val="single" w:sz="22" w:color="12A2A6"/>
            </w:tcBorders>
          </w:tcPr>
          <w:p>
            <w:pPr>
              <w:spacing w:after="40"/>
            </w:pPr>
            <w:r>
              <w:rPr>
                <w:b/>
                <w:color w:val="007E83"/>
                <w:sz w:val="16"/>
              </w:rPr>
              <w:t>IN ONE SENTENCE</w:t>
            </w:r>
          </w:p>
          <w:p>
            <w:pPr>
              <w:spacing w:after="20" w:line="276" w:lineRule="auto"/>
            </w:pPr>
            <w:r>
              <w:t>Allow a trusted area manager to organize prevention tasks across several participating properties while each owner keeps control of its own records.</w:t>
            </w:r>
          </w:p>
        </w:tc>
      </w:tr>
    </w:tbl>
    <w:p>
      <w:pPr>
        <w:spacing w:after="0"/>
      </w:pPr>
    </w:p>
    <w:p>
      <w:pPr>
        <w:pStyle w:val="Heading2"/>
      </w:pPr>
      <w:r>
        <w:t>At a glance</w:t>
      </w:r>
    </w:p>
    <w:tbl>
      <w:tblPr>
        <w:tblW w:type="auto" w:w="0"/>
        <w:jc w:val="center"/>
        <w:tblLayout w:type="fixed"/>
        <w:tblLook w:firstColumn="1" w:firstRow="1" w:lastColumn="0" w:lastRow="0" w:noHBand="0" w:noVBand="1" w:val="04A0"/>
      </w:tblPr>
      <w:tblGrid>
        <w:gridCol w:w="2275"/>
        <w:gridCol w:w="7128"/>
      </w:tblGrid>
      <w:tr>
        <w:trPr>
          <w:tblHeader w:val="true"/>
        </w:trPr>
        <w:tc>
          <w:tcPr>
            <w:tcW w:type="dxa" w:w="4744"/>
            <w:shd w:fill="172C4D"/>
            <w:tcMar>
              <w:top w:w="100" w:type="dxa"/>
              <w:start w:w="115" w:type="dxa"/>
              <w:bottom w:w="100" w:type="dxa"/>
              <w:end w:w="115" w:type="dxa"/>
            </w:tcMar>
            <w:vAlign w:val="center"/>
            <w:tcBorders>
              <w:bottom w:val="single" w:sz="5" w:color="DFE9EA"/>
            </w:tcBorders>
          </w:tcPr>
          <w:p>
            <w:r>
              <w:rPr>
                <w:b/>
                <w:color w:val="FFFFFF"/>
                <w:sz w:val="17"/>
              </w:rPr>
              <w:t>Topic</w:t>
            </w:r>
          </w:p>
        </w:tc>
        <w:tc>
          <w:tcPr>
            <w:tcW w:type="dxa" w:w="4744"/>
            <w:shd w:fill="172C4D"/>
            <w:tcMar>
              <w:top w:w="100" w:type="dxa"/>
              <w:start w:w="115" w:type="dxa"/>
              <w:bottom w:w="100" w:type="dxa"/>
              <w:end w:w="115" w:type="dxa"/>
            </w:tcMar>
            <w:vAlign w:val="center"/>
            <w:tcBorders>
              <w:bottom w:val="single" w:sz="5" w:color="DFE9EA"/>
            </w:tcBorders>
          </w:tcPr>
          <w:p>
            <w:r>
              <w:rPr>
                <w:b/>
                <w:color w:val="FFFFFF"/>
                <w:sz w:val="17"/>
              </w:rPr>
              <w:t>Simple answer</w:t>
            </w:r>
          </w:p>
        </w:tc>
      </w:tr>
      <w:tr>
        <w:tc>
          <w:tcPr>
            <w:tcW w:type="dxa" w:w="2275"/>
            <w:tcMar>
              <w:top w:w="115" w:type="dxa"/>
              <w:start w:w="115" w:type="dxa"/>
              <w:bottom w:w="115" w:type="dxa"/>
              <w:end w:w="115" w:type="dxa"/>
            </w:tcMar>
            <w:shd w:fill="F4F8FA"/>
            <w:vAlign w:val="center"/>
            <w:tcBorders>
              <w:bottom w:val="single" w:sz="5" w:color="DFE9EA"/>
            </w:tcBorders>
          </w:tcPr>
          <w:p>
            <w:pPr>
              <w:spacing w:after="0" w:line="264" w:lineRule="auto"/>
            </w:pPr>
            <w:r>
              <w:rPr>
                <w:b/>
                <w:sz w:val="16"/>
              </w:rPr>
              <w:t>Who uses it?</w:t>
            </w:r>
          </w:p>
        </w:tc>
        <w:tc>
          <w:tcPr>
            <w:tcW w:type="dxa" w:w="7128"/>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Industrial park manager, campus operator, property organizations, contractors</w:t>
            </w:r>
          </w:p>
        </w:tc>
      </w:tr>
      <w:tr>
        <w:tc>
          <w:tcPr>
            <w:tcW w:type="dxa" w:w="2275"/>
            <w:tcMar>
              <w:top w:w="115" w:type="dxa"/>
              <w:start w:w="115" w:type="dxa"/>
              <w:bottom w:w="115" w:type="dxa"/>
              <w:end w:w="115" w:type="dxa"/>
            </w:tcMar>
            <w:vAlign w:val="center"/>
            <w:tcBorders>
              <w:bottom w:val="single" w:sz="5" w:color="DFE9EA"/>
            </w:tcBorders>
          </w:tcPr>
          <w:p>
            <w:pPr>
              <w:spacing w:after="0" w:line="264" w:lineRule="auto"/>
            </w:pPr>
            <w:r>
              <w:rPr>
                <w:b/>
                <w:sz w:val="16"/>
              </w:rPr>
              <w:t>Main benefit</w:t>
            </w:r>
          </w:p>
        </w:tc>
        <w:tc>
          <w:tcPr>
            <w:tcW w:type="dxa" w:w="7128"/>
            <w:tcMar>
              <w:top w:w="115" w:type="dxa"/>
              <w:start w:w="115" w:type="dxa"/>
              <w:bottom w:w="115" w:type="dxa"/>
              <w:end w:w="115" w:type="dxa"/>
            </w:tcMar>
            <w:vAlign w:val="center"/>
            <w:tcBorders>
              <w:bottom w:val="single" w:sz="5" w:color="DFE9EA"/>
            </w:tcBorders>
          </w:tcPr>
          <w:p>
            <w:pPr>
              <w:spacing w:after="0" w:line="264" w:lineRule="auto"/>
            </w:pPr>
            <w:r>
              <w:rPr>
                <w:sz w:val="16"/>
              </w:rPr>
              <w:t>Coordinate shared spaces, follow-up visits, and responsibility across site boundaries.</w:t>
            </w:r>
          </w:p>
        </w:tc>
      </w:tr>
      <w:tr>
        <w:tc>
          <w:tcPr>
            <w:tcW w:type="dxa" w:w="2275"/>
            <w:tcMar>
              <w:top w:w="115" w:type="dxa"/>
              <w:start w:w="115" w:type="dxa"/>
              <w:bottom w:w="115" w:type="dxa"/>
              <w:end w:w="115" w:type="dxa"/>
            </w:tcMar>
            <w:shd w:fill="F4F8FA"/>
            <w:vAlign w:val="center"/>
            <w:tcBorders>
              <w:bottom w:val="single" w:sz="5" w:color="DFE9EA"/>
            </w:tcBorders>
          </w:tcPr>
          <w:p>
            <w:pPr>
              <w:spacing w:after="0" w:line="264" w:lineRule="auto"/>
            </w:pPr>
            <w:r>
              <w:rPr>
                <w:b/>
                <w:sz w:val="16"/>
              </w:rPr>
              <w:t>Recommended stage</w:t>
            </w:r>
          </w:p>
        </w:tc>
        <w:tc>
          <w:tcPr>
            <w:tcW w:type="dxa" w:w="7128"/>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Later expansion: after single-site workflows work reliably</w:t>
            </w:r>
          </w:p>
        </w:tc>
      </w:tr>
      <w:tr>
        <w:tc>
          <w:tcPr>
            <w:tcW w:type="dxa" w:w="2275"/>
            <w:tcMar>
              <w:top w:w="115" w:type="dxa"/>
              <w:start w:w="115" w:type="dxa"/>
              <w:bottom w:w="115" w:type="dxa"/>
              <w:end w:w="115" w:type="dxa"/>
            </w:tcMar>
            <w:vAlign w:val="center"/>
            <w:tcBorders>
              <w:bottom w:val="single" w:sz="5" w:color="DFE9EA"/>
            </w:tcBorders>
          </w:tcPr>
          <w:p>
            <w:pPr>
              <w:spacing w:after="0" w:line="264" w:lineRule="auto"/>
            </w:pPr>
            <w:r>
              <w:rPr>
                <w:b/>
                <w:sz w:val="16"/>
              </w:rPr>
              <w:t>What it depends on</w:t>
            </w:r>
          </w:p>
        </w:tc>
        <w:tc>
          <w:tcPr>
            <w:tcW w:type="dxa" w:w="7128"/>
            <w:tcMar>
              <w:top w:w="115" w:type="dxa"/>
              <w:start w:w="115" w:type="dxa"/>
              <w:bottom w:w="115" w:type="dxa"/>
              <w:end w:w="115" w:type="dxa"/>
            </w:tcMar>
            <w:vAlign w:val="center"/>
            <w:tcBorders>
              <w:bottom w:val="single" w:sz="5" w:color="DFE9EA"/>
            </w:tcBorders>
          </w:tcPr>
          <w:p>
            <w:pPr>
              <w:spacing w:after="0" w:line="264" w:lineRule="auto"/>
            </w:pPr>
            <w:r>
              <w:rPr>
                <w:sz w:val="16"/>
              </w:rPr>
              <w:t>Consent, organization-level accounts, shared-area rules, strong access control, and clear site ownership.</w:t>
            </w:r>
          </w:p>
        </w:tc>
      </w:tr>
    </w:tbl>
    <w:p>
      <w:pPr>
        <w:spacing w:after="0"/>
      </w:pPr>
    </w:p>
    <w:p>
      <w:r>
        <w:t>Document purpose: explain this new feature in easy English, show how it could work, and give a practical development and testing plan. This is a proposal from the supplied improvement notes; it is not a claim that the feature is already built.</w:t>
      </w:r>
    </w:p>
    <w:p>
      <w:pPr>
        <w:pStyle w:val="Heading1"/>
      </w:pPr>
      <w:r>
        <w:t>1. The basic idea</w:t>
      </w:r>
    </w:p>
    <w:p>
      <w:r>
        <w:t>A factory can keep its own drains clean while a shared lane or neighboring common area still needs attention. When several properties have the same area manager, it can be useful to plan inspections together instead of keeping everyone in separate spreadsheets.</w:t>
      </w:r>
    </w:p>
    <w:p>
      <w:pPr>
        <w:pStyle w:val="Heading1"/>
      </w:pPr>
      <w:r>
        <w:t>2. The problem it solves</w:t>
      </w:r>
    </w:p>
    <w:p>
      <w:r>
        <w:t>A campus, industrial estate, apartment complex, or hotel group may have many separately managed buildings. Each team sees only its own reports. Shared drains, roads, and storage areas can end up with unclear responsibility.</w:t>
      </w:r>
    </w:p>
    <w:p>
      <w:r>
        <w:t>This feature gives an authorized group manager one coordination view, while respecting each participating property’s boundaries and permissions.</w:t>
      </w:r>
    </w:p>
    <w:p>
      <w:pPr>
        <w:pStyle w:val="Heading1"/>
      </w:pPr>
      <w:r>
        <w:t>3. A concrete example</w:t>
      </w:r>
    </w:p>
    <w:p>
      <w:r>
        <w:t>An industrial park contains six factories and a shared drainage corridor. The park manager can see that the common corridor needs inspection, assign that task to the shared maintenance team, and invite each factory to align its routine checks during the same week.</w:t>
      </w:r>
    </w:p>
    <w:p>
      <w:r>
        <w:t>Factory A can share the status of a relevant shared-area task without giving Factory B full access to A’s internal photographs, staff details, or maintenance costs.</w:t>
      </w:r>
    </w:p>
    <w:tbl>
      <w:tblPr>
        <w:tblW w:type="auto" w:w="0"/>
        <w:tblLayout w:type="fixed"/>
        <w:tblLook w:firstColumn="1" w:firstRow="1" w:lastColumn="0" w:lastRow="0" w:noHBand="0" w:noVBand="1" w:val="04A0"/>
      </w:tblPr>
      <w:tblGrid>
        <w:gridCol w:w="9432"/>
      </w:tblGrid>
      <w:tr>
        <w:tc>
          <w:tcPr>
            <w:tcW w:type="dxa" w:w="9489"/>
            <w:shd w:fill="EFF6F6"/>
            <w:tcMar>
              <w:top w:w="150" w:type="dxa"/>
              <w:start w:w="180" w:type="dxa"/>
              <w:bottom w:w="140" w:type="dxa"/>
              <w:end w:w="180" w:type="dxa"/>
            </w:tcMar>
            <w:tcBorders>
              <w:left w:val="single" w:sz="22" w:color="12A2A6"/>
            </w:tcBorders>
          </w:tcPr>
          <w:p>
            <w:pPr>
              <w:spacing w:after="40"/>
            </w:pPr>
            <w:r>
              <w:rPr>
                <w:b/>
                <w:color w:val="007E83"/>
                <w:sz w:val="16"/>
              </w:rPr>
              <w:t>PLAIN-LANGUAGE PROMISE</w:t>
            </w:r>
          </w:p>
          <w:p>
            <w:pPr>
              <w:spacing w:after="20" w:line="276" w:lineRule="auto"/>
            </w:pPr>
            <w:r>
              <w:t>“Work together on shared prevention tasks. Keep private building records private.”</w:t>
            </w:r>
          </w:p>
        </w:tc>
      </w:tr>
    </w:tbl>
    <w:p>
      <w:pPr>
        <w:spacing w:after="0"/>
      </w:pPr>
    </w:p>
    <w:p>
      <w:pPr>
        <w:pStyle w:val="Heading1"/>
      </w:pPr>
      <w:r>
        <w:t>4. How it works step by step</w:t>
      </w:r>
    </w:p>
    <w:p>
      <w:pPr>
        <w:pStyle w:val="ListNumber"/>
      </w:pPr>
      <w:r>
        <w:t>Create an area group, such as an industrial park or university campus, with a named managing organization.</w:t>
      </w:r>
    </w:p>
    <w:p>
      <w:pPr>
        <w:pStyle w:val="ListNumber"/>
      </w:pPr>
      <w:r>
        <w:t>Invite participating properties. Each organization chooses whether to participate and who can see shared information.</w:t>
      </w:r>
    </w:p>
    <w:p>
      <w:pPr>
        <w:pStyle w:val="ListNumber"/>
      </w:pPr>
      <w:r>
        <w:t>Define boundaries: private areas, shared areas, and the team responsible for each place.</w:t>
      </w:r>
    </w:p>
    <w:p>
      <w:pPr>
        <w:pStyle w:val="ListNumber"/>
      </w:pPr>
      <w:r>
        <w:t>Create shared inspections or common-area tasks, with one named owner so work is not duplicated or forgotten.</w:t>
      </w:r>
    </w:p>
    <w:p>
      <w:pPr>
        <w:pStyle w:val="ListNumber"/>
      </w:pPr>
      <w:r>
        <w:t>Build a shared calendar and show only permitted status updates to the group.</w:t>
      </w:r>
    </w:p>
    <w:p>
      <w:pPr>
        <w:pStyle w:val="ListNumber"/>
      </w:pPr>
      <w:r>
        <w:t>Keep property-specific evidence and detailed costs private unless explicitly shared.</w:t>
      </w:r>
    </w:p>
    <w:p>
      <w:pPr>
        <w:pStyle w:val="ListNumber"/>
      </w:pPr>
      <w:r>
        <w:t>Review completed common tasks and unresolved handoffs during a regular coordination meeting.</w:t>
      </w:r>
    </w:p>
    <w:p>
      <w:pPr>
        <w:pStyle w:val="Heading1"/>
      </w:pPr>
      <w:r>
        <w:t>5. Access and permission rules</w:t>
      </w:r>
    </w:p>
    <w:tbl>
      <w:tblPr>
        <w:tblW w:type="auto" w:w="0"/>
        <w:jc w:val="center"/>
        <w:tblLayout w:type="fixed"/>
        <w:tblLook w:firstColumn="1" w:firstRow="1" w:lastColumn="0" w:lastRow="0" w:noHBand="0" w:noVBand="1" w:val="04A0"/>
      </w:tblPr>
      <w:tblGrid>
        <w:gridCol w:w="2304"/>
        <w:gridCol w:w="3672"/>
        <w:gridCol w:w="3427"/>
      </w:tblGrid>
      <w:tr>
        <w:trPr>
          <w:tblHeader w:val="true"/>
        </w:trPr>
        <w:tc>
          <w:tcPr>
            <w:tcW w:type="dxa" w:w="3163"/>
            <w:shd w:fill="172C4D"/>
            <w:tcMar>
              <w:top w:w="100" w:type="dxa"/>
              <w:start w:w="115" w:type="dxa"/>
              <w:bottom w:w="100" w:type="dxa"/>
              <w:end w:w="115" w:type="dxa"/>
            </w:tcMar>
            <w:vAlign w:val="center"/>
            <w:tcBorders>
              <w:bottom w:val="single" w:sz="5" w:color="DFE9EA"/>
            </w:tcBorders>
          </w:tcPr>
          <w:p>
            <w:r>
              <w:rPr>
                <w:b/>
                <w:color w:val="FFFFFF"/>
                <w:sz w:val="17"/>
              </w:rPr>
              <w:t>Role</w:t>
            </w:r>
          </w:p>
        </w:tc>
        <w:tc>
          <w:tcPr>
            <w:tcW w:type="dxa" w:w="3163"/>
            <w:shd w:fill="172C4D"/>
            <w:tcMar>
              <w:top w:w="100" w:type="dxa"/>
              <w:start w:w="115" w:type="dxa"/>
              <w:bottom w:w="100" w:type="dxa"/>
              <w:end w:w="115" w:type="dxa"/>
            </w:tcMar>
            <w:vAlign w:val="center"/>
            <w:tcBorders>
              <w:bottom w:val="single" w:sz="5" w:color="DFE9EA"/>
            </w:tcBorders>
          </w:tcPr>
          <w:p>
            <w:r>
              <w:rPr>
                <w:b/>
                <w:color w:val="FFFFFF"/>
                <w:sz w:val="17"/>
              </w:rPr>
              <w:t>Can see or do</w:t>
            </w:r>
          </w:p>
        </w:tc>
        <w:tc>
          <w:tcPr>
            <w:tcW w:type="dxa" w:w="3163"/>
            <w:shd w:fill="172C4D"/>
            <w:tcMar>
              <w:top w:w="100" w:type="dxa"/>
              <w:start w:w="115" w:type="dxa"/>
              <w:bottom w:w="100" w:type="dxa"/>
              <w:end w:w="115" w:type="dxa"/>
            </w:tcMar>
            <w:vAlign w:val="center"/>
            <w:tcBorders>
              <w:bottom w:val="single" w:sz="5" w:color="DFE9EA"/>
            </w:tcBorders>
          </w:tcPr>
          <w:p>
            <w:r>
              <w:rPr>
                <w:b/>
                <w:color w:val="FFFFFF"/>
                <w:sz w:val="17"/>
              </w:rPr>
              <w:t>Must not see by default</w:t>
            </w:r>
          </w:p>
        </w:tc>
      </w:tr>
      <w:tr>
        <w:tc>
          <w:tcPr>
            <w:tcW w:type="dxa" w:w="2304"/>
            <w:tcMar>
              <w:top w:w="115" w:type="dxa"/>
              <w:start w:w="115" w:type="dxa"/>
              <w:bottom w:w="115" w:type="dxa"/>
              <w:end w:w="115" w:type="dxa"/>
            </w:tcMar>
            <w:shd w:fill="F4F8FA"/>
            <w:vAlign w:val="center"/>
            <w:tcBorders>
              <w:bottom w:val="single" w:sz="5" w:color="DFE9EA"/>
            </w:tcBorders>
          </w:tcPr>
          <w:p>
            <w:pPr>
              <w:spacing w:after="0" w:line="264" w:lineRule="auto"/>
            </w:pPr>
            <w:r>
              <w:rPr>
                <w:b/>
                <w:sz w:val="16"/>
              </w:rPr>
              <w:t>Area coordinator</w:t>
            </w:r>
          </w:p>
        </w:tc>
        <w:tc>
          <w:tcPr>
            <w:tcW w:type="dxa" w:w="3672"/>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Shared-zone task status, group calendar, invited member summaries.</w:t>
            </w:r>
          </w:p>
        </w:tc>
        <w:tc>
          <w:tcPr>
            <w:tcW w:type="dxa" w:w="3427"/>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Private building images, personal records, undisclosed costs.</w:t>
            </w:r>
          </w:p>
        </w:tc>
      </w:tr>
      <w:tr>
        <w:tc>
          <w:tcPr>
            <w:tcW w:type="dxa" w:w="2304"/>
            <w:tcMar>
              <w:top w:w="115" w:type="dxa"/>
              <w:start w:w="115" w:type="dxa"/>
              <w:bottom w:w="115" w:type="dxa"/>
              <w:end w:w="115" w:type="dxa"/>
            </w:tcMar>
            <w:vAlign w:val="center"/>
            <w:tcBorders>
              <w:bottom w:val="single" w:sz="5" w:color="DFE9EA"/>
            </w:tcBorders>
          </w:tcPr>
          <w:p>
            <w:pPr>
              <w:spacing w:after="0" w:line="264" w:lineRule="auto"/>
            </w:pPr>
            <w:r>
              <w:rPr>
                <w:b/>
                <w:sz w:val="16"/>
              </w:rPr>
              <w:t>Property manager</w:t>
            </w:r>
          </w:p>
        </w:tc>
        <w:tc>
          <w:tcPr>
            <w:tcW w:type="dxa" w:w="3672"/>
            <w:tcMar>
              <w:top w:w="115" w:type="dxa"/>
              <w:start w:w="115" w:type="dxa"/>
              <w:bottom w:w="115" w:type="dxa"/>
              <w:end w:w="115" w:type="dxa"/>
            </w:tcMar>
            <w:vAlign w:val="center"/>
            <w:tcBorders>
              <w:bottom w:val="single" w:sz="5" w:color="DFE9EA"/>
            </w:tcBorders>
          </w:tcPr>
          <w:p>
            <w:pPr>
              <w:spacing w:after="0" w:line="264" w:lineRule="auto"/>
            </w:pPr>
            <w:r>
              <w:rPr>
                <w:sz w:val="16"/>
              </w:rPr>
              <w:t>Own property details; selected shared work items.</w:t>
            </w:r>
          </w:p>
        </w:tc>
        <w:tc>
          <w:tcPr>
            <w:tcW w:type="dxa" w:w="3427"/>
            <w:tcMar>
              <w:top w:w="115" w:type="dxa"/>
              <w:start w:w="115" w:type="dxa"/>
              <w:bottom w:w="115" w:type="dxa"/>
              <w:end w:w="115" w:type="dxa"/>
            </w:tcMar>
            <w:vAlign w:val="center"/>
            <w:tcBorders>
              <w:bottom w:val="single" w:sz="5" w:color="DFE9EA"/>
            </w:tcBorders>
          </w:tcPr>
          <w:p>
            <w:pPr>
              <w:spacing w:after="0" w:line="264" w:lineRule="auto"/>
            </w:pPr>
            <w:r>
              <w:rPr>
                <w:sz w:val="16"/>
              </w:rPr>
              <w:t>Other properties’ private records.</w:t>
            </w:r>
          </w:p>
        </w:tc>
      </w:tr>
      <w:tr>
        <w:tc>
          <w:tcPr>
            <w:tcW w:type="dxa" w:w="2304"/>
            <w:tcMar>
              <w:top w:w="115" w:type="dxa"/>
              <w:start w:w="115" w:type="dxa"/>
              <w:bottom w:w="115" w:type="dxa"/>
              <w:end w:w="115" w:type="dxa"/>
            </w:tcMar>
            <w:shd w:fill="F4F8FA"/>
            <w:vAlign w:val="center"/>
            <w:tcBorders>
              <w:bottom w:val="single" w:sz="5" w:color="DFE9EA"/>
            </w:tcBorders>
          </w:tcPr>
          <w:p>
            <w:pPr>
              <w:spacing w:after="0" w:line="264" w:lineRule="auto"/>
            </w:pPr>
            <w:r>
              <w:rPr>
                <w:b/>
                <w:sz w:val="16"/>
              </w:rPr>
              <w:t>Shared contractor</w:t>
            </w:r>
          </w:p>
        </w:tc>
        <w:tc>
          <w:tcPr>
            <w:tcW w:type="dxa" w:w="3672"/>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Assigned shared work orders and permitted evidence.</w:t>
            </w:r>
          </w:p>
        </w:tc>
        <w:tc>
          <w:tcPr>
            <w:tcW w:type="dxa" w:w="3427"/>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Unassigned sites or customer portfolios.</w:t>
            </w:r>
          </w:p>
        </w:tc>
      </w:tr>
      <w:tr>
        <w:tc>
          <w:tcPr>
            <w:tcW w:type="dxa" w:w="2304"/>
            <w:tcMar>
              <w:top w:w="115" w:type="dxa"/>
              <w:start w:w="115" w:type="dxa"/>
              <w:bottom w:w="115" w:type="dxa"/>
              <w:end w:w="115" w:type="dxa"/>
            </w:tcMar>
            <w:vAlign w:val="center"/>
            <w:tcBorders>
              <w:bottom w:val="single" w:sz="5" w:color="DFE9EA"/>
            </w:tcBorders>
          </w:tcPr>
          <w:p>
            <w:pPr>
              <w:spacing w:after="0" w:line="264" w:lineRule="auto"/>
            </w:pPr>
            <w:r>
              <w:rPr>
                <w:b/>
                <w:sz w:val="16"/>
              </w:rPr>
              <w:t>Independent inspector</w:t>
            </w:r>
          </w:p>
        </w:tc>
        <w:tc>
          <w:tcPr>
            <w:tcW w:type="dxa" w:w="3672"/>
            <w:tcMar>
              <w:top w:w="115" w:type="dxa"/>
              <w:start w:w="115" w:type="dxa"/>
              <w:bottom w:w="115" w:type="dxa"/>
              <w:end w:w="115" w:type="dxa"/>
            </w:tcMar>
            <w:vAlign w:val="center"/>
            <w:tcBorders>
              <w:bottom w:val="single" w:sz="5" w:color="DFE9EA"/>
            </w:tcBorders>
          </w:tcPr>
          <w:p>
            <w:pPr>
              <w:spacing w:after="0" w:line="264" w:lineRule="auto"/>
            </w:pPr>
            <w:r>
              <w:rPr>
                <w:sz w:val="16"/>
              </w:rPr>
              <w:t>Only sites and reports in their appointment scope.</w:t>
            </w:r>
          </w:p>
        </w:tc>
        <w:tc>
          <w:tcPr>
            <w:tcW w:type="dxa" w:w="3427"/>
            <w:tcMar>
              <w:top w:w="115" w:type="dxa"/>
              <w:start w:w="115" w:type="dxa"/>
              <w:bottom w:w="115" w:type="dxa"/>
              <w:end w:w="115" w:type="dxa"/>
            </w:tcMar>
            <w:vAlign w:val="center"/>
            <w:tcBorders>
              <w:bottom w:val="single" w:sz="5" w:color="DFE9EA"/>
            </w:tcBorders>
          </w:tcPr>
          <w:p>
            <w:pPr>
              <w:spacing w:after="0" w:line="264" w:lineRule="auto"/>
            </w:pPr>
            <w:r>
              <w:rPr>
                <w:sz w:val="16"/>
              </w:rPr>
              <w:t>Entire network without permission.</w:t>
            </w:r>
          </w:p>
        </w:tc>
      </w:tr>
    </w:tbl>
    <w:p>
      <w:pPr>
        <w:spacing w:after="0"/>
      </w:pPr>
    </w:p>
    <w:p>
      <w:pPr>
        <w:pStyle w:val="Heading1"/>
      </w:pPr>
      <w:r>
        <w:t>6. Product features to build</w:t>
      </w:r>
    </w:p>
    <w:p>
      <w:pPr>
        <w:pStyle w:val="ListBullet"/>
      </w:pPr>
      <w:r>
        <w:t>Area map with agreed boundaries and common spaces.</w:t>
      </w:r>
    </w:p>
    <w:p>
      <w:pPr>
        <w:pStyle w:val="ListBullet"/>
      </w:pPr>
      <w:r>
        <w:t>Organization invitations, consent, and ability to leave the group.</w:t>
      </w:r>
    </w:p>
    <w:p>
      <w:pPr>
        <w:pStyle w:val="ListBullet"/>
      </w:pPr>
      <w:r>
        <w:t>Shared task calendar and status board with clear responsibility.</w:t>
      </w:r>
    </w:p>
    <w:p>
      <w:pPr>
        <w:pStyle w:val="ListBullet"/>
      </w:pPr>
      <w:r>
        <w:t>Ownership handoff when a task crosses private and common spaces.</w:t>
      </w:r>
    </w:p>
    <w:p>
      <w:pPr>
        <w:pStyle w:val="ListBullet"/>
      </w:pPr>
      <w:r>
        <w:t>Group summaries showing totals or trends without exposing sensitive detail.</w:t>
      </w:r>
    </w:p>
    <w:p>
      <w:pPr>
        <w:pStyle w:val="ListBullet"/>
      </w:pPr>
      <w:r>
        <w:t>Exportable meeting report for the coordinator and participating organizations.</w:t>
      </w:r>
    </w:p>
    <w:p>
      <w:pPr>
        <w:pStyle w:val="ListBullet"/>
      </w:pPr>
      <w:r>
        <w:t>A record of who shared information with whom and when.</w:t>
      </w:r>
    </w:p>
    <w:p>
      <w:pPr>
        <w:pStyle w:val="Heading1"/>
      </w:pPr>
      <w:r>
        <w:t>7. What should be shared?</w:t>
      </w:r>
    </w:p>
    <w:p>
      <w:r>
        <w:t>Start with operational information that participating organizations agree is necessary: common-area task due dates, whether a shared inspection was completed, and whether a shared problem remains open.</w:t>
      </w:r>
    </w:p>
    <w:p>
      <w:r>
        <w:t>Avoid sharing individual health records or claiming that an infection came from a specific neighboring property. Those conclusions cannot be drawn from a simple site map or complaint history. Aggregated information may also need privacy checks if there are very few properties.</w:t>
      </w:r>
    </w:p>
    <w:p>
      <w:pPr>
        <w:pStyle w:val="Heading1"/>
      </w:pPr>
      <w:r>
        <w:t>8. Suggested technical design</w:t>
      </w:r>
    </w:p>
    <w:p>
      <w:r>
        <w:t>Use an organization-and-property access model. Every record belongs to an organization or a clearly defined shared group. Permission checks should happen on the backend for every read and update—not only by hiding buttons in React.</w:t>
      </w:r>
    </w:p>
    <w:p>
      <w:r>
        <w:t>The group calendar can reference existing work-order IDs rather than copying full private reports. A sharing permission table should store which organization can view which information, for what purpose, and for how long.</w:t>
      </w:r>
    </w:p>
    <w:p>
      <w:r>
        <w:t>If an organization withdraws, the system should stop new access while preserving legally required records and a clear audit history under the agreed contract.</w:t>
      </w:r>
    </w:p>
    <w:p>
      <w:pPr>
        <w:pStyle w:val="Heading1"/>
      </w:pPr>
      <w:r>
        <w:t>9. Implementation stages</w:t>
      </w:r>
    </w:p>
    <w:tbl>
      <w:tblPr>
        <w:tblW w:type="auto" w:w="0"/>
        <w:jc w:val="center"/>
        <w:tblLayout w:type="fixed"/>
        <w:tblLook w:firstColumn="1" w:firstRow="1" w:lastColumn="0" w:lastRow="0" w:noHBand="0" w:noVBand="1" w:val="04A0"/>
      </w:tblPr>
      <w:tblGrid>
        <w:gridCol w:w="1224"/>
        <w:gridCol w:w="4032"/>
        <w:gridCol w:w="4147"/>
      </w:tblGrid>
      <w:tr>
        <w:trPr>
          <w:tblHeader w:val="true"/>
        </w:trPr>
        <w:tc>
          <w:tcPr>
            <w:tcW w:type="dxa" w:w="3163"/>
            <w:shd w:fill="172C4D"/>
            <w:tcMar>
              <w:top w:w="100" w:type="dxa"/>
              <w:start w:w="115" w:type="dxa"/>
              <w:bottom w:w="100" w:type="dxa"/>
              <w:end w:w="115" w:type="dxa"/>
            </w:tcMar>
            <w:vAlign w:val="center"/>
            <w:tcBorders>
              <w:bottom w:val="single" w:sz="5" w:color="DFE9EA"/>
            </w:tcBorders>
          </w:tcPr>
          <w:p>
            <w:r>
              <w:rPr>
                <w:b/>
                <w:color w:val="FFFFFF"/>
                <w:sz w:val="17"/>
              </w:rPr>
              <w:t>Stage</w:t>
            </w:r>
          </w:p>
        </w:tc>
        <w:tc>
          <w:tcPr>
            <w:tcW w:type="dxa" w:w="3163"/>
            <w:shd w:fill="172C4D"/>
            <w:tcMar>
              <w:top w:w="100" w:type="dxa"/>
              <w:start w:w="115" w:type="dxa"/>
              <w:bottom w:w="100" w:type="dxa"/>
              <w:end w:w="115" w:type="dxa"/>
            </w:tcMar>
            <w:vAlign w:val="center"/>
            <w:tcBorders>
              <w:bottom w:val="single" w:sz="5" w:color="DFE9EA"/>
            </w:tcBorders>
          </w:tcPr>
          <w:p>
            <w:r>
              <w:rPr>
                <w:b/>
                <w:color w:val="FFFFFF"/>
                <w:sz w:val="17"/>
              </w:rPr>
              <w:t>Build</w:t>
            </w:r>
          </w:p>
        </w:tc>
        <w:tc>
          <w:tcPr>
            <w:tcW w:type="dxa" w:w="3163"/>
            <w:shd w:fill="172C4D"/>
            <w:tcMar>
              <w:top w:w="100" w:type="dxa"/>
              <w:start w:w="115" w:type="dxa"/>
              <w:bottom w:w="100" w:type="dxa"/>
              <w:end w:w="115" w:type="dxa"/>
            </w:tcMar>
            <w:vAlign w:val="center"/>
            <w:tcBorders>
              <w:bottom w:val="single" w:sz="5" w:color="DFE9EA"/>
            </w:tcBorders>
          </w:tcPr>
          <w:p>
            <w:r>
              <w:rPr>
                <w:b/>
                <w:color w:val="FFFFFF"/>
                <w:sz w:val="17"/>
              </w:rPr>
              <w:t>Why this order</w:t>
            </w:r>
          </w:p>
        </w:tc>
      </w:tr>
      <w:tr>
        <w:tc>
          <w:tcPr>
            <w:tcW w:type="dxa" w:w="1224"/>
            <w:tcMar>
              <w:top w:w="115" w:type="dxa"/>
              <w:start w:w="115" w:type="dxa"/>
              <w:bottom w:w="115" w:type="dxa"/>
              <w:end w:w="115" w:type="dxa"/>
            </w:tcMar>
            <w:shd w:fill="F4F8FA"/>
            <w:vAlign w:val="center"/>
            <w:tcBorders>
              <w:bottom w:val="single" w:sz="5" w:color="DFE9EA"/>
            </w:tcBorders>
          </w:tcPr>
          <w:p>
            <w:pPr>
              <w:spacing w:after="0" w:line="264" w:lineRule="auto"/>
            </w:pPr>
            <w:r>
              <w:rPr>
                <w:b/>
                <w:sz w:val="16"/>
              </w:rPr>
              <w:t>Test concept</w:t>
            </w:r>
          </w:p>
        </w:tc>
        <w:tc>
          <w:tcPr>
            <w:tcW w:type="dxa" w:w="4032"/>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One owner with several sites; internal shared-area tasks.</w:t>
            </w:r>
          </w:p>
        </w:tc>
        <w:tc>
          <w:tcPr>
            <w:tcW w:type="dxa" w:w="4147"/>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Simpler permissions and clear accountability.</w:t>
            </w:r>
          </w:p>
        </w:tc>
      </w:tr>
      <w:tr>
        <w:tc>
          <w:tcPr>
            <w:tcW w:type="dxa" w:w="1224"/>
            <w:tcMar>
              <w:top w:w="115" w:type="dxa"/>
              <w:start w:w="115" w:type="dxa"/>
              <w:bottom w:w="115" w:type="dxa"/>
              <w:end w:w="115" w:type="dxa"/>
            </w:tcMar>
            <w:vAlign w:val="center"/>
            <w:tcBorders>
              <w:bottom w:val="single" w:sz="5" w:color="DFE9EA"/>
            </w:tcBorders>
          </w:tcPr>
          <w:p>
            <w:pPr>
              <w:spacing w:after="0" w:line="264" w:lineRule="auto"/>
            </w:pPr>
            <w:r>
              <w:rPr>
                <w:b/>
                <w:sz w:val="16"/>
              </w:rPr>
              <w:t>Pilot</w:t>
            </w:r>
          </w:p>
        </w:tc>
        <w:tc>
          <w:tcPr>
            <w:tcW w:type="dxa" w:w="4032"/>
            <w:tcMar>
              <w:top w:w="115" w:type="dxa"/>
              <w:start w:w="115" w:type="dxa"/>
              <w:bottom w:w="115" w:type="dxa"/>
              <w:end w:w="115" w:type="dxa"/>
            </w:tcMar>
            <w:vAlign w:val="center"/>
            <w:tcBorders>
              <w:bottom w:val="single" w:sz="5" w:color="DFE9EA"/>
            </w:tcBorders>
          </w:tcPr>
          <w:p>
            <w:pPr>
              <w:spacing w:after="0" w:line="264" w:lineRule="auto"/>
            </w:pPr>
            <w:r>
              <w:rPr>
                <w:sz w:val="16"/>
              </w:rPr>
              <w:t>Invite two or three partner organizations; shared calendars and opt-in summaries.</w:t>
            </w:r>
          </w:p>
        </w:tc>
        <w:tc>
          <w:tcPr>
            <w:tcW w:type="dxa" w:w="4147"/>
            <w:tcMar>
              <w:top w:w="115" w:type="dxa"/>
              <w:start w:w="115" w:type="dxa"/>
              <w:bottom w:w="115" w:type="dxa"/>
              <w:end w:w="115" w:type="dxa"/>
            </w:tcMar>
            <w:vAlign w:val="center"/>
            <w:tcBorders>
              <w:bottom w:val="single" w:sz="5" w:color="DFE9EA"/>
            </w:tcBorders>
          </w:tcPr>
          <w:p>
            <w:pPr>
              <w:spacing w:after="0" w:line="264" w:lineRule="auto"/>
            </w:pPr>
            <w:r>
              <w:rPr>
                <w:sz w:val="16"/>
              </w:rPr>
              <w:t>Test trust, privacy controls, and coordination overhead.</w:t>
            </w:r>
          </w:p>
        </w:tc>
      </w:tr>
      <w:tr>
        <w:tc>
          <w:tcPr>
            <w:tcW w:type="dxa" w:w="1224"/>
            <w:tcMar>
              <w:top w:w="115" w:type="dxa"/>
              <w:start w:w="115" w:type="dxa"/>
              <w:bottom w:w="115" w:type="dxa"/>
              <w:end w:w="115" w:type="dxa"/>
            </w:tcMar>
            <w:shd w:fill="F4F8FA"/>
            <w:vAlign w:val="center"/>
            <w:tcBorders>
              <w:bottom w:val="single" w:sz="5" w:color="DFE9EA"/>
            </w:tcBorders>
          </w:tcPr>
          <w:p>
            <w:pPr>
              <w:spacing w:after="0" w:line="264" w:lineRule="auto"/>
            </w:pPr>
            <w:r>
              <w:rPr>
                <w:b/>
                <w:sz w:val="16"/>
              </w:rPr>
              <w:t>Later</w:t>
            </w:r>
          </w:p>
        </w:tc>
        <w:tc>
          <w:tcPr>
            <w:tcW w:type="dxa" w:w="4032"/>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Multi-organization dashboards, contractor agreements, shared reporting interfaces.</w:t>
            </w:r>
          </w:p>
        </w:tc>
        <w:tc>
          <w:tcPr>
            <w:tcW w:type="dxa" w:w="4147"/>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Expand only after permissions and business process work.</w:t>
            </w:r>
          </w:p>
        </w:tc>
      </w:tr>
    </w:tbl>
    <w:p>
      <w:pPr>
        <w:spacing w:after="0"/>
      </w:pPr>
    </w:p>
    <w:p>
      <w:pPr>
        <w:pStyle w:val="Heading1"/>
      </w:pPr>
      <w:r>
        <w:t>10. How it might connect to AI</w:t>
      </w:r>
    </w:p>
    <w:p>
      <w:r>
        <w:t>AI could later suggest that several shared inspections be planned on the same day, or summarize unresolved common-area work from approved records. Such suggestions should never override access rules or assign blame for disease transmission.</w:t>
      </w:r>
    </w:p>
    <w:p>
      <w:r>
        <w:t>Do not start with a large “city digital twin” or a complex cross-property prediction model. First prove that simple shared scheduling and task ownership produce useful results.</w:t>
      </w:r>
    </w:p>
    <w:p>
      <w:pPr>
        <w:pStyle w:val="Heading1"/>
      </w:pPr>
      <w:r>
        <w:t>11. Testing and success measures</w:t>
      </w:r>
    </w:p>
    <w:p>
      <w:pPr>
        <w:pStyle w:val="ListBullet"/>
      </w:pPr>
      <w:r>
        <w:t>Percentage of common-area tasks with one clearly assigned owner.</w:t>
      </w:r>
    </w:p>
    <w:p>
      <w:pPr>
        <w:pStyle w:val="ListBullet"/>
      </w:pPr>
      <w:r>
        <w:t>Time lost to handoffs between neighboring teams.</w:t>
      </w:r>
    </w:p>
    <w:p>
      <w:pPr>
        <w:pStyle w:val="ListBullet"/>
      </w:pPr>
      <w:r>
        <w:t>Number of missed or duplicated shared inspections.</w:t>
      </w:r>
    </w:p>
    <w:p>
      <w:pPr>
        <w:pStyle w:val="ListBullet"/>
      </w:pPr>
      <w:r>
        <w:t>Participation and renewal rate of invited organizations.</w:t>
      </w:r>
    </w:p>
    <w:p>
      <w:pPr>
        <w:pStyle w:val="ListBullet"/>
      </w:pPr>
      <w:r>
        <w:t>Number of privacy complaints or unauthorized data disclosures (target: zero).</w:t>
      </w:r>
    </w:p>
    <w:p>
      <w:pPr>
        <w:pStyle w:val="ListBullet"/>
      </w:pPr>
      <w:r>
        <w:t>Time required to coordinate a shared inspection across organizations.</w:t>
      </w:r>
    </w:p>
    <w:p>
      <w:pPr>
        <w:pStyle w:val="Heading1"/>
      </w:pPr>
      <w:r>
        <w:t>12. Risks and practical limits</w:t>
      </w:r>
    </w:p>
    <w:p>
      <w:pPr>
        <w:pStyle w:val="ListBullet"/>
      </w:pPr>
      <w:r>
        <w:t>Participation must be voluntary or contractually authorized; do not assume neighboring buildings will share data.</w:t>
      </w:r>
    </w:p>
    <w:p>
      <w:pPr>
        <w:pStyle w:val="ListBullet"/>
      </w:pPr>
      <w:r>
        <w:t>Organizations may disagree about who pays or who is responsible. Define those rules before assigning work.</w:t>
      </w:r>
    </w:p>
    <w:p>
      <w:pPr>
        <w:pStyle w:val="ListBullet"/>
      </w:pPr>
      <w:r>
        <w:t>A shared map does not prove where someone became infected.</w:t>
      </w:r>
    </w:p>
    <w:p>
      <w:pPr>
        <w:pStyle w:val="ListBullet"/>
      </w:pPr>
      <w:r>
        <w:t>Strong tenant isolation and data-sharing permissions are essential.</w:t>
      </w:r>
    </w:p>
    <w:p>
      <w:pPr>
        <w:pStyle w:val="ListBullet"/>
      </w:pPr>
      <w:r>
        <w:t>Coordinating too many organizations early can slow product development; start with a managed area under one authority.</w:t>
      </w:r>
    </w:p>
    <w:p>
      <w:pPr>
        <w:pStyle w:val="Heading1"/>
      </w:pPr>
      <w:r>
        <w:t>13. Business potential</w:t>
      </w:r>
    </w:p>
    <w:p>
      <w:r>
        <w:t>A campus or industrial park operator could pay for coordination across participating sites. This is a separate sales approach from selling one building-level subscription.</w:t>
      </w:r>
    </w:p>
    <w:p>
      <w:r>
        <w:t>However, it only works if the area manager has the authority and budget to coordinate shared inspections. Customer interviews should test that assumption before building complex cross-company features.</w:t>
      </w:r>
    </w:p>
    <w:tbl>
      <w:tblPr>
        <w:tblW w:type="auto" w:w="0"/>
        <w:tblLayout w:type="fixed"/>
        <w:tblLook w:firstColumn="1" w:firstRow="1" w:lastColumn="0" w:lastRow="0" w:noHBand="0" w:noVBand="1" w:val="04A0"/>
      </w:tblPr>
      <w:tblGrid>
        <w:gridCol w:w="9432"/>
      </w:tblGrid>
      <w:tr>
        <w:tc>
          <w:tcPr>
            <w:tcW w:type="dxa" w:w="9489"/>
            <w:shd w:fill="EFF6F6"/>
            <w:tcMar>
              <w:top w:w="150" w:type="dxa"/>
              <w:start w:w="180" w:type="dxa"/>
              <w:bottom w:w="140" w:type="dxa"/>
              <w:end w:w="180" w:type="dxa"/>
            </w:tcMar>
            <w:tcBorders>
              <w:left w:val="single" w:sz="22" w:color="12A2A6"/>
            </w:tcBorders>
          </w:tcPr>
          <w:p>
            <w:pPr>
              <w:spacing w:after="40"/>
            </w:pPr>
            <w:r>
              <w:rPr>
                <w:b/>
                <w:color w:val="007E83"/>
                <w:sz w:val="16"/>
              </w:rPr>
              <w:t>QUESTIONS FOR AN EXPERT</w:t>
            </w:r>
          </w:p>
          <w:p>
            <w:pPr>
              <w:spacing w:after="20" w:line="276" w:lineRule="auto"/>
            </w:pPr>
            <w:r>
              <w:t>Who is the legitimate group coordinator? Which data can be shared safely? How should the system settle task ownership and responsibility across property boundaries?</w:t>
            </w:r>
          </w:p>
        </w:tc>
      </w:tr>
    </w:tbl>
    <w:p>
      <w:pPr>
        <w:spacing w:after="0"/>
      </w:pPr>
    </w:p>
    <w:sectPr w:rsidR="00FC693F" w:rsidRPr="0006063C" w:rsidSect="00034616">
      <w:headerReference w:type="default" r:id="rId9"/>
      <w:footerReference w:type="default" r:id="rId10"/>
      <w:pgSz w:w="11909" w:h="16834"/>
      <w:pgMar w:top="1267" w:right="1210" w:bottom="1109" w:left="1210"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66477"/>
        <w:sz w:val="15"/>
      </w:rPr>
      <w:t xml:space="preserve">Concept proposal  ·  Not an implemented feature     |     Page </w:t>
    </w: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ato" w:hAnsi="Lato"/>
        <w:b/>
        <w:color w:val="007E83"/>
        <w:sz w:val="16"/>
      </w:rPr>
      <w:t>DENGUEAI PRO  /  PRODUCT INNOVATION SERIES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30" w:line="281" w:lineRule="auto"/>
    </w:pPr>
    <w:rPr>
      <w:rFonts w:ascii="Carlito" w:hAnsi="Carlito"/>
      <w:color w:val="172C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Lato" w:hAnsi="Lato"/>
      <w:b/>
      <w:bCs/>
      <w:color w:val="172C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rlito" w:hAnsi="Carlito"/>
      <w:b/>
      <w:bCs/>
      <w:color w:val="007E83"/>
      <w:sz w:val="22"/>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rlito" w:hAnsi="Carlito"/>
      <w:b/>
      <w:bCs/>
      <w:color w:val="172C4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80"/>
      <w:contextualSpacing/>
    </w:pPr>
    <w:rPr>
      <w:rFonts w:asciiTheme="majorHAnsi" w:eastAsiaTheme="majorEastAsia" w:hAnsiTheme="majorHAnsi" w:cstheme="majorBidi" w:ascii="Lato" w:hAnsi="Lato"/>
      <w:b/>
      <w:color w:val="172C4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89" w:hanging="216"/>
      <w:contextualSpacing/>
    </w:pPr>
    <w:rPr>
      <w:rFonts w:ascii="Carlito" w:hAnsi="Carlito"/>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89" w:hanging="216"/>
      <w:contextualSpacing/>
    </w:pPr>
    <w:rPr>
      <w:rFonts w:ascii="Carlito" w:hAnsi="Carlito"/>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Coordinated Prevention Across Properties</dc:title>
  <dc:subject>DengueAI Pro product improvement proposal</dc:subject>
  <dc:creator>DengueAI Pro — Concept Documentation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