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
      </w:pPr>
      <w:r>
        <w:rPr>
          <w:b/>
          <w:color w:val="007E83"/>
          <w:sz w:val="18"/>
        </w:rPr>
        <w:t>COMPANION DOCUMENT  |  BUSINESS &amp; VALIDATION PLAN</w:t>
      </w:r>
    </w:p>
    <w:p>
      <w:pPr>
        <w:pStyle w:val="Title"/>
      </w:pPr>
      <w:r>
        <w:t>Business Model and Pilot Plan</w:t>
      </w:r>
    </w:p>
    <w:p>
      <w:r>
        <w:t>How to test whether these five improvements are useful, buildable, and worth paying for.</w:t>
      </w:r>
    </w:p>
    <w:tbl>
      <w:tblPr>
        <w:tblW w:type="auto" w:w="0"/>
        <w:tblLayout w:type="fixed"/>
        <w:tblLook w:firstColumn="1" w:firstRow="1" w:lastColumn="0" w:lastRow="0" w:noHBand="0" w:noVBand="1" w:val="04A0"/>
      </w:tblPr>
      <w:tblGrid>
        <w:gridCol w:w="9432"/>
      </w:tblGrid>
      <w:tr>
        <w:tc>
          <w:tcPr>
            <w:tcW w:type="dxa" w:w="9489"/>
            <w:shd w:fill="EFF6F6"/>
            <w:tcMar>
              <w:top w:w="150" w:type="dxa"/>
              <w:start w:w="180" w:type="dxa"/>
              <w:bottom w:w="140" w:type="dxa"/>
              <w:end w:w="180" w:type="dxa"/>
            </w:tcMar>
            <w:tcBorders>
              <w:left w:val="single" w:sz="22" w:color="12A2A6"/>
            </w:tcBorders>
          </w:tcPr>
          <w:p>
            <w:pPr>
              <w:spacing w:after="40"/>
            </w:pPr>
            <w:r>
              <w:rPr>
                <w:b/>
                <w:color w:val="007E83"/>
                <w:sz w:val="16"/>
              </w:rPr>
              <w:t>PURPOSE</w:t>
            </w:r>
          </w:p>
          <w:p>
            <w:pPr>
              <w:spacing w:after="20" w:line="276" w:lineRule="auto"/>
            </w:pPr>
            <w:r>
              <w:t>The five improvement documents explain possible features. This companion guide explains who might buy them, which features to launch first, how to run a fair pilot, and how to avoid overpromising.</w:t>
            </w:r>
          </w:p>
        </w:tc>
      </w:tr>
    </w:tbl>
    <w:p>
      <w:pPr>
        <w:spacing w:after="0"/>
      </w:pPr>
    </w:p>
    <w:p>
      <w:pPr>
        <w:pStyle w:val="Heading1"/>
      </w:pPr>
      <w:r>
        <w:t>1. Who should buy it first?</w:t>
      </w:r>
    </w:p>
    <w:p>
      <w:r>
        <w:t>A sensible first-customer hypothesis is an organization managing several physical properties, with an existing facilities or pest-control contractor. This customer already has sites to inspect, recurring maintenance work, and people responsible for records.</w:t>
      </w:r>
    </w:p>
    <w:p>
      <w:r>
        <w:t>This is a hypothesis to test through interviews, not proof that companies are waiting to purchase the product.</w:t>
      </w:r>
    </w:p>
    <w:tbl>
      <w:tblPr>
        <w:tblW w:type="auto" w:w="0"/>
        <w:jc w:val="center"/>
        <w:tblLayout w:type="fixed"/>
        <w:tblLook w:firstColumn="1" w:firstRow="1" w:lastColumn="0" w:lastRow="0" w:noHBand="0" w:noVBand="1" w:val="04A0"/>
      </w:tblPr>
      <w:tblGrid>
        <w:gridCol w:w="2650"/>
        <w:gridCol w:w="3341"/>
        <w:gridCol w:w="3413"/>
      </w:tblGrid>
      <w:tr>
        <w:trPr>
          <w:tblHeader w:val="true"/>
        </w:trPr>
        <w:tc>
          <w:tcPr>
            <w:tcW w:type="dxa" w:w="3163"/>
            <w:shd w:fill="172C4D"/>
            <w:tcMar>
              <w:top w:w="100" w:type="dxa"/>
              <w:start w:w="115" w:type="dxa"/>
              <w:bottom w:w="100" w:type="dxa"/>
              <w:end w:w="115" w:type="dxa"/>
            </w:tcMar>
            <w:vAlign w:val="center"/>
            <w:tcBorders>
              <w:bottom w:val="single" w:sz="5" w:color="DFE9EA"/>
            </w:tcBorders>
          </w:tcPr>
          <w:p>
            <w:r>
              <w:rPr>
                <w:b/>
                <w:color w:val="FFFFFF"/>
                <w:sz w:val="17"/>
              </w:rPr>
              <w:t>Possible first customer</w:t>
            </w:r>
          </w:p>
        </w:tc>
        <w:tc>
          <w:tcPr>
            <w:tcW w:type="dxa" w:w="3163"/>
            <w:shd w:fill="172C4D"/>
            <w:tcMar>
              <w:top w:w="100" w:type="dxa"/>
              <w:start w:w="115" w:type="dxa"/>
              <w:bottom w:w="100" w:type="dxa"/>
              <w:end w:w="115" w:type="dxa"/>
            </w:tcMar>
            <w:vAlign w:val="center"/>
            <w:tcBorders>
              <w:bottom w:val="single" w:sz="5" w:color="DFE9EA"/>
            </w:tcBorders>
          </w:tcPr>
          <w:p>
            <w:r>
              <w:rPr>
                <w:b/>
                <w:color w:val="FFFFFF"/>
                <w:sz w:val="17"/>
              </w:rPr>
              <w:t>Problem to investigate</w:t>
            </w:r>
          </w:p>
        </w:tc>
        <w:tc>
          <w:tcPr>
            <w:tcW w:type="dxa" w:w="3163"/>
            <w:shd w:fill="172C4D"/>
            <w:tcMar>
              <w:top w:w="100" w:type="dxa"/>
              <w:start w:w="115" w:type="dxa"/>
              <w:bottom w:w="100" w:type="dxa"/>
              <w:end w:w="115" w:type="dxa"/>
            </w:tcMar>
            <w:vAlign w:val="center"/>
            <w:tcBorders>
              <w:bottom w:val="single" w:sz="5" w:color="DFE9EA"/>
            </w:tcBorders>
          </w:tcPr>
          <w:p>
            <w:r>
              <w:rPr>
                <w:b/>
                <w:color w:val="FFFFFF"/>
                <w:sz w:val="17"/>
              </w:rPr>
              <w:t>Product angle</w:t>
            </w:r>
          </w:p>
        </w:tc>
      </w:tr>
      <w:tr>
        <w:tc>
          <w:tcPr>
            <w:tcW w:type="dxa" w:w="2650"/>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Factory group or industrial park</w:t>
            </w:r>
          </w:p>
        </w:tc>
        <w:tc>
          <w:tcPr>
            <w:tcW w:type="dxa" w:w="3341"/>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Repeat issues across many places; unclear contractor follow-up.</w:t>
            </w:r>
          </w:p>
        </w:tc>
        <w:tc>
          <w:tcPr>
            <w:tcW w:type="dxa" w:w="3413"/>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Site history + verified work + later group coordination.</w:t>
            </w:r>
          </w:p>
        </w:tc>
      </w:tr>
      <w:tr>
        <w:tc>
          <w:tcPr>
            <w:tcW w:type="dxa" w:w="2650"/>
            <w:tcMar>
              <w:top w:w="115" w:type="dxa"/>
              <w:start w:w="115" w:type="dxa"/>
              <w:bottom w:w="115" w:type="dxa"/>
              <w:end w:w="115" w:type="dxa"/>
            </w:tcMar>
            <w:vAlign w:val="center"/>
            <w:tcBorders>
              <w:bottom w:val="single" w:sz="5" w:color="DFE9EA"/>
            </w:tcBorders>
          </w:tcPr>
          <w:p>
            <w:pPr>
              <w:spacing w:after="0" w:line="264" w:lineRule="auto"/>
            </w:pPr>
            <w:r>
              <w:rPr>
                <w:b/>
                <w:sz w:val="16"/>
              </w:rPr>
              <w:t>Property-management company</w:t>
            </w:r>
          </w:p>
        </w:tc>
        <w:tc>
          <w:tcPr>
            <w:tcW w:type="dxa" w:w="3341"/>
            <w:tcMar>
              <w:top w:w="115" w:type="dxa"/>
              <w:start w:w="115" w:type="dxa"/>
              <w:bottom w:w="115" w:type="dxa"/>
              <w:end w:w="115" w:type="dxa"/>
            </w:tcMar>
            <w:vAlign w:val="center"/>
            <w:tcBorders>
              <w:bottom w:val="single" w:sz="5" w:color="DFE9EA"/>
            </w:tcBorders>
          </w:tcPr>
          <w:p>
            <w:pPr>
              <w:spacing w:after="0" w:line="264" w:lineRule="auto"/>
            </w:pPr>
            <w:r>
              <w:rPr>
                <w:sz w:val="16"/>
              </w:rPr>
              <w:t>Hard to compare conditions across buildings.</w:t>
            </w:r>
          </w:p>
        </w:tc>
        <w:tc>
          <w:tcPr>
            <w:tcW w:type="dxa" w:w="3413"/>
            <w:tcMar>
              <w:top w:w="115" w:type="dxa"/>
              <w:start w:w="115" w:type="dxa"/>
              <w:bottom w:w="115" w:type="dxa"/>
              <w:end w:w="115" w:type="dxa"/>
            </w:tcMar>
            <w:vAlign w:val="center"/>
            <w:tcBorders>
              <w:bottom w:val="single" w:sz="5" w:color="DFE9EA"/>
            </w:tcBorders>
          </w:tcPr>
          <w:p>
            <w:pPr>
              <w:spacing w:after="0" w:line="264" w:lineRule="auto"/>
            </w:pPr>
            <w:r>
              <w:rPr>
                <w:sz w:val="16"/>
              </w:rPr>
              <w:t>Shared site records and reinspection planning.</w:t>
            </w:r>
          </w:p>
        </w:tc>
      </w:tr>
      <w:tr>
        <w:tc>
          <w:tcPr>
            <w:tcW w:type="dxa" w:w="2650"/>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Pest-control service company</w:t>
            </w:r>
          </w:p>
        </w:tc>
        <w:tc>
          <w:tcPr>
            <w:tcW w:type="dxa" w:w="3341"/>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Customers ask what was done and whether issues returned.</w:t>
            </w:r>
          </w:p>
        </w:tc>
        <w:tc>
          <w:tcPr>
            <w:tcW w:type="dxa" w:w="3413"/>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Contractor portal and evidence-based reporting.</w:t>
            </w:r>
          </w:p>
        </w:tc>
      </w:tr>
      <w:tr>
        <w:tc>
          <w:tcPr>
            <w:tcW w:type="dxa" w:w="2650"/>
            <w:tcMar>
              <w:top w:w="115" w:type="dxa"/>
              <w:start w:w="115" w:type="dxa"/>
              <w:bottom w:w="115" w:type="dxa"/>
              <w:end w:w="115" w:type="dxa"/>
            </w:tcMar>
            <w:vAlign w:val="center"/>
            <w:tcBorders>
              <w:bottom w:val="single" w:sz="5" w:color="DFE9EA"/>
            </w:tcBorders>
          </w:tcPr>
          <w:p>
            <w:pPr>
              <w:spacing w:after="0" w:line="264" w:lineRule="auto"/>
            </w:pPr>
            <w:r>
              <w:rPr>
                <w:b/>
                <w:sz w:val="16"/>
              </w:rPr>
              <w:t>Hotel or university group</w:t>
            </w:r>
          </w:p>
        </w:tc>
        <w:tc>
          <w:tcPr>
            <w:tcW w:type="dxa" w:w="3341"/>
            <w:tcMar>
              <w:top w:w="115" w:type="dxa"/>
              <w:start w:w="115" w:type="dxa"/>
              <w:bottom w:w="115" w:type="dxa"/>
              <w:end w:w="115" w:type="dxa"/>
            </w:tcMar>
            <w:vAlign w:val="center"/>
            <w:tcBorders>
              <w:bottom w:val="single" w:sz="5" w:color="DFE9EA"/>
            </w:tcBorders>
          </w:tcPr>
          <w:p>
            <w:pPr>
              <w:spacing w:after="0" w:line="264" w:lineRule="auto"/>
            </w:pPr>
            <w:r>
              <w:rPr>
                <w:sz w:val="16"/>
              </w:rPr>
              <w:t>Several locations and mixed maintenance teams.</w:t>
            </w:r>
          </w:p>
        </w:tc>
        <w:tc>
          <w:tcPr>
            <w:tcW w:type="dxa" w:w="3413"/>
            <w:tcMar>
              <w:top w:w="115" w:type="dxa"/>
              <w:start w:w="115" w:type="dxa"/>
              <w:bottom w:w="115" w:type="dxa"/>
              <w:end w:w="115" w:type="dxa"/>
            </w:tcMar>
            <w:vAlign w:val="center"/>
            <w:tcBorders>
              <w:bottom w:val="single" w:sz="5" w:color="DFE9EA"/>
            </w:tcBorders>
          </w:tcPr>
          <w:p>
            <w:pPr>
              <w:spacing w:after="0" w:line="264" w:lineRule="auto"/>
            </w:pPr>
            <w:r>
              <w:rPr>
                <w:sz w:val="16"/>
              </w:rPr>
              <w:t>Portfolio inspection records and task scheduling.</w:t>
            </w:r>
          </w:p>
        </w:tc>
      </w:tr>
      <w:tr>
        <w:tc>
          <w:tcPr>
            <w:tcW w:type="dxa" w:w="2650"/>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City corporation</w:t>
            </w:r>
          </w:p>
        </w:tc>
        <w:tc>
          <w:tcPr>
            <w:tcW w:type="dxa" w:w="3341"/>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Area-wide work prioritization and accountability.</w:t>
            </w:r>
          </w:p>
        </w:tc>
        <w:tc>
          <w:tcPr>
            <w:tcW w:type="dxa" w:w="3413"/>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Longer-term public-sector direction, with stricter validation.</w:t>
            </w:r>
          </w:p>
        </w:tc>
      </w:tr>
    </w:tbl>
    <w:p>
      <w:pPr>
        <w:spacing w:after="0"/>
      </w:pPr>
    </w:p>
    <w:p>
      <w:pPr>
        <w:pStyle w:val="Heading1"/>
      </w:pPr>
      <w:r>
        <w:t>2. Who pays and who uses the product?</w:t>
      </w:r>
    </w:p>
    <w:p>
      <w:r>
        <w:t>The buyer may be a facilities director, company operations manager, or property owner. The daily users are inspectors, workers, supervisors, and contractors. Their incentives can differ.</w:t>
      </w:r>
    </w:p>
    <w:p>
      <w:r>
        <w:t>For example, an owner may want fewer repeat visits, while a contractor may be paid per visit. Speak with both groups before choosing pricing and workflow rules.</w:t>
      </w:r>
    </w:p>
    <w:p>
      <w:pPr>
        <w:pStyle w:val="Heading1"/>
      </w:pPr>
      <w:r>
        <w:t>3. Simple product packages</w:t>
      </w:r>
    </w:p>
    <w:tbl>
      <w:tblPr>
        <w:tblW w:type="auto" w:w="0"/>
        <w:jc w:val="center"/>
        <w:tblLayout w:type="fixed"/>
        <w:tblLook w:firstColumn="1" w:firstRow="1" w:lastColumn="0" w:lastRow="0" w:noHBand="0" w:noVBand="1" w:val="04A0"/>
      </w:tblPr>
      <w:tblGrid>
        <w:gridCol w:w="1901"/>
        <w:gridCol w:w="3629"/>
        <w:gridCol w:w="3874"/>
      </w:tblGrid>
      <w:tr>
        <w:trPr>
          <w:tblHeader w:val="true"/>
        </w:trPr>
        <w:tc>
          <w:tcPr>
            <w:tcW w:type="dxa" w:w="3163"/>
            <w:shd w:fill="172C4D"/>
            <w:tcMar>
              <w:top w:w="100" w:type="dxa"/>
              <w:start w:w="115" w:type="dxa"/>
              <w:bottom w:w="100" w:type="dxa"/>
              <w:end w:w="115" w:type="dxa"/>
            </w:tcMar>
            <w:vAlign w:val="center"/>
            <w:tcBorders>
              <w:bottom w:val="single" w:sz="5" w:color="DFE9EA"/>
            </w:tcBorders>
          </w:tcPr>
          <w:p>
            <w:r>
              <w:rPr>
                <w:b/>
                <w:color w:val="FFFFFF"/>
                <w:sz w:val="17"/>
              </w:rPr>
              <w:t>Package</w:t>
            </w:r>
          </w:p>
        </w:tc>
        <w:tc>
          <w:tcPr>
            <w:tcW w:type="dxa" w:w="3163"/>
            <w:shd w:fill="172C4D"/>
            <w:tcMar>
              <w:top w:w="100" w:type="dxa"/>
              <w:start w:w="115" w:type="dxa"/>
              <w:bottom w:w="100" w:type="dxa"/>
              <w:end w:w="115" w:type="dxa"/>
            </w:tcMar>
            <w:vAlign w:val="center"/>
            <w:tcBorders>
              <w:bottom w:val="single" w:sz="5" w:color="DFE9EA"/>
            </w:tcBorders>
          </w:tcPr>
          <w:p>
            <w:r>
              <w:rPr>
                <w:b/>
                <w:color w:val="FFFFFF"/>
                <w:sz w:val="17"/>
              </w:rPr>
              <w:t>Included features</w:t>
            </w:r>
          </w:p>
        </w:tc>
        <w:tc>
          <w:tcPr>
            <w:tcW w:type="dxa" w:w="3163"/>
            <w:shd w:fill="172C4D"/>
            <w:tcMar>
              <w:top w:w="100" w:type="dxa"/>
              <w:start w:w="115" w:type="dxa"/>
              <w:bottom w:w="100" w:type="dxa"/>
              <w:end w:w="115" w:type="dxa"/>
            </w:tcMar>
            <w:vAlign w:val="center"/>
            <w:tcBorders>
              <w:bottom w:val="single" w:sz="5" w:color="DFE9EA"/>
            </w:tcBorders>
          </w:tcPr>
          <w:p>
            <w:r>
              <w:rPr>
                <w:b/>
                <w:color w:val="FFFFFF"/>
                <w:sz w:val="17"/>
              </w:rPr>
              <w:t>Why it may be valuable</w:t>
            </w:r>
          </w:p>
        </w:tc>
      </w:tr>
      <w:tr>
        <w:tc>
          <w:tcPr>
            <w:tcW w:type="dxa" w:w="1901"/>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Basic site management</w:t>
            </w:r>
          </w:p>
        </w:tc>
        <w:tc>
          <w:tcPr>
            <w:tcW w:type="dxa" w:w="3629"/>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Location registry, inspection timeline, reports.</w:t>
            </w:r>
          </w:p>
        </w:tc>
        <w:tc>
          <w:tcPr>
            <w:tcW w:type="dxa" w:w="3874"/>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One reliable record for every important place.</w:t>
            </w:r>
          </w:p>
        </w:tc>
      </w:tr>
      <w:tr>
        <w:tc>
          <w:tcPr>
            <w:tcW w:type="dxa" w:w="1901"/>
            <w:tcMar>
              <w:top w:w="115" w:type="dxa"/>
              <w:start w:w="115" w:type="dxa"/>
              <w:bottom w:w="115" w:type="dxa"/>
              <w:end w:w="115" w:type="dxa"/>
            </w:tcMar>
            <w:vAlign w:val="center"/>
            <w:tcBorders>
              <w:bottom w:val="single" w:sz="5" w:color="DFE9EA"/>
            </w:tcBorders>
          </w:tcPr>
          <w:p>
            <w:pPr>
              <w:spacing w:after="0" w:line="264" w:lineRule="auto"/>
            </w:pPr>
            <w:r>
              <w:rPr>
                <w:b/>
                <w:sz w:val="16"/>
              </w:rPr>
              <w:t>Operations package</w:t>
            </w:r>
          </w:p>
        </w:tc>
        <w:tc>
          <w:tcPr>
            <w:tcW w:type="dxa" w:w="3629"/>
            <w:tcMar>
              <w:top w:w="115" w:type="dxa"/>
              <w:start w:w="115" w:type="dxa"/>
              <w:bottom w:w="115" w:type="dxa"/>
              <w:end w:w="115" w:type="dxa"/>
            </w:tcMar>
            <w:vAlign w:val="center"/>
            <w:tcBorders>
              <w:bottom w:val="single" w:sz="5" w:color="DFE9EA"/>
            </w:tcBorders>
          </w:tcPr>
          <w:p>
            <w:pPr>
              <w:spacing w:after="0" w:line="264" w:lineRule="auto"/>
            </w:pPr>
            <w:r>
              <w:rPr>
                <w:sz w:val="16"/>
              </w:rPr>
              <w:t>Basic + work-order evidence + follow-up verification.</w:t>
            </w:r>
          </w:p>
        </w:tc>
        <w:tc>
          <w:tcPr>
            <w:tcW w:type="dxa" w:w="3874"/>
            <w:tcMar>
              <w:top w:w="115" w:type="dxa"/>
              <w:start w:w="115" w:type="dxa"/>
              <w:bottom w:w="115" w:type="dxa"/>
              <w:end w:w="115" w:type="dxa"/>
            </w:tcMar>
            <w:vAlign w:val="center"/>
            <w:tcBorders>
              <w:bottom w:val="single" w:sz="5" w:color="DFE9EA"/>
            </w:tcBorders>
          </w:tcPr>
          <w:p>
            <w:pPr>
              <w:spacing w:after="0" w:line="264" w:lineRule="auto"/>
            </w:pPr>
            <w:r>
              <w:rPr>
                <w:sz w:val="16"/>
              </w:rPr>
              <w:t>Better accountability and contractor reporting.</w:t>
            </w:r>
          </w:p>
        </w:tc>
      </w:tr>
      <w:tr>
        <w:tc>
          <w:tcPr>
            <w:tcW w:type="dxa" w:w="1901"/>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Smart planning</w:t>
            </w:r>
          </w:p>
        </w:tc>
        <w:tc>
          <w:tcPr>
            <w:tcW w:type="dxa" w:w="3629"/>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Operations + recurrence-based inspection suggestions.</w:t>
            </w:r>
          </w:p>
        </w:tc>
        <w:tc>
          <w:tcPr>
            <w:tcW w:type="dxa" w:w="3874"/>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Potentially fewer wasted visits and faster checks where needed.</w:t>
            </w:r>
          </w:p>
        </w:tc>
      </w:tr>
      <w:tr>
        <w:tc>
          <w:tcPr>
            <w:tcW w:type="dxa" w:w="1901"/>
            <w:tcMar>
              <w:top w:w="115" w:type="dxa"/>
              <w:start w:w="115" w:type="dxa"/>
              <w:bottom w:w="115" w:type="dxa"/>
              <w:end w:w="115" w:type="dxa"/>
            </w:tcMar>
            <w:vAlign w:val="center"/>
            <w:tcBorders>
              <w:bottom w:val="single" w:sz="5" w:color="DFE9EA"/>
            </w:tcBorders>
          </w:tcPr>
          <w:p>
            <w:pPr>
              <w:spacing w:after="0" w:line="264" w:lineRule="auto"/>
            </w:pPr>
            <w:r>
              <w:rPr>
                <w:b/>
                <w:sz w:val="16"/>
              </w:rPr>
              <w:t>Portfolio planning</w:t>
            </w:r>
          </w:p>
        </w:tc>
        <w:tc>
          <w:tcPr>
            <w:tcW w:type="dxa" w:w="3629"/>
            <w:tcMar>
              <w:top w:w="115" w:type="dxa"/>
              <w:start w:w="115" w:type="dxa"/>
              <w:bottom w:w="115" w:type="dxa"/>
              <w:end w:w="115" w:type="dxa"/>
            </w:tcMar>
            <w:vAlign w:val="center"/>
            <w:tcBorders>
              <w:bottom w:val="single" w:sz="5" w:color="DFE9EA"/>
            </w:tcBorders>
          </w:tcPr>
          <w:p>
            <w:pPr>
              <w:spacing w:after="0" w:line="264" w:lineRule="auto"/>
            </w:pPr>
            <w:r>
              <w:rPr>
                <w:sz w:val="16"/>
              </w:rPr>
              <w:t>Smart planning + repair-cost comparisons.</w:t>
            </w:r>
          </w:p>
        </w:tc>
        <w:tc>
          <w:tcPr>
            <w:tcW w:type="dxa" w:w="3874"/>
            <w:tcMar>
              <w:top w:w="115" w:type="dxa"/>
              <w:start w:w="115" w:type="dxa"/>
              <w:bottom w:w="115" w:type="dxa"/>
              <w:end w:w="115" w:type="dxa"/>
            </w:tcMar>
            <w:vAlign w:val="center"/>
            <w:tcBorders>
              <w:bottom w:val="single" w:sz="5" w:color="DFE9EA"/>
            </w:tcBorders>
          </w:tcPr>
          <w:p>
            <w:pPr>
              <w:spacing w:after="0" w:line="264" w:lineRule="auto"/>
            </w:pPr>
            <w:r>
              <w:rPr>
                <w:sz w:val="16"/>
              </w:rPr>
              <w:t>Supported decisions about recurring maintenance costs.</w:t>
            </w:r>
          </w:p>
        </w:tc>
      </w:tr>
      <w:tr>
        <w:tc>
          <w:tcPr>
            <w:tcW w:type="dxa" w:w="1901"/>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Area coordination</w:t>
            </w:r>
          </w:p>
        </w:tc>
        <w:tc>
          <w:tcPr>
            <w:tcW w:type="dxa" w:w="3629"/>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Opt-in shared-area scheduling and summaries.</w:t>
            </w:r>
          </w:p>
        </w:tc>
        <w:tc>
          <w:tcPr>
            <w:tcW w:type="dxa" w:w="3874"/>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Useful for campuses and industrial estates.</w:t>
            </w:r>
          </w:p>
        </w:tc>
      </w:tr>
    </w:tbl>
    <w:p>
      <w:pPr>
        <w:spacing w:after="0"/>
      </w:pPr>
    </w:p>
    <w:p>
      <w:r>
        <w:t>These packages are examples, not market-tested product tiers. The first pilot should focus on just enough functionality to solve one measurable customer problem.</w:t>
      </w:r>
    </w:p>
    <w:p>
      <w:pPr>
        <w:pStyle w:val="Heading1"/>
      </w:pPr>
      <w:r>
        <w:t>4. How revenue could work</w:t>
      </w:r>
    </w:p>
    <w:p>
      <w:r>
        <w:t>A simple approach is a paid onboarding fee for mapping and training, followed by a recurring subscription per managed site. Portfolio analytics and partner integrations can be higher-tier options.</w:t>
      </w:r>
    </w:p>
    <w:p>
      <w:r>
        <w:t>Offer active monitoring or contractor services only if the company or a qualified partner can provide them profitably. Avoid assuming grants will provide long-term recurring revenue.</w:t>
      </w:r>
    </w:p>
    <w:p>
      <w:pPr>
        <w:pStyle w:val="Heading1"/>
      </w:pPr>
      <w:r>
        <w:t>5. Costs to measure before setting a price</w:t>
      </w:r>
    </w:p>
    <w:p>
      <w:pPr>
        <w:pStyle w:val="ListBullet"/>
      </w:pPr>
      <w:r>
        <w:t>Field setup: site mapping, QR labeling, photography rules, and historical data entry.</w:t>
      </w:r>
    </w:p>
    <w:p>
      <w:pPr>
        <w:pStyle w:val="ListBullet"/>
      </w:pPr>
      <w:r>
        <w:t>Human work: customer training, photo review, support, and quality checks.</w:t>
      </w:r>
    </w:p>
    <w:p>
      <w:pPr>
        <w:pStyle w:val="ListBullet"/>
      </w:pPr>
      <w:r>
        <w:t>Technology: hosting, file storage, maps, messaging, backups, and AI API fees.</w:t>
      </w:r>
    </w:p>
    <w:p>
      <w:pPr>
        <w:pStyle w:val="ListBullet"/>
      </w:pPr>
      <w:r>
        <w:t>Maintenance: mobile access, security fixes, integrations, and model updates.</w:t>
      </w:r>
    </w:p>
    <w:p>
      <w:pPr>
        <w:pStyle w:val="ListBullet"/>
      </w:pPr>
      <w:r>
        <w:t>Sensors, imagery, and connectivity only when needed and properly licensed.</w:t>
      </w:r>
    </w:p>
    <w:p>
      <w:r>
        <w:t>If Google Earth Engine or another geospatial platform is used commercially, confirm licensing and pricing before estimating profit. The original notes flag this specifically. Do not assume research access covers commercial use.</w:t>
      </w:r>
    </w:p>
    <w:p>
      <w:pPr>
        <w:pStyle w:val="Heading1"/>
      </w:pPr>
      <w:r>
        <w:t>6. Why the product may become difficult to replace</w:t>
      </w:r>
    </w:p>
    <w:p>
      <w:r>
        <w:t>The name of the AI model is not a strong long-term advantage. More valuable is a trustworthy location history, real usage by inspection teams, links to contractor workflows, and tested evidence that the suggested visits help.</w:t>
      </w:r>
    </w:p>
    <w:p>
      <w:r>
        <w:t>The data only becomes useful if it is correctly matched, regularly updated, and collected with appropriate permissions. A large collection of unlabeled photos does not automatically create a useful AI model.</w:t>
      </w:r>
    </w:p>
    <w:p>
      <w:pPr>
        <w:pStyle w:val="Heading1"/>
      </w:pPr>
      <w:r>
        <w:t>7. Recommended build order</w:t>
      </w:r>
    </w:p>
    <w:tbl>
      <w:tblPr>
        <w:tblW w:type="auto" w:w="0"/>
        <w:jc w:val="center"/>
        <w:tblLayout w:type="fixed"/>
        <w:tblLook w:firstColumn="1" w:firstRow="1" w:lastColumn="0" w:lastRow="0" w:noHBand="0" w:noVBand="1" w:val="04A0"/>
      </w:tblPr>
      <w:tblGrid>
        <w:gridCol w:w="936"/>
        <w:gridCol w:w="3715"/>
        <w:gridCol w:w="4752"/>
      </w:tblGrid>
      <w:tr>
        <w:trPr>
          <w:tblHeader w:val="true"/>
        </w:trPr>
        <w:tc>
          <w:tcPr>
            <w:tcW w:type="dxa" w:w="3163"/>
            <w:shd w:fill="172C4D"/>
            <w:tcMar>
              <w:top w:w="100" w:type="dxa"/>
              <w:start w:w="115" w:type="dxa"/>
              <w:bottom w:w="100" w:type="dxa"/>
              <w:end w:w="115" w:type="dxa"/>
            </w:tcMar>
            <w:vAlign w:val="center"/>
            <w:tcBorders>
              <w:bottom w:val="single" w:sz="5" w:color="DFE9EA"/>
            </w:tcBorders>
          </w:tcPr>
          <w:p>
            <w:r>
              <w:rPr>
                <w:b/>
                <w:color w:val="FFFFFF"/>
                <w:sz w:val="17"/>
              </w:rPr>
              <w:t>Order</w:t>
            </w:r>
          </w:p>
        </w:tc>
        <w:tc>
          <w:tcPr>
            <w:tcW w:type="dxa" w:w="3163"/>
            <w:shd w:fill="172C4D"/>
            <w:tcMar>
              <w:top w:w="100" w:type="dxa"/>
              <w:start w:w="115" w:type="dxa"/>
              <w:bottom w:w="100" w:type="dxa"/>
              <w:end w:w="115" w:type="dxa"/>
            </w:tcMar>
            <w:vAlign w:val="center"/>
            <w:tcBorders>
              <w:bottom w:val="single" w:sz="5" w:color="DFE9EA"/>
            </w:tcBorders>
          </w:tcPr>
          <w:p>
            <w:r>
              <w:rPr>
                <w:b/>
                <w:color w:val="FFFFFF"/>
                <w:sz w:val="17"/>
              </w:rPr>
              <w:t>Work</w:t>
            </w:r>
          </w:p>
        </w:tc>
        <w:tc>
          <w:tcPr>
            <w:tcW w:type="dxa" w:w="3163"/>
            <w:shd w:fill="172C4D"/>
            <w:tcMar>
              <w:top w:w="100" w:type="dxa"/>
              <w:start w:w="115" w:type="dxa"/>
              <w:bottom w:w="100" w:type="dxa"/>
              <w:end w:w="115" w:type="dxa"/>
            </w:tcMar>
            <w:vAlign w:val="center"/>
            <w:tcBorders>
              <w:bottom w:val="single" w:sz="5" w:color="DFE9EA"/>
            </w:tcBorders>
          </w:tcPr>
          <w:p>
            <w:r>
              <w:rPr>
                <w:b/>
                <w:color w:val="FFFFFF"/>
                <w:sz w:val="17"/>
              </w:rPr>
              <w:t>Reason</w:t>
            </w:r>
          </w:p>
        </w:tc>
      </w:tr>
      <w:tr>
        <w:tc>
          <w:tcPr>
            <w:tcW w:type="dxa" w:w="936"/>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1</w:t>
            </w:r>
          </w:p>
        </w:tc>
        <w:tc>
          <w:tcPr>
            <w:tcW w:type="dxa" w:w="3715"/>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Permanent location registry</w:t>
            </w:r>
          </w:p>
        </w:tc>
        <w:tc>
          <w:tcPr>
            <w:tcW w:type="dxa" w:w="4752"/>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Creates the common record that all other features need.</w:t>
            </w:r>
          </w:p>
        </w:tc>
      </w:tr>
      <w:tr>
        <w:tc>
          <w:tcPr>
            <w:tcW w:type="dxa" w:w="936"/>
            <w:tcMar>
              <w:top w:w="115" w:type="dxa"/>
              <w:start w:w="115" w:type="dxa"/>
              <w:bottom w:w="115" w:type="dxa"/>
              <w:end w:w="115" w:type="dxa"/>
            </w:tcMar>
            <w:vAlign w:val="center"/>
            <w:tcBorders>
              <w:bottom w:val="single" w:sz="5" w:color="DFE9EA"/>
            </w:tcBorders>
          </w:tcPr>
          <w:p>
            <w:pPr>
              <w:spacing w:after="0" w:line="264" w:lineRule="auto"/>
            </w:pPr>
            <w:r>
              <w:rPr>
                <w:b/>
                <w:sz w:val="16"/>
              </w:rPr>
              <w:t>2</w:t>
            </w:r>
          </w:p>
        </w:tc>
        <w:tc>
          <w:tcPr>
            <w:tcW w:type="dxa" w:w="3715"/>
            <w:tcMar>
              <w:top w:w="115" w:type="dxa"/>
              <w:start w:w="115" w:type="dxa"/>
              <w:bottom w:w="115" w:type="dxa"/>
              <w:end w:w="115" w:type="dxa"/>
            </w:tcMar>
            <w:vAlign w:val="center"/>
            <w:tcBorders>
              <w:bottom w:val="single" w:sz="5" w:color="DFE9EA"/>
            </w:tcBorders>
          </w:tcPr>
          <w:p>
            <w:pPr>
              <w:spacing w:after="0" w:line="264" w:lineRule="auto"/>
            </w:pPr>
            <w:r>
              <w:rPr>
                <w:sz w:val="16"/>
              </w:rPr>
              <w:t>Service and resolution verification</w:t>
            </w:r>
          </w:p>
        </w:tc>
        <w:tc>
          <w:tcPr>
            <w:tcW w:type="dxa" w:w="4752"/>
            <w:tcMar>
              <w:top w:w="115" w:type="dxa"/>
              <w:start w:w="115" w:type="dxa"/>
              <w:bottom w:w="115" w:type="dxa"/>
              <w:end w:w="115" w:type="dxa"/>
            </w:tcMar>
            <w:vAlign w:val="center"/>
            <w:tcBorders>
              <w:bottom w:val="single" w:sz="5" w:color="DFE9EA"/>
            </w:tcBorders>
          </w:tcPr>
          <w:p>
            <w:pPr>
              <w:spacing w:after="0" w:line="264" w:lineRule="auto"/>
            </w:pPr>
            <w:r>
              <w:rPr>
                <w:sz w:val="16"/>
              </w:rPr>
              <w:t>Makes inspection outcomes and work-order records more trustworthy.</w:t>
            </w:r>
          </w:p>
        </w:tc>
      </w:tr>
      <w:tr>
        <w:tc>
          <w:tcPr>
            <w:tcW w:type="dxa" w:w="936"/>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3</w:t>
            </w:r>
          </w:p>
        </w:tc>
        <w:tc>
          <w:tcPr>
            <w:tcW w:type="dxa" w:w="3715"/>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Rule-based reinspection scheduling</w:t>
            </w:r>
          </w:p>
        </w:tc>
        <w:tc>
          <w:tcPr>
            <w:tcW w:type="dxa" w:w="4752"/>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Uses the new history to improve planning without claiming advanced AI.</w:t>
            </w:r>
          </w:p>
        </w:tc>
      </w:tr>
      <w:tr>
        <w:tc>
          <w:tcPr>
            <w:tcW w:type="dxa" w:w="936"/>
            <w:tcMar>
              <w:top w:w="115" w:type="dxa"/>
              <w:start w:w="115" w:type="dxa"/>
              <w:bottom w:w="115" w:type="dxa"/>
              <w:end w:w="115" w:type="dxa"/>
            </w:tcMar>
            <w:vAlign w:val="center"/>
            <w:tcBorders>
              <w:bottom w:val="single" w:sz="5" w:color="DFE9EA"/>
            </w:tcBorders>
          </w:tcPr>
          <w:p>
            <w:pPr>
              <w:spacing w:after="0" w:line="264" w:lineRule="auto"/>
            </w:pPr>
            <w:r>
              <w:rPr>
                <w:b/>
                <w:sz w:val="16"/>
              </w:rPr>
              <w:t>4</w:t>
            </w:r>
          </w:p>
        </w:tc>
        <w:tc>
          <w:tcPr>
            <w:tcW w:type="dxa" w:w="3715"/>
            <w:tcMar>
              <w:top w:w="115" w:type="dxa"/>
              <w:start w:w="115" w:type="dxa"/>
              <w:bottom w:w="115" w:type="dxa"/>
              <w:end w:w="115" w:type="dxa"/>
            </w:tcMar>
            <w:vAlign w:val="center"/>
            <w:tcBorders>
              <w:bottom w:val="single" w:sz="5" w:color="DFE9EA"/>
            </w:tcBorders>
          </w:tcPr>
          <w:p>
            <w:pPr>
              <w:spacing w:after="0" w:line="264" w:lineRule="auto"/>
            </w:pPr>
            <w:r>
              <w:rPr>
                <w:sz w:val="16"/>
              </w:rPr>
              <w:t>Repair prioritization</w:t>
            </w:r>
          </w:p>
        </w:tc>
        <w:tc>
          <w:tcPr>
            <w:tcW w:type="dxa" w:w="4752"/>
            <w:tcMar>
              <w:top w:w="115" w:type="dxa"/>
              <w:start w:w="115" w:type="dxa"/>
              <w:bottom w:w="115" w:type="dxa"/>
              <w:end w:w="115" w:type="dxa"/>
            </w:tcMar>
            <w:vAlign w:val="center"/>
            <w:tcBorders>
              <w:bottom w:val="single" w:sz="5" w:color="DFE9EA"/>
            </w:tcBorders>
          </w:tcPr>
          <w:p>
            <w:pPr>
              <w:spacing w:after="0" w:line="264" w:lineRule="auto"/>
            </w:pPr>
            <w:r>
              <w:rPr>
                <w:sz w:val="16"/>
              </w:rPr>
              <w:t>Needs costs, verified visits, and repeat-event history.</w:t>
            </w:r>
          </w:p>
        </w:tc>
      </w:tr>
      <w:tr>
        <w:tc>
          <w:tcPr>
            <w:tcW w:type="dxa" w:w="936"/>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5</w:t>
            </w:r>
          </w:p>
        </w:tc>
        <w:tc>
          <w:tcPr>
            <w:tcW w:type="dxa" w:w="3715"/>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Multi-property coordination</w:t>
            </w:r>
          </w:p>
        </w:tc>
        <w:tc>
          <w:tcPr>
            <w:tcW w:type="dxa" w:w="4752"/>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Adds permission and governance complexity; build after site workflows succeed.</w:t>
            </w:r>
          </w:p>
        </w:tc>
      </w:tr>
    </w:tbl>
    <w:p>
      <w:pPr>
        <w:spacing w:after="0"/>
      </w:pPr>
    </w:p>
    <w:p>
      <w:pPr>
        <w:pStyle w:val="Heading1"/>
      </w:pPr>
      <w:r>
        <w:t>8. Design a useful pilot</w:t>
      </w:r>
    </w:p>
    <w:p>
      <w:pPr>
        <w:pStyle w:val="Heading2"/>
      </w:pPr>
      <w:r>
        <w:t>Before the pilot</w:t>
      </w:r>
    </w:p>
    <w:p>
      <w:pPr>
        <w:pStyle w:val="ListBullet"/>
      </w:pPr>
      <w:r>
        <w:t>Choose one organization with a small number of managed properties and a willing contractor or field team.</w:t>
      </w:r>
    </w:p>
    <w:p>
      <w:pPr>
        <w:pStyle w:val="ListBullet"/>
      </w:pPr>
      <w:r>
        <w:t>Agree on the exact places and tasks to track, and the information you are allowed to collect.</w:t>
      </w:r>
    </w:p>
    <w:p>
      <w:pPr>
        <w:pStyle w:val="ListBullet"/>
      </w:pPr>
      <w:r>
        <w:t>Record the old process for a baseline period: visit frequency, open problems, resolution time, and costs.</w:t>
      </w:r>
    </w:p>
    <w:p>
      <w:pPr>
        <w:pStyle w:val="ListBullet"/>
      </w:pPr>
      <w:r>
        <w:t>Agree on the success measures and how reports will be independently checked.</w:t>
      </w:r>
    </w:p>
    <w:p>
      <w:pPr>
        <w:pStyle w:val="Heading2"/>
      </w:pPr>
      <w:r>
        <w:t>During the pilot</w:t>
      </w:r>
    </w:p>
    <w:p>
      <w:pPr>
        <w:pStyle w:val="ListBullet"/>
      </w:pPr>
      <w:r>
        <w:t>Register locations and run the service-verification workflow first.</w:t>
      </w:r>
    </w:p>
    <w:p>
      <w:pPr>
        <w:pStyle w:val="ListBullet"/>
      </w:pPr>
      <w:r>
        <w:t>Introduce inspection scheduling only after basic records are reasonably complete.</w:t>
      </w:r>
    </w:p>
    <w:p>
      <w:pPr>
        <w:pStyle w:val="ListBullet"/>
      </w:pPr>
      <w:r>
        <w:t>Use similar sites or a staggered rollout if practical, so seasonal weather is not mistaken for product impact.</w:t>
      </w:r>
    </w:p>
    <w:p>
      <w:pPr>
        <w:pStyle w:val="ListBullet"/>
      </w:pPr>
      <w:r>
        <w:t>Record failures and staff complaints, not only positive feedback.</w:t>
      </w:r>
    </w:p>
    <w:p>
      <w:pPr>
        <w:pStyle w:val="Heading2"/>
      </w:pPr>
      <w:r>
        <w:t>After the pilot</w:t>
      </w:r>
    </w:p>
    <w:p>
      <w:pPr>
        <w:pStyle w:val="ListBullet"/>
      </w:pPr>
      <w:r>
        <w:t>Compare results with the pre-agreed baseline and any available comparison sites.</w:t>
      </w:r>
    </w:p>
    <w:p>
      <w:pPr>
        <w:pStyle w:val="ListBullet"/>
      </w:pPr>
      <w:r>
        <w:t>Ask whether the customer will renew at a real price, not simply whether the dashboard looked useful.</w:t>
      </w:r>
    </w:p>
    <w:p>
      <w:pPr>
        <w:pStyle w:val="ListBullet"/>
      </w:pPr>
      <w:r>
        <w:t>Decide which features to simplify, keep, change, or stop.</w:t>
      </w:r>
    </w:p>
    <w:p>
      <w:pPr>
        <w:pStyle w:val="Heading1"/>
      </w:pPr>
      <w:r>
        <w:t>9. Measurements to agree on</w:t>
      </w:r>
    </w:p>
    <w:tbl>
      <w:tblPr>
        <w:tblW w:type="auto" w:w="0"/>
        <w:jc w:val="center"/>
        <w:tblLayout w:type="fixed"/>
        <w:tblLook w:firstColumn="1" w:firstRow="1" w:lastColumn="0" w:lastRow="0" w:noHBand="0" w:noVBand="1" w:val="04A0"/>
      </w:tblPr>
      <w:tblGrid>
        <w:gridCol w:w="3485"/>
        <w:gridCol w:w="5918"/>
      </w:tblGrid>
      <w:tr>
        <w:trPr>
          <w:tblHeader w:val="true"/>
        </w:trPr>
        <w:tc>
          <w:tcPr>
            <w:tcW w:type="dxa" w:w="4744"/>
            <w:shd w:fill="172C4D"/>
            <w:tcMar>
              <w:top w:w="100" w:type="dxa"/>
              <w:start w:w="115" w:type="dxa"/>
              <w:bottom w:w="100" w:type="dxa"/>
              <w:end w:w="115" w:type="dxa"/>
            </w:tcMar>
            <w:vAlign w:val="center"/>
            <w:tcBorders>
              <w:bottom w:val="single" w:sz="5" w:color="DFE9EA"/>
            </w:tcBorders>
          </w:tcPr>
          <w:p>
            <w:r>
              <w:rPr>
                <w:b/>
                <w:color w:val="FFFFFF"/>
                <w:sz w:val="17"/>
              </w:rPr>
              <w:t>Measure</w:t>
            </w:r>
          </w:p>
        </w:tc>
        <w:tc>
          <w:tcPr>
            <w:tcW w:type="dxa" w:w="4744"/>
            <w:shd w:fill="172C4D"/>
            <w:tcMar>
              <w:top w:w="100" w:type="dxa"/>
              <w:start w:w="115" w:type="dxa"/>
              <w:bottom w:w="100" w:type="dxa"/>
              <w:end w:w="115" w:type="dxa"/>
            </w:tcMar>
            <w:vAlign w:val="center"/>
            <w:tcBorders>
              <w:bottom w:val="single" w:sz="5" w:color="DFE9EA"/>
            </w:tcBorders>
          </w:tcPr>
          <w:p>
            <w:r>
              <w:rPr>
                <w:b/>
                <w:color w:val="FFFFFF"/>
                <w:sz w:val="17"/>
              </w:rPr>
              <w:t>Why it matters</w:t>
            </w:r>
          </w:p>
        </w:tc>
      </w:tr>
      <w:tr>
        <w:tc>
          <w:tcPr>
            <w:tcW w:type="dxa" w:w="3485"/>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Verified completion rate</w:t>
            </w:r>
          </w:p>
        </w:tc>
        <w:tc>
          <w:tcPr>
            <w:tcW w:type="dxa" w:w="5918"/>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Shows whether service work is reliably checked.</w:t>
            </w:r>
          </w:p>
        </w:tc>
      </w:tr>
      <w:tr>
        <w:tc>
          <w:tcPr>
            <w:tcW w:type="dxa" w:w="3485"/>
            <w:tcMar>
              <w:top w:w="115" w:type="dxa"/>
              <w:start w:w="115" w:type="dxa"/>
              <w:bottom w:w="115" w:type="dxa"/>
              <w:end w:w="115" w:type="dxa"/>
            </w:tcMar>
            <w:vAlign w:val="center"/>
            <w:tcBorders>
              <w:bottom w:val="single" w:sz="5" w:color="DFE9EA"/>
            </w:tcBorders>
          </w:tcPr>
          <w:p>
            <w:pPr>
              <w:spacing w:after="0" w:line="264" w:lineRule="auto"/>
            </w:pPr>
            <w:r>
              <w:rPr>
                <w:b/>
                <w:sz w:val="16"/>
              </w:rPr>
              <w:t>Time to verified resolution</w:t>
            </w:r>
          </w:p>
        </w:tc>
        <w:tc>
          <w:tcPr>
            <w:tcW w:type="dxa" w:w="5918"/>
            <w:tcMar>
              <w:top w:w="115" w:type="dxa"/>
              <w:start w:w="115" w:type="dxa"/>
              <w:bottom w:w="115" w:type="dxa"/>
              <w:end w:w="115" w:type="dxa"/>
            </w:tcMar>
            <w:vAlign w:val="center"/>
            <w:tcBorders>
              <w:bottom w:val="single" w:sz="5" w:color="DFE9EA"/>
            </w:tcBorders>
          </w:tcPr>
          <w:p>
            <w:pPr>
              <w:spacing w:after="0" w:line="264" w:lineRule="auto"/>
            </w:pPr>
            <w:r>
              <w:rPr>
                <w:sz w:val="16"/>
              </w:rPr>
              <w:t>Shows how quickly a problem actually stays fixed.</w:t>
            </w:r>
          </w:p>
        </w:tc>
      </w:tr>
      <w:tr>
        <w:tc>
          <w:tcPr>
            <w:tcW w:type="dxa" w:w="3485"/>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Recurrence during follow-up</w:t>
            </w:r>
          </w:p>
        </w:tc>
        <w:tc>
          <w:tcPr>
            <w:tcW w:type="dxa" w:w="5918"/>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Tests whether repeated trouble is reduced.</w:t>
            </w:r>
          </w:p>
        </w:tc>
      </w:tr>
      <w:tr>
        <w:tc>
          <w:tcPr>
            <w:tcW w:type="dxa" w:w="3485"/>
            <w:tcMar>
              <w:top w:w="115" w:type="dxa"/>
              <w:start w:w="115" w:type="dxa"/>
              <w:bottom w:w="115" w:type="dxa"/>
              <w:end w:w="115" w:type="dxa"/>
            </w:tcMar>
            <w:vAlign w:val="center"/>
            <w:tcBorders>
              <w:bottom w:val="single" w:sz="5" w:color="DFE9EA"/>
            </w:tcBorders>
          </w:tcPr>
          <w:p>
            <w:pPr>
              <w:spacing w:after="0" w:line="264" w:lineRule="auto"/>
            </w:pPr>
            <w:r>
              <w:rPr>
                <w:b/>
                <w:sz w:val="16"/>
              </w:rPr>
              <w:t>Worker time per verified result</w:t>
            </w:r>
          </w:p>
        </w:tc>
        <w:tc>
          <w:tcPr>
            <w:tcW w:type="dxa" w:w="5918"/>
            <w:tcMar>
              <w:top w:w="115" w:type="dxa"/>
              <w:start w:w="115" w:type="dxa"/>
              <w:bottom w:w="115" w:type="dxa"/>
              <w:end w:w="115" w:type="dxa"/>
            </w:tcMar>
            <w:vAlign w:val="center"/>
            <w:tcBorders>
              <w:bottom w:val="single" w:sz="5" w:color="DFE9EA"/>
            </w:tcBorders>
          </w:tcPr>
          <w:p>
            <w:pPr>
              <w:spacing w:after="0" w:line="264" w:lineRule="auto"/>
            </w:pPr>
            <w:r>
              <w:rPr>
                <w:sz w:val="16"/>
              </w:rPr>
              <w:t>Shows whether the workflow is efficient.</w:t>
            </w:r>
          </w:p>
        </w:tc>
      </w:tr>
      <w:tr>
        <w:tc>
          <w:tcPr>
            <w:tcW w:type="dxa" w:w="3485"/>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Useful inspections / unnecessary repeat visits</w:t>
            </w:r>
          </w:p>
        </w:tc>
        <w:tc>
          <w:tcPr>
            <w:tcW w:type="dxa" w:w="5918"/>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Tests the value of smarter scheduling.</w:t>
            </w:r>
          </w:p>
        </w:tc>
      </w:tr>
      <w:tr>
        <w:tc>
          <w:tcPr>
            <w:tcW w:type="dxa" w:w="3485"/>
            <w:tcMar>
              <w:top w:w="115" w:type="dxa"/>
              <w:start w:w="115" w:type="dxa"/>
              <w:bottom w:w="115" w:type="dxa"/>
              <w:end w:w="115" w:type="dxa"/>
            </w:tcMar>
            <w:vAlign w:val="center"/>
            <w:tcBorders>
              <w:bottom w:val="single" w:sz="5" w:color="DFE9EA"/>
            </w:tcBorders>
          </w:tcPr>
          <w:p>
            <w:pPr>
              <w:spacing w:after="0" w:line="264" w:lineRule="auto"/>
            </w:pPr>
            <w:r>
              <w:rPr>
                <w:b/>
                <w:sz w:val="16"/>
              </w:rPr>
              <w:t>Customer renewal at agreed price</w:t>
            </w:r>
          </w:p>
        </w:tc>
        <w:tc>
          <w:tcPr>
            <w:tcW w:type="dxa" w:w="5918"/>
            <w:tcMar>
              <w:top w:w="115" w:type="dxa"/>
              <w:start w:w="115" w:type="dxa"/>
              <w:bottom w:w="115" w:type="dxa"/>
              <w:end w:w="115" w:type="dxa"/>
            </w:tcMar>
            <w:vAlign w:val="center"/>
            <w:tcBorders>
              <w:bottom w:val="single" w:sz="5" w:color="DFE9EA"/>
            </w:tcBorders>
          </w:tcPr>
          <w:p>
            <w:pPr>
              <w:spacing w:after="0" w:line="264" w:lineRule="auto"/>
            </w:pPr>
            <w:r>
              <w:rPr>
                <w:sz w:val="16"/>
              </w:rPr>
              <w:t>Tests whether the benefit is worth paying for.</w:t>
            </w:r>
          </w:p>
        </w:tc>
      </w:tr>
    </w:tbl>
    <w:p>
      <w:pPr>
        <w:spacing w:after="0"/>
      </w:pPr>
    </w:p>
    <w:p>
      <w:r>
        <w:t>A short property pilot may establish operational value; it will not automatically prove fewer dengue infections or validate a disease forecasting system across different seasons.</w:t>
      </w:r>
    </w:p>
    <w:p>
      <w:pPr>
        <w:pStyle w:val="Heading1"/>
      </w:pPr>
      <w:r>
        <w:t>10. What not to build first</w:t>
      </w:r>
    </w:p>
    <w:tbl>
      <w:tblPr>
        <w:tblW w:type="auto" w:w="0"/>
        <w:jc w:val="center"/>
        <w:tblLayout w:type="fixed"/>
        <w:tblLook w:firstColumn="1" w:firstRow="1" w:lastColumn="0" w:lastRow="0" w:noHBand="0" w:noVBand="1" w:val="04A0"/>
      </w:tblPr>
      <w:tblGrid>
        <w:gridCol w:w="3082"/>
        <w:gridCol w:w="6322"/>
      </w:tblGrid>
      <w:tr>
        <w:trPr>
          <w:tblHeader w:val="true"/>
        </w:trPr>
        <w:tc>
          <w:tcPr>
            <w:tcW w:type="dxa" w:w="4744"/>
            <w:shd w:fill="172C4D"/>
            <w:tcMar>
              <w:top w:w="100" w:type="dxa"/>
              <w:start w:w="115" w:type="dxa"/>
              <w:bottom w:w="100" w:type="dxa"/>
              <w:end w:w="115" w:type="dxa"/>
            </w:tcMar>
            <w:vAlign w:val="center"/>
            <w:tcBorders>
              <w:bottom w:val="single" w:sz="5" w:color="DFE9EA"/>
            </w:tcBorders>
          </w:tcPr>
          <w:p>
            <w:r>
              <w:rPr>
                <w:b/>
                <w:color w:val="FFFFFF"/>
                <w:sz w:val="17"/>
              </w:rPr>
              <w:t>Tempting feature</w:t>
            </w:r>
          </w:p>
        </w:tc>
        <w:tc>
          <w:tcPr>
            <w:tcW w:type="dxa" w:w="4744"/>
            <w:shd w:fill="172C4D"/>
            <w:tcMar>
              <w:top w:w="100" w:type="dxa"/>
              <w:start w:w="115" w:type="dxa"/>
              <w:bottom w:w="100" w:type="dxa"/>
              <w:end w:w="115" w:type="dxa"/>
            </w:tcMar>
            <w:vAlign w:val="center"/>
            <w:tcBorders>
              <w:bottom w:val="single" w:sz="5" w:color="DFE9EA"/>
            </w:tcBorders>
          </w:tcPr>
          <w:p>
            <w:r>
              <w:rPr>
                <w:b/>
                <w:color w:val="FFFFFF"/>
                <w:sz w:val="17"/>
              </w:rPr>
              <w:t>Why to wait</w:t>
            </w:r>
          </w:p>
        </w:tc>
      </w:tr>
      <w:tr>
        <w:tc>
          <w:tcPr>
            <w:tcW w:type="dxa" w:w="3082"/>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Another general chatbot</w:t>
            </w:r>
          </w:p>
        </w:tc>
        <w:tc>
          <w:tcPr>
            <w:tcW w:type="dxa" w:w="6322"/>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The concept already includes an LLM assistant; better site operations matter more.</w:t>
            </w:r>
          </w:p>
        </w:tc>
      </w:tr>
      <w:tr>
        <w:tc>
          <w:tcPr>
            <w:tcW w:type="dxa" w:w="3082"/>
            <w:tcMar>
              <w:top w:w="115" w:type="dxa"/>
              <w:start w:w="115" w:type="dxa"/>
              <w:bottom w:w="115" w:type="dxa"/>
              <w:end w:w="115" w:type="dxa"/>
            </w:tcMar>
            <w:vAlign w:val="center"/>
            <w:tcBorders>
              <w:bottom w:val="single" w:sz="5" w:color="DFE9EA"/>
            </w:tcBorders>
          </w:tcPr>
          <w:p>
            <w:pPr>
              <w:spacing w:after="0" w:line="264" w:lineRule="auto"/>
            </w:pPr>
            <w:r>
              <w:rPr>
                <w:b/>
                <w:sz w:val="16"/>
              </w:rPr>
              <w:t>Custom smart-trap hardware</w:t>
            </w:r>
          </w:p>
        </w:tc>
        <w:tc>
          <w:tcPr>
            <w:tcW w:type="dxa" w:w="6322"/>
            <w:tcMar>
              <w:top w:w="115" w:type="dxa"/>
              <w:start w:w="115" w:type="dxa"/>
              <w:bottom w:w="115" w:type="dxa"/>
              <w:end w:w="115" w:type="dxa"/>
            </w:tcMar>
            <w:vAlign w:val="center"/>
            <w:tcBorders>
              <w:bottom w:val="single" w:sz="5" w:color="DFE9EA"/>
            </w:tcBorders>
          </w:tcPr>
          <w:p>
            <w:pPr>
              <w:spacing w:after="0" w:line="264" w:lineRule="auto"/>
            </w:pPr>
            <w:r>
              <w:rPr>
                <w:sz w:val="16"/>
              </w:rPr>
              <w:t>Adds production, field service, and connectivity costs.</w:t>
            </w:r>
          </w:p>
        </w:tc>
      </w:tr>
      <w:tr>
        <w:tc>
          <w:tcPr>
            <w:tcW w:type="dxa" w:w="3082"/>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“Dengue-free” certificates</w:t>
            </w:r>
          </w:p>
        </w:tc>
        <w:tc>
          <w:tcPr>
            <w:tcW w:type="dxa" w:w="6322"/>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Cannot guarantee that nobody will acquire an infection.</w:t>
            </w:r>
          </w:p>
        </w:tc>
      </w:tr>
      <w:tr>
        <w:tc>
          <w:tcPr>
            <w:tcW w:type="dxa" w:w="3082"/>
            <w:tcMar>
              <w:top w:w="115" w:type="dxa"/>
              <w:start w:w="115" w:type="dxa"/>
              <w:bottom w:w="115" w:type="dxa"/>
              <w:end w:w="115" w:type="dxa"/>
            </w:tcMar>
            <w:vAlign w:val="center"/>
            <w:tcBorders>
              <w:bottom w:val="single" w:sz="5" w:color="DFE9EA"/>
            </w:tcBorders>
          </w:tcPr>
          <w:p>
            <w:pPr>
              <w:spacing w:after="0" w:line="264" w:lineRule="auto"/>
            </w:pPr>
            <w:r>
              <w:rPr>
                <w:b/>
                <w:sz w:val="16"/>
              </w:rPr>
              <w:t>Insurance discount promises</w:t>
            </w:r>
          </w:p>
        </w:tc>
        <w:tc>
          <w:tcPr>
            <w:tcW w:type="dxa" w:w="6322"/>
            <w:tcMar>
              <w:top w:w="115" w:type="dxa"/>
              <w:start w:w="115" w:type="dxa"/>
              <w:bottom w:w="115" w:type="dxa"/>
              <w:end w:w="115" w:type="dxa"/>
            </w:tcMar>
            <w:vAlign w:val="center"/>
            <w:tcBorders>
              <w:bottom w:val="single" w:sz="5" w:color="DFE9EA"/>
            </w:tcBorders>
          </w:tcPr>
          <w:p>
            <w:pPr>
              <w:spacing w:after="0" w:line="264" w:lineRule="auto"/>
            </w:pPr>
            <w:r>
              <w:rPr>
                <w:sz w:val="16"/>
              </w:rPr>
              <w:t>Need insurer agreements and robust evidence.</w:t>
            </w:r>
          </w:p>
        </w:tc>
      </w:tr>
      <w:tr>
        <w:tc>
          <w:tcPr>
            <w:tcW w:type="dxa" w:w="3082"/>
            <w:tcMar>
              <w:top w:w="115" w:type="dxa"/>
              <w:start w:w="115" w:type="dxa"/>
              <w:bottom w:w="115" w:type="dxa"/>
              <w:end w:w="115" w:type="dxa"/>
            </w:tcMar>
            <w:shd w:fill="F4F8FA"/>
            <w:vAlign w:val="center"/>
            <w:tcBorders>
              <w:bottom w:val="single" w:sz="5" w:color="DFE9EA"/>
            </w:tcBorders>
          </w:tcPr>
          <w:p>
            <w:pPr>
              <w:spacing w:after="0" w:line="264" w:lineRule="auto"/>
            </w:pPr>
            <w:r>
              <w:rPr>
                <w:b/>
                <w:sz w:val="16"/>
              </w:rPr>
              <w:t>Whole-city digital twin</w:t>
            </w:r>
          </w:p>
        </w:tc>
        <w:tc>
          <w:tcPr>
            <w:tcW w:type="dxa" w:w="6322"/>
            <w:tcMar>
              <w:top w:w="115" w:type="dxa"/>
              <w:start w:w="115" w:type="dxa"/>
              <w:bottom w:w="115" w:type="dxa"/>
              <w:end w:w="115" w:type="dxa"/>
            </w:tcMar>
            <w:shd w:fill="F4F8FA"/>
            <w:vAlign w:val="center"/>
            <w:tcBorders>
              <w:bottom w:val="single" w:sz="5" w:color="DFE9EA"/>
            </w:tcBorders>
          </w:tcPr>
          <w:p>
            <w:pPr>
              <w:spacing w:after="0" w:line="264" w:lineRule="auto"/>
            </w:pPr>
            <w:r>
              <w:rPr>
                <w:sz w:val="16"/>
              </w:rPr>
              <w:t>High cost and hard-to-validate claims.</w:t>
            </w:r>
          </w:p>
        </w:tc>
      </w:tr>
      <w:tr>
        <w:tc>
          <w:tcPr>
            <w:tcW w:type="dxa" w:w="3082"/>
            <w:tcMar>
              <w:top w:w="115" w:type="dxa"/>
              <w:start w:w="115" w:type="dxa"/>
              <w:bottom w:w="115" w:type="dxa"/>
              <w:end w:w="115" w:type="dxa"/>
            </w:tcMar>
            <w:vAlign w:val="center"/>
            <w:tcBorders>
              <w:bottom w:val="single" w:sz="5" w:color="DFE9EA"/>
            </w:tcBorders>
          </w:tcPr>
          <w:p>
            <w:pPr>
              <w:spacing w:after="0" w:line="264" w:lineRule="auto"/>
            </w:pPr>
            <w:r>
              <w:rPr>
                <w:b/>
                <w:sz w:val="16"/>
              </w:rPr>
              <w:t>General consumer subscription</w:t>
            </w:r>
          </w:p>
        </w:tc>
        <w:tc>
          <w:tcPr>
            <w:tcW w:type="dxa" w:w="6322"/>
            <w:tcMar>
              <w:top w:w="115" w:type="dxa"/>
              <w:start w:w="115" w:type="dxa"/>
              <w:bottom w:w="115" w:type="dxa"/>
              <w:end w:w="115" w:type="dxa"/>
            </w:tcMar>
            <w:vAlign w:val="center"/>
            <w:tcBorders>
              <w:bottom w:val="single" w:sz="5" w:color="DFE9EA"/>
            </w:tcBorders>
          </w:tcPr>
          <w:p>
            <w:pPr>
              <w:spacing w:after="0" w:line="264" w:lineRule="auto"/>
            </w:pPr>
            <w:r>
              <w:rPr>
                <w:sz w:val="16"/>
              </w:rPr>
              <w:t>Unclear payer compared with a managed property customer.</w:t>
            </w:r>
          </w:p>
        </w:tc>
      </w:tr>
    </w:tbl>
    <w:p>
      <w:pPr>
        <w:spacing w:after="0"/>
      </w:pPr>
    </w:p>
    <w:p>
      <w:pPr>
        <w:pStyle w:val="Heading1"/>
      </w:pPr>
      <w:r>
        <w:t>11. Questions to ask potential buyers</w:t>
      </w:r>
    </w:p>
    <w:p>
      <w:pPr>
        <w:pStyle w:val="ListNumber"/>
      </w:pPr>
      <w:r>
        <w:t>Which locations create repeat complaints, and how do you track them now?</w:t>
      </w:r>
    </w:p>
    <w:p>
      <w:pPr>
        <w:pStyle w:val="ListNumber"/>
      </w:pPr>
      <w:r>
        <w:t>How do you know whether contractors completed a visit properly?</w:t>
      </w:r>
    </w:p>
    <w:p>
      <w:pPr>
        <w:pStyle w:val="ListNumber"/>
      </w:pPr>
      <w:r>
        <w:t>How much time or money is lost because a problem returns?</w:t>
      </w:r>
    </w:p>
    <w:p>
      <w:pPr>
        <w:pStyle w:val="ListNumber"/>
      </w:pPr>
      <w:r>
        <w:t>Who sets the inspection schedule, and what rules must they follow?</w:t>
      </w:r>
    </w:p>
    <w:p>
      <w:pPr>
        <w:pStyle w:val="ListNumber"/>
      </w:pPr>
      <w:r>
        <w:t>Who approves permanent repairs, and what evidence do they need?</w:t>
      </w:r>
    </w:p>
    <w:p>
      <w:pPr>
        <w:pStyle w:val="ListNumber"/>
      </w:pPr>
      <w:r>
        <w:t>Which records cannot be shared with an outside software provider?</w:t>
      </w:r>
    </w:p>
    <w:p>
      <w:pPr>
        <w:pStyle w:val="ListNumber"/>
      </w:pPr>
      <w:r>
        <w:t>If the pilot works, who has budget authority to buy the product?</w:t>
      </w:r>
    </w:p>
    <w:p>
      <w:pPr>
        <w:pStyle w:val="ListNumber"/>
      </w:pPr>
      <w:r>
        <w:t>What result would make you renew at an agreed annual price?</w:t>
      </w:r>
    </w:p>
    <w:p>
      <w:pPr>
        <w:pStyle w:val="Heading1"/>
      </w:pPr>
      <w:r>
        <w:t>12. Go / no-go decision for the next stage</w:t>
      </w:r>
    </w:p>
    <w:p>
      <w:r>
        <w:t>Continue only if teams actually use the tools, verified records are reliable, managers make better decisions, and the customer can name a clear reason to pay. A pilot may be successful operationally but still fail commercially.</w:t>
      </w:r>
    </w:p>
    <w:p>
      <w:r>
        <w:t>Do not assume that attractive dashboards, AI model names, grant interest, or an enthusiastic demo establish market demand.</w:t>
      </w:r>
    </w:p>
    <w:sectPr w:rsidR="00FC693F" w:rsidRPr="0006063C" w:rsidSect="00034616">
      <w:headerReference w:type="default" r:id="rId9"/>
      <w:footerReference w:type="default" r:id="rId10"/>
      <w:pgSz w:w="11909" w:h="16834"/>
      <w:pgMar w:top="1267" w:right="1210" w:bottom="1109" w:left="121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66477"/>
        <w:sz w:val="15"/>
      </w:rPr>
      <w:t xml:space="preserve">Concept proposal  ·  Not an implemented feature     |     Page </w:t>
    </w: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ato" w:hAnsi="Lato"/>
        <w:b/>
        <w:color w:val="007E83"/>
        <w:sz w:val="16"/>
      </w:rPr>
      <w:t>DENGUEAI PRO  /  PRODUCT INNOVATION 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30" w:line="281" w:lineRule="auto"/>
    </w:pPr>
    <w:rPr>
      <w:rFonts w:ascii="Carlito" w:hAnsi="Carlito"/>
      <w:color w:val="172C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Lato" w:hAnsi="Lato"/>
      <w:b/>
      <w:bCs/>
      <w:color w:val="172C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rlito" w:hAnsi="Carlito"/>
      <w:b/>
      <w:bCs/>
      <w:color w:val="007E83"/>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rlito" w:hAnsi="Carlito"/>
      <w:b/>
      <w:bCs/>
      <w:color w:val="172C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80"/>
      <w:contextualSpacing/>
    </w:pPr>
    <w:rPr>
      <w:rFonts w:asciiTheme="majorHAnsi" w:eastAsiaTheme="majorEastAsia" w:hAnsiTheme="majorHAnsi" w:cstheme="majorBidi" w:ascii="Lato" w:hAnsi="Lato"/>
      <w:b/>
      <w:color w:val="172C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89" w:hanging="216"/>
      <w:contextualSpacing/>
    </w:pPr>
    <w:rPr>
      <w:rFonts w:ascii="Carlito" w:hAnsi="Carlito"/>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89" w:hanging="216"/>
      <w:contextualSpacing/>
    </w:pPr>
    <w:rPr>
      <w:rFonts w:ascii="Carlito" w:hAnsi="Carlito"/>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Model and Pilot Plan</dc:title>
  <dc:subject>DengueAI Pro product improvement proposal</dc:subject>
  <dc:creator>DengueAI Pro — Concept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