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F17F" w14:textId="0B1D9042" w:rsidR="00F76336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从语言规训到全民玩梗：我们在反抗什么？</w:t>
      </w:r>
    </w:p>
    <w:p w14:paraId="4E3DE650" w14:textId="7E66CE88" w:rsidR="007D56F2" w:rsidRDefault="007D56F2">
      <w:pPr>
        <w:spacing w:before="120" w:after="120" w:line="288" w:lineRule="auto"/>
        <w:rPr>
          <w:rFonts w:ascii="Arial" w:eastAsia="DengXian" w:hAnsi="Arial" w:cs="Arial"/>
          <w:b/>
          <w:noProof/>
          <w:sz w:val="52"/>
        </w:rPr>
      </w:pPr>
      <w:r>
        <w:rPr>
          <w:rFonts w:ascii="Arial" w:eastAsia="DengXian" w:hAnsi="Arial" w:cs="Arial"/>
          <w:b/>
          <w:noProof/>
          <w:sz w:val="52"/>
        </w:rPr>
        <w:drawing>
          <wp:inline distT="0" distB="0" distL="0" distR="0" wp14:anchorId="490E2C85" wp14:editId="39E1C07F">
            <wp:extent cx="5724525" cy="2800350"/>
            <wp:effectExtent l="0" t="0" r="0" b="0"/>
            <wp:docPr id="609010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A6E86" w14:textId="29E9F862" w:rsidR="00F76336" w:rsidRDefault="00F76336">
      <w:pPr>
        <w:spacing w:before="120" w:after="120" w:line="288" w:lineRule="auto"/>
      </w:pPr>
    </w:p>
    <w:p w14:paraId="14BEFF45" w14:textId="77777777" w:rsidR="00F76336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DengXian" w:hAnsi="Arial" w:cs="Arial"/>
          <w:b/>
          <w:sz w:val="36"/>
        </w:rPr>
        <w:t>「我们不说</w:t>
      </w:r>
      <w:r>
        <w:rPr>
          <w:rFonts w:ascii="Arial" w:eastAsia="DengXian" w:hAnsi="Arial" w:cs="Arial"/>
          <w:b/>
          <w:sz w:val="36"/>
        </w:rPr>
        <w:t>XX</w:t>
      </w:r>
      <w:r>
        <w:rPr>
          <w:rFonts w:ascii="Arial" w:eastAsia="DengXian" w:hAnsi="Arial" w:cs="Arial"/>
          <w:b/>
          <w:sz w:val="36"/>
        </w:rPr>
        <w:t>，我们说</w:t>
      </w:r>
      <w:r>
        <w:rPr>
          <w:rFonts w:ascii="Arial" w:eastAsia="DengXian" w:hAnsi="Arial" w:cs="Arial"/>
          <w:b/>
          <w:sz w:val="36"/>
        </w:rPr>
        <w:t>XXXX</w:t>
      </w:r>
      <w:r>
        <w:rPr>
          <w:rFonts w:ascii="Arial" w:eastAsia="DengXian" w:hAnsi="Arial" w:cs="Arial"/>
          <w:b/>
          <w:sz w:val="36"/>
        </w:rPr>
        <w:t>」：从语言规训到全民玩梗，我们到底在反抗什么？</w:t>
      </w:r>
      <w:bookmarkEnd w:id="0"/>
    </w:p>
    <w:p w14:paraId="7E53C5D1" w14:textId="77777777" w:rsidR="00F76336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作者：黎启诺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学号：</w:t>
      </w:r>
      <w:r>
        <w:rPr>
          <w:rFonts w:ascii="Arial" w:eastAsia="DengXian" w:hAnsi="Arial" w:cs="Arial"/>
        </w:rPr>
        <w:t>20893013</w:t>
      </w:r>
    </w:p>
    <w:p w14:paraId="6ED8D544" w14:textId="77777777" w:rsidR="00F76336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2026</w:t>
      </w:r>
      <w:r>
        <w:rPr>
          <w:rFonts w:ascii="Arial" w:eastAsia="DengXian" w:hAnsi="Arial" w:cs="Arial"/>
        </w:rPr>
        <w:t>年开年以来，一句「我们不说包的，我们说志在必得」席卷了全网。这句话原本出自山西某学校小学部的视频，发布者的初衷是引导青少年用规范成语替代网络热梗，用「莫逆之交」代替「老铁」，用「无与伦比」代替「绝绝子」，试图完成一场对网络语言的「正规化规训」。但讽刺的是，这条充满说教意味的视频不仅没有达到预期的教育效果，反而被网友们疯狂二创，「我们不说</w:t>
      </w:r>
      <w:r>
        <w:rPr>
          <w:rFonts w:ascii="Arial" w:eastAsia="DengXian" w:hAnsi="Arial" w:cs="Arial"/>
        </w:rPr>
        <w:t>XX</w:t>
      </w:r>
      <w:r>
        <w:rPr>
          <w:rFonts w:ascii="Arial" w:eastAsia="DengXian" w:hAnsi="Arial" w:cs="Arial"/>
        </w:rPr>
        <w:t>，我们说</w:t>
      </w:r>
      <w:r>
        <w:rPr>
          <w:rFonts w:ascii="Arial" w:eastAsia="DengXian" w:hAnsi="Arial" w:cs="Arial"/>
        </w:rPr>
        <w:t>XXXX</w:t>
      </w:r>
      <w:r>
        <w:rPr>
          <w:rFonts w:ascii="Arial" w:eastAsia="DengXian" w:hAnsi="Arial" w:cs="Arial"/>
        </w:rPr>
        <w:t>」的句式迅速成为全网通用的玩梗模板，从职场吐槽到生活分享，无处不在。这场从语言规训到全民解构的传播狂欢，不仅是一次典型的新媒体语言现象，更是当代青年群体用话语完成身份表达、反抗权威规训的集体实践。</w:t>
      </w:r>
    </w:p>
    <w:p w14:paraId="0F7A72BD" w14:textId="77777777" w:rsidR="00F76336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从传播逻辑来看，这一句式的爆火，完美契合了新媒体时代的话语传播规律。陈汝东（</w:t>
      </w:r>
      <w:r>
        <w:rPr>
          <w:rFonts w:ascii="Arial" w:eastAsia="DengXian" w:hAnsi="Arial" w:cs="Arial"/>
        </w:rPr>
        <w:t>2021</w:t>
      </w:r>
      <w:r>
        <w:rPr>
          <w:rFonts w:ascii="Arial" w:eastAsia="DengXian" w:hAnsi="Arial" w:cs="Arial"/>
        </w:rPr>
        <w:t>）在研究中指出，新媒体话语的修辞核心已从「理性说服」转向「情绪捕获」，模板化的句式具备极强的可复制性，用户无需复杂的创作，只需替换前后两个词语，就能完成一次符合热点的表达，这让它具备了病毒式传播的基础。更关键的是，它天然具备「双重解读空间」：既可以</w:t>
      </w:r>
      <w:r>
        <w:rPr>
          <w:rFonts w:ascii="Arial" w:eastAsia="DengXian" w:hAnsi="Arial" w:cs="Arial"/>
        </w:rPr>
        <w:lastRenderedPageBreak/>
        <w:t>顺着原视频的逻辑，用「优雅表达」包装日常用语，也可以反其道而行之，用一本正经的句式完成反讽</w:t>
      </w:r>
      <w:r>
        <w:rPr>
          <w:rFonts w:ascii="Arial" w:eastAsia="DengXian" w:hAnsi="Arial" w:cs="Arial"/>
        </w:rPr>
        <w:t>——</w:t>
      </w:r>
      <w:r>
        <w:rPr>
          <w:rFonts w:ascii="Arial" w:eastAsia="DengXian" w:hAnsi="Arial" w:cs="Arial"/>
        </w:rPr>
        <w:t>比如「我们不说加班，我们说职场进阶的自我沉淀」「我们不说失业，我们说灵活就业」，用官方话语的壳，装下青年对现实焦虑的自嘲，在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秒内就能完成情绪传递与身份认同。</w:t>
      </w:r>
    </w:p>
    <w:p w14:paraId="679078D3" w14:textId="77777777" w:rsidR="00F76336" w:rsidRDefault="00000000">
      <w:pPr>
        <w:spacing w:before="120" w:after="120" w:line="288" w:lineRule="auto"/>
        <w:rPr>
          <w:rFonts w:ascii="Arial" w:eastAsia="DengXian" w:hAnsi="Arial" w:cs="Arial"/>
        </w:rPr>
      </w:pPr>
      <w:r>
        <w:rPr>
          <w:rFonts w:ascii="Arial" w:eastAsia="DengXian" w:hAnsi="Arial" w:cs="Arial"/>
        </w:rPr>
        <w:t>对于青年群体而言，这场玩梗狂欢的本质，是一次用魔法打败魔法的亚文化反抗。方师师、黄楚新（</w:t>
      </w:r>
      <w:r>
        <w:rPr>
          <w:rFonts w:ascii="Arial" w:eastAsia="DengXian" w:hAnsi="Arial" w:cs="Arial"/>
        </w:rPr>
        <w:t>2022</w:t>
      </w:r>
      <w:r>
        <w:rPr>
          <w:rFonts w:ascii="Arial" w:eastAsia="DengXian" w:hAnsi="Arial" w:cs="Arial"/>
        </w:rPr>
        <w:t>）的研究表明，网络流行语是青年群体划定符号边界、建构身份认同的核心载体，面对成人世界对网络语言的质疑与规训，青年群体没有选择正面对抗，而是通过戏仿的方式，把规训者的话语框架变成自己的玩梗工具。原视频的核心逻辑是「网络用语是低俗的，成语表达是高雅的」，而网友的二创直接消解了这种高低之分：原来所谓的「高雅表达」，不过是可以随意替换的模板，所谓的「语言规范」，在玩梗中变成了笑料。这种温和的解构，既避免了直接的冲突，又完成了对话语霸权的反抗，同时还在同温层中收获了集体认同</w:t>
      </w:r>
      <w:r>
        <w:rPr>
          <w:rFonts w:ascii="Arial" w:eastAsia="DengXian" w:hAnsi="Arial" w:cs="Arial"/>
        </w:rPr>
        <w:t>——</w:t>
      </w:r>
      <w:r>
        <w:rPr>
          <w:rFonts w:ascii="Arial" w:eastAsia="DengXian" w:hAnsi="Arial" w:cs="Arial"/>
        </w:rPr>
        <w:t>能看懂这个梗的人，自然是「自己人」。</w:t>
      </w:r>
    </w:p>
    <w:p w14:paraId="0AA23D88" w14:textId="59E71039" w:rsidR="007D56F2" w:rsidRDefault="007D56F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noProof/>
        </w:rPr>
        <w:drawing>
          <wp:inline distT="0" distB="0" distL="0" distR="0" wp14:anchorId="4DD2B3DF" wp14:editId="3AE9E422">
            <wp:extent cx="5724525" cy="3219450"/>
            <wp:effectExtent l="0" t="0" r="0" b="0"/>
            <wp:docPr id="664624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B6AAD" w14:textId="77777777" w:rsidR="00F76336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但我们同样需要警惕，这场解构狂欢背后潜藏的语言异化风险。徐默凡（</w:t>
      </w:r>
      <w:r>
        <w:rPr>
          <w:rFonts w:ascii="Arial" w:eastAsia="DengXian" w:hAnsi="Arial" w:cs="Arial"/>
        </w:rPr>
        <w:t>2020</w:t>
      </w:r>
      <w:r>
        <w:rPr>
          <w:rFonts w:ascii="Arial" w:eastAsia="DengXian" w:hAnsi="Arial" w:cs="Arial"/>
        </w:rPr>
        <w:t>）指出，网络固定句式的滥用，会导致「语言的自动化替代」</w:t>
      </w:r>
      <w:r>
        <w:rPr>
          <w:rFonts w:ascii="Arial" w:eastAsia="DengXian" w:hAnsi="Arial" w:cs="Arial"/>
        </w:rPr>
        <w:t>——</w:t>
      </w:r>
      <w:r>
        <w:rPr>
          <w:rFonts w:ascii="Arial" w:eastAsia="DengXian" w:hAnsi="Arial" w:cs="Arial"/>
        </w:rPr>
        <w:t>当我们习惯了用现成的模板代替个人化表达，我们的语言能力会在不知不觉中退化。不少二创内容从一开始的反讽自嘲，慢慢变成了另一种形式的「话术包装」：把压榨员工的加班美化成「自我提升」，把不合理的降薪说成「共渡难关」，原本用来反抗规训的句式，反而变成了美化现实、回避矛盾的工具。同时，模板化的表达也会稀释语言的精准性，当所有的情绪和场景都可以套进同一个句式，我们慢慢失去了用精准语言描述自我感受、进行深度对话的能力，最终陷入「除了玩梗，无话可说」的困境。</w:t>
      </w:r>
    </w:p>
    <w:p w14:paraId="43081BCE" w14:textId="77777777" w:rsidR="00F76336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事实上，语言从来没有绝对的高雅与低俗之分，网络热梗与传统成语，都是语言在不同时代的生命力体现。这场玩梗狂欢真正留给我们的思考是：我们到底需要什么样的语言？是被规范好的、统一的「正确表达」，还是真实的、有温度的、能说出我们心声的表达？反抗语言规训的终极意义，从不是用一种模板替代另一种模板，而是拿回我们表达的主动权</w:t>
      </w:r>
      <w:r>
        <w:rPr>
          <w:rFonts w:ascii="Arial" w:eastAsia="DengXian" w:hAnsi="Arial" w:cs="Arial"/>
        </w:rPr>
        <w:t>——</w:t>
      </w:r>
      <w:r>
        <w:rPr>
          <w:rFonts w:ascii="Arial" w:eastAsia="DengXian" w:hAnsi="Arial" w:cs="Arial"/>
        </w:rPr>
        <w:t>不被说教束缚，</w:t>
      </w:r>
      <w:r>
        <w:rPr>
          <w:rFonts w:ascii="Arial" w:eastAsia="DengXian" w:hAnsi="Arial" w:cs="Arial"/>
        </w:rPr>
        <w:lastRenderedPageBreak/>
        <w:t>也不被梗绑架，用语言说出最真实的生活与感受，这才是语言最本真的力量。</w:t>
      </w:r>
    </w:p>
    <w:p w14:paraId="291F8714" w14:textId="77777777" w:rsidR="00F76336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参考文献</w:t>
      </w:r>
      <w:bookmarkEnd w:id="1"/>
    </w:p>
    <w:p w14:paraId="398DCA8E" w14:textId="77777777" w:rsidR="00F76336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陈汝东</w:t>
      </w:r>
      <w:r>
        <w:rPr>
          <w:rFonts w:ascii="Arial" w:eastAsia="DengXian" w:hAnsi="Arial" w:cs="Arial"/>
        </w:rPr>
        <w:t xml:space="preserve">. (2021). </w:t>
      </w:r>
      <w:r>
        <w:rPr>
          <w:rFonts w:ascii="Arial" w:eastAsia="DengXian" w:hAnsi="Arial" w:cs="Arial"/>
        </w:rPr>
        <w:t>新媒体话语的修辞转向与传播逻辑</w:t>
      </w:r>
      <w:r>
        <w:rPr>
          <w:rFonts w:ascii="Arial" w:eastAsia="DengXian" w:hAnsi="Arial" w:cs="Arial"/>
        </w:rPr>
        <w:t xml:space="preserve">. </w:t>
      </w:r>
      <w:r>
        <w:rPr>
          <w:rFonts w:ascii="Arial" w:eastAsia="DengXian" w:hAnsi="Arial" w:cs="Arial"/>
        </w:rPr>
        <w:t>新闻与写作</w:t>
      </w:r>
      <w:r>
        <w:rPr>
          <w:rFonts w:ascii="Arial" w:eastAsia="DengXian" w:hAnsi="Arial" w:cs="Arial"/>
        </w:rPr>
        <w:t>, (12), 38-44.</w:t>
      </w:r>
    </w:p>
    <w:p w14:paraId="0FA07D95" w14:textId="77777777" w:rsidR="00F76336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方师师</w:t>
      </w:r>
      <w:r>
        <w:rPr>
          <w:rFonts w:ascii="Arial" w:eastAsia="DengXian" w:hAnsi="Arial" w:cs="Arial"/>
        </w:rPr>
        <w:t xml:space="preserve">, </w:t>
      </w:r>
      <w:r>
        <w:rPr>
          <w:rFonts w:ascii="Arial" w:eastAsia="DengXian" w:hAnsi="Arial" w:cs="Arial"/>
        </w:rPr>
        <w:t>黄楚新</w:t>
      </w:r>
      <w:r>
        <w:rPr>
          <w:rFonts w:ascii="Arial" w:eastAsia="DengXian" w:hAnsi="Arial" w:cs="Arial"/>
        </w:rPr>
        <w:t xml:space="preserve">. (2022). </w:t>
      </w:r>
      <w:r>
        <w:rPr>
          <w:rFonts w:ascii="Arial" w:eastAsia="DengXian" w:hAnsi="Arial" w:cs="Arial"/>
        </w:rPr>
        <w:t>网络流行语的青年亚文化建构与身份认同</w:t>
      </w:r>
      <w:r>
        <w:rPr>
          <w:rFonts w:ascii="Arial" w:eastAsia="DengXian" w:hAnsi="Arial" w:cs="Arial"/>
        </w:rPr>
        <w:t xml:space="preserve">. </w:t>
      </w:r>
      <w:r>
        <w:rPr>
          <w:rFonts w:ascii="Arial" w:eastAsia="DengXian" w:hAnsi="Arial" w:cs="Arial"/>
        </w:rPr>
        <w:t>现代传播</w:t>
      </w:r>
      <w:r>
        <w:rPr>
          <w:rFonts w:ascii="Arial" w:eastAsia="DengXian" w:hAnsi="Arial" w:cs="Arial"/>
        </w:rPr>
        <w:t>(</w:t>
      </w:r>
      <w:r>
        <w:rPr>
          <w:rFonts w:ascii="Arial" w:eastAsia="DengXian" w:hAnsi="Arial" w:cs="Arial"/>
        </w:rPr>
        <w:t>中国传媒大学学报</w:t>
      </w:r>
      <w:r>
        <w:rPr>
          <w:rFonts w:ascii="Arial" w:eastAsia="DengXian" w:hAnsi="Arial" w:cs="Arial"/>
        </w:rPr>
        <w:t>), 44(5), 136-141.</w:t>
      </w:r>
    </w:p>
    <w:p w14:paraId="1AFE885C" w14:textId="77777777" w:rsidR="00F76336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徐默凡</w:t>
      </w:r>
      <w:r>
        <w:rPr>
          <w:rFonts w:ascii="Arial" w:eastAsia="DengXian" w:hAnsi="Arial" w:cs="Arial"/>
        </w:rPr>
        <w:t xml:space="preserve">. (2020). </w:t>
      </w:r>
      <w:r>
        <w:rPr>
          <w:rFonts w:ascii="Arial" w:eastAsia="DengXian" w:hAnsi="Arial" w:cs="Arial"/>
        </w:rPr>
        <w:t>网络语言的语用异化与规范路径</w:t>
      </w:r>
      <w:r>
        <w:rPr>
          <w:rFonts w:ascii="Arial" w:eastAsia="DengXian" w:hAnsi="Arial" w:cs="Arial"/>
        </w:rPr>
        <w:t xml:space="preserve">. </w:t>
      </w:r>
      <w:r>
        <w:rPr>
          <w:rFonts w:ascii="Arial" w:eastAsia="DengXian" w:hAnsi="Arial" w:cs="Arial"/>
        </w:rPr>
        <w:t>当代修辞学</w:t>
      </w:r>
      <w:r>
        <w:rPr>
          <w:rFonts w:ascii="Arial" w:eastAsia="DengXian" w:hAnsi="Arial" w:cs="Arial"/>
        </w:rPr>
        <w:t>, (3), 52-60.</w:t>
      </w:r>
    </w:p>
    <w:p w14:paraId="31C1F2FC" w14:textId="77777777" w:rsidR="00F76336" w:rsidRDefault="00F76336">
      <w:pPr>
        <w:spacing w:before="120" w:after="120" w:line="288" w:lineRule="auto"/>
      </w:pPr>
    </w:p>
    <w:p w14:paraId="789384E9" w14:textId="0DA38CBF" w:rsidR="00F76336" w:rsidRDefault="007D56F2">
      <w:pPr>
        <w:spacing w:before="120" w:after="120" w:line="288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>AI使用声明：</w:t>
      </w:r>
    </w:p>
    <w:p w14:paraId="0483360E" w14:textId="35C0A796" w:rsidR="007D56F2" w:rsidRPr="007D56F2" w:rsidRDefault="007D56F2">
      <w:pPr>
        <w:spacing w:before="120" w:after="120" w:line="288" w:lineRule="auto"/>
        <w:rPr>
          <w:rFonts w:ascii="Arial" w:hAnsi="Arial" w:cs="Arial" w:hint="eastAsia"/>
          <w:szCs w:val="22"/>
        </w:rPr>
      </w:pPr>
      <w:r>
        <w:rPr>
          <w:rFonts w:ascii="Arial" w:hAnsi="Arial" w:cs="Arial" w:hint="eastAsia"/>
          <w:szCs w:val="22"/>
        </w:rPr>
        <w:t>本文中图片，文献分析，用词用语优化</w:t>
      </w:r>
      <w:r>
        <w:rPr>
          <w:rFonts w:ascii="Arial" w:hAnsi="Arial" w:cs="Arial" w:hint="eastAsia"/>
          <w:szCs w:val="22"/>
        </w:rPr>
        <w:t xml:space="preserve"> </w:t>
      </w:r>
      <w:r>
        <w:rPr>
          <w:rFonts w:ascii="Arial" w:hAnsi="Arial" w:cs="Arial" w:hint="eastAsia"/>
          <w:szCs w:val="22"/>
        </w:rPr>
        <w:t>以</w:t>
      </w:r>
      <w:r>
        <w:rPr>
          <w:rFonts w:ascii="Arial" w:hAnsi="Arial" w:cs="Arial" w:hint="eastAsia"/>
          <w:szCs w:val="22"/>
        </w:rPr>
        <w:t>AI</w:t>
      </w:r>
      <w:r>
        <w:rPr>
          <w:rFonts w:ascii="Arial" w:hAnsi="Arial" w:cs="Arial" w:hint="eastAsia"/>
          <w:szCs w:val="22"/>
        </w:rPr>
        <w:t>辅助或者生成。</w:t>
      </w:r>
    </w:p>
    <w:sectPr w:rsidR="007D56F2" w:rsidRPr="007D56F2">
      <w:headerReference w:type="default" r:id="rId8"/>
      <w:footerReference w:type="default" r:id="rId9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0797F" w14:textId="77777777" w:rsidR="00766EB5" w:rsidRDefault="00766EB5">
      <w:pPr>
        <w:spacing w:after="0" w:line="240" w:lineRule="auto"/>
      </w:pPr>
      <w:r>
        <w:separator/>
      </w:r>
    </w:p>
  </w:endnote>
  <w:endnote w:type="continuationSeparator" w:id="0">
    <w:p w14:paraId="00527762" w14:textId="77777777" w:rsidR="00766EB5" w:rsidRDefault="00766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1114C" w14:textId="77777777" w:rsidR="00F76336" w:rsidRDefault="00F763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37E8B" w14:textId="77777777" w:rsidR="00766EB5" w:rsidRDefault="00766EB5">
      <w:pPr>
        <w:spacing w:after="0" w:line="240" w:lineRule="auto"/>
      </w:pPr>
      <w:r>
        <w:separator/>
      </w:r>
    </w:p>
  </w:footnote>
  <w:footnote w:type="continuationSeparator" w:id="0">
    <w:p w14:paraId="33033128" w14:textId="77777777" w:rsidR="00766EB5" w:rsidRDefault="00766E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217E9" w14:textId="77777777" w:rsidR="00F76336" w:rsidRDefault="00F7633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6336"/>
    <w:rsid w:val="00766EB5"/>
    <w:rsid w:val="007D56F2"/>
    <w:rsid w:val="00B54CA7"/>
    <w:rsid w:val="00F7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5F12D"/>
  <w15:docId w15:val="{E6BF20A3-F386-42D0-8F19-DF3E35F9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814</Words>
  <Characters>847</Characters>
  <Application>Microsoft Office Word</Application>
  <DocSecurity>0</DocSecurity>
  <Lines>24</Lines>
  <Paragraphs>13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LAI Kai Nok Stephen</cp:lastModifiedBy>
  <cp:revision>2</cp:revision>
  <dcterms:created xsi:type="dcterms:W3CDTF">2026-03-20T03:54:00Z</dcterms:created>
  <dcterms:modified xsi:type="dcterms:W3CDTF">2026-03-20T04:02:00Z</dcterms:modified>
</cp:coreProperties>
</file>