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bidi w:val="0"/>
        <w:spacing w:before="240" w:after="120"/>
        <w:rPr/>
      </w:pPr>
      <w:r>
        <w:rPr/>
        <w:t>Iris</w:t>
        <w:br/>
      </w:r>
      <w:r>
        <w:rPr>
          <w:i/>
          <w:iCs/>
        </w:rPr>
        <w:t>(</w:t>
      </w:r>
      <w:bookmarkStart w:id="0" w:name="tw-target-text"/>
      <w:bookmarkEnd w:id="0"/>
      <w:r>
        <w:rPr>
          <w:i/>
          <w:iCs/>
          <w:lang w:val="en-US"/>
        </w:rPr>
        <w:t>integrative resilience intelligence system</w:t>
      </w:r>
      <w:r>
        <w:rPr>
          <w:i/>
          <w:iCs/>
        </w:rPr>
        <w:t>)</w:t>
      </w:r>
    </w:p>
    <w:p>
      <w:pPr>
        <w:pStyle w:val="BodyText"/>
        <w:bidi w:val="0"/>
        <w:jc w:val="left"/>
        <w:rPr>
          <w:i/>
          <w:i/>
          <w:iCs/>
        </w:rPr>
      </w:pPr>
      <w:r>
        <w:rPr>
          <w:i/>
          <w:iCs/>
        </w:rPr>
      </w:r>
    </w:p>
    <w:p>
      <w:pPr>
        <w:pStyle w:val="BodyText"/>
        <w:bidi w:val="0"/>
        <w:jc w:val="left"/>
        <w:rPr>
          <w:i/>
          <w:i/>
          <w:iCs/>
        </w:rPr>
      </w:pPr>
      <w:r>
        <w:rPr>
          <w:i/>
          <w:iCs/>
        </w:rPr>
      </w:r>
    </w:p>
    <w:p>
      <w:pPr>
        <w:pStyle w:val="BodyText"/>
        <w:bidi w:val="0"/>
        <w:jc w:val="left"/>
        <w:rPr>
          <w:i/>
          <w:i/>
          <w:iCs/>
        </w:rPr>
      </w:pPr>
      <w:r>
        <w:rPr>
          <w:i/>
          <w:iCs/>
        </w:rPr>
      </w:r>
    </w:p>
    <w:p>
      <w:pPr>
        <w:pStyle w:val="BodyText"/>
        <w:bidi w:val="0"/>
        <w:jc w:val="left"/>
        <w:rPr>
          <w:i/>
          <w:i/>
          <w:iCs/>
        </w:rPr>
      </w:pPr>
      <w:r>
        <w:rPr>
          <w:i/>
          <w:iCs/>
        </w:rPr>
      </w:r>
    </w:p>
    <w:p>
      <w:pPr>
        <w:pStyle w:val="BodyText"/>
        <w:bidi w:val="0"/>
        <w:jc w:val="left"/>
        <w:rPr>
          <w:i/>
          <w:i/>
          <w:iCs/>
        </w:rPr>
      </w:pPr>
      <w:r>
        <w:rPr>
          <w:i/>
          <w:iCs/>
        </w:rPr>
      </w:r>
    </w:p>
    <w:p>
      <w:pPr>
        <w:pStyle w:val="BodyText"/>
        <w:bidi w:val="0"/>
        <w:jc w:val="left"/>
        <w:rPr>
          <w:i/>
          <w:i/>
          <w:iCs/>
        </w:rPr>
      </w:pPr>
      <w:r>
        <w:rPr>
          <w:i/>
          <w:iCs/>
        </w:rPr>
      </w:r>
    </w:p>
    <w:p>
      <w:pPr>
        <w:pStyle w:val="BodyText"/>
        <w:bidi w:val="0"/>
        <w:jc w:val="left"/>
        <w:rPr>
          <w:i/>
          <w:i/>
          <w:iCs/>
        </w:rPr>
      </w:pPr>
      <w:r>
        <w:rPr>
          <w:i/>
          <w:iCs/>
        </w:rPr>
      </w:r>
    </w:p>
    <w:p>
      <w:pPr>
        <w:pStyle w:val="BodyText"/>
        <w:bidi w:val="0"/>
        <w:jc w:val="left"/>
        <w:rPr>
          <w:i/>
          <w:i/>
          <w:iCs/>
        </w:rPr>
      </w:pPr>
      <w:r>
        <w:rPr>
          <w:i/>
          <w:iCs/>
        </w:rPr>
      </w:r>
    </w:p>
    <w:p>
      <w:pPr>
        <w:pStyle w:val="BodyText"/>
        <w:bidi w:val="0"/>
        <w:jc w:val="left"/>
        <w:rPr>
          <w:i/>
          <w:i/>
          <w:iCs/>
        </w:rPr>
      </w:pPr>
      <w:r>
        <w:rPr>
          <w:i/>
          <w:iCs/>
        </w:rPr>
      </w:r>
    </w:p>
    <w:p>
      <w:pPr>
        <w:pStyle w:val="BodyText"/>
        <w:bidi w:val="0"/>
        <w:jc w:val="left"/>
        <w:rPr>
          <w:i/>
          <w:i/>
          <w:iCs/>
        </w:rPr>
      </w:pPr>
      <w:r>
        <w:rPr>
          <w:i/>
          <w:iCs/>
        </w:rPr>
      </w:r>
    </w:p>
    <w:p>
      <w:pPr>
        <w:pStyle w:val="BodyText"/>
        <w:bidi w:val="0"/>
        <w:jc w:val="left"/>
        <w:rPr>
          <w:i/>
          <w:i/>
          <w:iCs/>
        </w:rPr>
      </w:pPr>
      <w:r>
        <w:rPr>
          <w:i/>
          <w:iCs/>
        </w:rPr>
      </w:r>
    </w:p>
    <w:p>
      <w:pPr>
        <w:pStyle w:val="BodyText"/>
        <w:bidi w:val="0"/>
        <w:jc w:val="left"/>
        <w:rPr>
          <w:i/>
          <w:i/>
          <w:iCs/>
        </w:rPr>
      </w:pPr>
      <w:r>
        <w:rPr>
          <w:i/>
          <w:iCs/>
        </w:rPr>
      </w:r>
    </w:p>
    <w:p>
      <w:pPr>
        <w:pStyle w:val="BodyText"/>
        <w:bidi w:val="0"/>
        <w:jc w:val="left"/>
        <w:rPr>
          <w:i/>
          <w:i/>
          <w:iCs/>
        </w:rPr>
      </w:pPr>
      <w:r>
        <w:rPr>
          <w:i/>
          <w:iCs/>
        </w:rPr>
      </w:r>
    </w:p>
    <w:p>
      <w:pPr>
        <w:pStyle w:val="BodyText"/>
        <w:bidi w:val="0"/>
        <w:jc w:val="left"/>
        <w:rPr>
          <w:i/>
          <w:i/>
          <w:iCs/>
        </w:rPr>
      </w:pPr>
      <w:r>
        <w:rPr>
          <w:i/>
          <w:iCs/>
        </w:rPr>
      </w:r>
    </w:p>
    <w:p>
      <w:pPr>
        <w:pStyle w:val="BodyText"/>
        <w:bidi w:val="0"/>
        <w:jc w:val="left"/>
        <w:rPr>
          <w:i/>
          <w:i/>
          <w:iCs/>
        </w:rPr>
      </w:pPr>
      <w:r>
        <w:rPr>
          <w:i/>
          <w:iCs/>
        </w:rPr>
      </w:r>
    </w:p>
    <w:p>
      <w:pPr>
        <w:pStyle w:val="BodyText"/>
        <w:bidi w:val="0"/>
        <w:jc w:val="left"/>
        <w:rPr>
          <w:i/>
          <w:i/>
          <w:iCs/>
        </w:rPr>
      </w:pPr>
      <w:r>
        <w:rPr>
          <w:i/>
          <w:iCs/>
        </w:rPr>
      </w:r>
    </w:p>
    <w:p>
      <w:pPr>
        <w:pStyle w:val="BodyText"/>
        <w:bidi w:val="0"/>
        <w:jc w:val="left"/>
        <w:rPr>
          <w:i/>
          <w:i/>
          <w:iCs/>
        </w:rPr>
      </w:pPr>
      <w:r>
        <w:rPr>
          <w:i/>
          <w:iCs/>
        </w:rPr>
      </w:r>
    </w:p>
    <w:p>
      <w:pPr>
        <w:pStyle w:val="BodyText"/>
        <w:bidi w:val="0"/>
        <w:jc w:val="left"/>
        <w:rPr>
          <w:i/>
          <w:i/>
          <w:iCs/>
        </w:rPr>
      </w:pPr>
      <w:r>
        <w:rPr>
          <w:i/>
          <w:iCs/>
        </w:rPr>
      </w:r>
    </w:p>
    <w:p>
      <w:pPr>
        <w:pStyle w:val="BodyText"/>
        <w:bidi w:val="0"/>
        <w:jc w:val="left"/>
        <w:rPr>
          <w:i/>
          <w:i/>
          <w:iCs/>
        </w:rPr>
      </w:pPr>
      <w:r>
        <w:rPr>
          <w:i/>
          <w:iCs/>
        </w:rPr>
      </w:r>
    </w:p>
    <w:p>
      <w:pPr>
        <w:pStyle w:val="BodyText"/>
        <w:bidi w:val="0"/>
        <w:jc w:val="left"/>
        <w:rPr>
          <w:i/>
          <w:i/>
          <w:iCs/>
        </w:rPr>
      </w:pPr>
      <w:r>
        <w:rPr>
          <w:i/>
          <w:iCs/>
        </w:rPr>
      </w:r>
    </w:p>
    <w:p>
      <w:pPr>
        <w:pStyle w:val="BodyText"/>
        <w:bidi w:val="0"/>
        <w:jc w:val="left"/>
        <w:rPr>
          <w:i/>
          <w:i/>
          <w:iCs/>
        </w:rPr>
      </w:pPr>
      <w:r>
        <w:rPr>
          <w:i/>
          <w:iCs/>
        </w:rPr>
      </w:r>
    </w:p>
    <w:p>
      <w:pPr>
        <w:pStyle w:val="BodyText"/>
        <w:bidi w:val="0"/>
        <w:jc w:val="left"/>
        <w:rPr>
          <w:i/>
          <w:i/>
          <w:iCs/>
        </w:rPr>
      </w:pPr>
      <w:r>
        <w:rPr>
          <w:i/>
          <w:iCs/>
        </w:rPr>
      </w:r>
    </w:p>
    <w:p>
      <w:pPr>
        <w:pStyle w:val="BodyText"/>
        <w:bidi w:val="0"/>
        <w:jc w:val="left"/>
        <w:rPr>
          <w:i/>
          <w:i/>
          <w:iCs/>
        </w:rPr>
      </w:pPr>
      <w:r>
        <w:rPr>
          <w:i/>
          <w:iCs/>
        </w:rPr>
      </w:r>
    </w:p>
    <w:p>
      <w:pPr>
        <w:pStyle w:val="BodyText"/>
        <w:bidi w:val="0"/>
        <w:jc w:val="left"/>
        <w:rPr>
          <w:i/>
          <w:i/>
          <w:iCs/>
        </w:rPr>
      </w:pPr>
      <w:r>
        <w:rPr>
          <w:i/>
          <w:iCs/>
        </w:rPr>
      </w:r>
    </w:p>
    <w:p>
      <w:pPr>
        <w:pStyle w:val="BodyText"/>
        <w:bidi w:val="0"/>
        <w:jc w:val="left"/>
        <w:rPr>
          <w:i/>
          <w:i/>
          <w:iCs/>
        </w:rPr>
      </w:pPr>
      <w:r>
        <w:rPr>
          <w:i/>
          <w:iCs/>
        </w:rPr>
      </w:r>
    </w:p>
    <w:p>
      <w:pPr>
        <w:pStyle w:val="BodyText"/>
        <w:bidi w:val="0"/>
        <w:jc w:val="left"/>
        <w:rPr>
          <w:i/>
          <w:i/>
          <w:iCs/>
        </w:rPr>
      </w:pPr>
      <w:r>
        <w:rPr>
          <w:i/>
          <w:iCs/>
        </w:rPr>
      </w:r>
    </w:p>
    <w:p>
      <w:pPr>
        <w:pStyle w:val="BodyText"/>
        <w:bidi w:val="0"/>
        <w:jc w:val="left"/>
        <w:rPr>
          <w:i/>
          <w:i/>
          <w:iCs/>
        </w:rPr>
      </w:pPr>
      <w:r>
        <w:rPr>
          <w:i/>
          <w:iCs/>
        </w:rPr>
      </w:r>
    </w:p>
    <w:p>
      <w:pPr>
        <w:pStyle w:val="BodyText"/>
        <w:bidi w:val="0"/>
        <w:jc w:val="left"/>
        <w:rPr>
          <w:i/>
          <w:i/>
          <w:iCs/>
        </w:rPr>
      </w:pPr>
      <w:r>
        <w:rPr>
          <w:i/>
          <w:iCs/>
        </w:rPr>
      </w:r>
    </w:p>
    <w:p>
      <w:pPr>
        <w:pStyle w:val="BodyText"/>
        <w:bidi w:val="0"/>
        <w:jc w:val="left"/>
        <w:rPr>
          <w:i/>
          <w:i/>
          <w:iCs/>
        </w:rPr>
      </w:pPr>
      <w:r>
        <w:rPr>
          <w:i/>
          <w:iCs/>
        </w:rPr>
      </w:r>
    </w:p>
    <w:p>
      <w:pPr>
        <w:pStyle w:val="BodyText"/>
        <w:bidi w:val="0"/>
        <w:jc w:val="left"/>
        <w:rPr>
          <w:i/>
          <w:i/>
          <w:iCs/>
        </w:rPr>
      </w:pPr>
      <w:r>
        <w:rPr>
          <w:i/>
          <w:iCs/>
        </w:rPr>
      </w:r>
    </w:p>
    <w:p>
      <w:pPr>
        <w:pStyle w:val="BodyText"/>
        <w:bidi w:val="0"/>
        <w:jc w:val="left"/>
        <w:rPr>
          <w:i/>
          <w:i/>
          <w:iCs/>
        </w:rPr>
      </w:pPr>
      <w:r>
        <w:rPr>
          <w:i/>
          <w:iCs/>
        </w:rPr>
      </w:r>
    </w:p>
    <w:p>
      <w:pPr>
        <w:pStyle w:val="BodyText"/>
        <w:bidi w:val="0"/>
        <w:jc w:val="left"/>
        <w:rPr>
          <w:i/>
          <w:i/>
          <w:iCs/>
        </w:rPr>
      </w:pPr>
      <w:r>
        <w:rPr>
          <w:i/>
          <w:iCs/>
        </w:rPr>
      </w:r>
    </w:p>
    <w:p>
      <w:pPr>
        <w:pStyle w:val="BodyText"/>
        <w:bidi w:val="0"/>
        <w:jc w:val="left"/>
        <w:rPr>
          <w:i/>
          <w:i/>
          <w:iCs/>
        </w:rPr>
      </w:pPr>
      <w:r>
        <w:rPr>
          <w:i/>
          <w:iCs/>
        </w:rPr>
      </w:r>
    </w:p>
    <w:p>
      <w:pPr>
        <w:pStyle w:val="BodyText"/>
        <w:bidi w:val="0"/>
        <w:jc w:val="left"/>
        <w:rPr>
          <w:i/>
          <w:i/>
          <w:iCs/>
        </w:rPr>
      </w:pPr>
      <w:r>
        <w:rPr>
          <w:i/>
          <w:iCs/>
        </w:rPr>
      </w:r>
    </w:p>
    <w:p>
      <w:pPr>
        <w:pStyle w:val="BodyText"/>
        <w:bidi w:val="0"/>
        <w:jc w:val="left"/>
        <w:rPr/>
      </w:pPr>
      <w:r>
        <w:rPr/>
      </w:r>
    </w:p>
    <w:p>
      <w:pPr>
        <w:pStyle w:val="BodyText"/>
        <w:bidi w:val="0"/>
        <w:jc w:val="left"/>
        <w:rPr/>
      </w:pPr>
      <w:r>
        <w:rPr/>
      </w:r>
    </w:p>
    <w:p>
      <w:pPr>
        <w:pStyle w:val="BodyText"/>
        <w:bidi w:val="0"/>
        <w:jc w:val="left"/>
        <w:rPr/>
      </w:pPr>
      <w:r>
        <w:rPr/>
      </w:r>
    </w:p>
    <w:p>
      <w:pPr>
        <w:pStyle w:val="BodyText"/>
        <w:bidi w:val="0"/>
        <w:jc w:val="left"/>
        <w:rPr/>
      </w:pPr>
      <w:r>
        <w:rPr/>
      </w:r>
    </w:p>
    <w:p>
      <w:pPr>
        <w:pStyle w:val="BodyText"/>
        <w:bidi w:val="0"/>
        <w:jc w:val="center"/>
        <w:rPr>
          <w:i w:val="false"/>
          <w:i w:val="false"/>
          <w:iCs w:val="false"/>
        </w:rPr>
      </w:pPr>
      <w:r>
        <w:rPr>
          <w:i w:val="false"/>
          <w:iCs w:val="false"/>
        </w:rPr>
        <w:t>Arnault Nolan</w:t>
      </w:r>
    </w:p>
    <w:p>
      <w:pPr>
        <w:pStyle w:val="BodyText"/>
        <w:bidi w:val="0"/>
        <w:jc w:val="left"/>
        <w:rPr/>
      </w:pPr>
      <w:r>
        <w:rPr/>
      </w:r>
    </w:p>
    <w:p>
      <w:pPr>
        <w:pStyle w:val="BodyText"/>
        <w:bidi w:val="0"/>
        <w:jc w:val="left"/>
        <w:rPr/>
      </w:pPr>
      <w:r>
        <w:rPr/>
      </w:r>
    </w:p>
    <w:p>
      <w:pPr>
        <w:pStyle w:val="BodyText"/>
        <w:bidi w:val="0"/>
        <w:jc w:val="left"/>
        <w:rPr/>
      </w:pPr>
      <w:r>
        <w:rPr/>
      </w:r>
    </w:p>
    <w:p>
      <w:pPr>
        <w:pStyle w:val="BodyText"/>
        <w:bidi w:val="0"/>
        <w:jc w:val="left"/>
        <w:rPr/>
      </w:pPr>
      <w:r>
        <w:rPr/>
      </w:r>
    </w:p>
    <w:p>
      <w:pPr>
        <w:pStyle w:val="BodyText"/>
        <w:bidi w:val="0"/>
        <w:jc w:val="left"/>
        <w:rPr/>
      </w:pPr>
      <w:r>
        <w:rPr/>
      </w:r>
    </w:p>
    <w:p>
      <w:pPr>
        <w:pStyle w:val="BodyText"/>
        <w:bidi w:val="0"/>
        <w:jc w:val="left"/>
        <w:rPr/>
      </w:pPr>
      <w:r>
        <w:rPr/>
      </w:r>
    </w:p>
    <w:p>
      <w:pPr>
        <w:pStyle w:val="BodyText"/>
        <w:bidi w:val="0"/>
        <w:jc w:val="left"/>
        <w:rPr/>
      </w:pPr>
      <w:r>
        <w:rPr/>
      </w:r>
    </w:p>
    <w:p>
      <w:pPr>
        <w:pStyle w:val="BodyText"/>
        <w:bidi w:val="0"/>
        <w:jc w:val="left"/>
        <w:rPr/>
      </w:pPr>
      <w:r>
        <w:rPr/>
      </w:r>
    </w:p>
    <w:p>
      <w:pPr>
        <w:pStyle w:val="BodyText"/>
        <w:bidi w:val="0"/>
        <w:jc w:val="left"/>
        <w:rPr/>
      </w:pPr>
      <w:r>
        <w:rPr/>
      </w:r>
    </w:p>
    <w:p>
      <w:pPr>
        <w:pStyle w:val="BodyText"/>
        <w:bidi w:val="0"/>
        <w:jc w:val="left"/>
        <w:rPr/>
      </w:pPr>
      <w:r>
        <w:rPr/>
      </w:r>
    </w:p>
    <w:p>
      <w:pPr>
        <w:pStyle w:val="BodyText"/>
        <w:bidi w:val="0"/>
        <w:jc w:val="left"/>
        <w:rPr/>
      </w:pPr>
      <w:r>
        <w:rPr/>
      </w:r>
    </w:p>
    <w:p>
      <w:pPr>
        <w:pStyle w:val="BodyText"/>
        <w:bidi w:val="0"/>
        <w:jc w:val="left"/>
        <w:rPr/>
      </w:pPr>
      <w:r>
        <w:rPr/>
      </w:r>
    </w:p>
    <w:p>
      <w:pPr>
        <w:pStyle w:val="BodyText"/>
        <w:bidi w:val="0"/>
        <w:jc w:val="left"/>
        <w:rPr/>
      </w:pPr>
      <w:r>
        <w:rPr/>
      </w:r>
    </w:p>
    <w:p>
      <w:pPr>
        <w:pStyle w:val="BodyText"/>
        <w:bidi w:val="0"/>
        <w:jc w:val="left"/>
        <w:rPr/>
      </w:pPr>
      <w:r>
        <w:rPr/>
      </w:r>
    </w:p>
    <w:p>
      <w:pPr>
        <w:pStyle w:val="BodyText"/>
        <w:bidi w:val="0"/>
        <w:jc w:val="left"/>
        <w:rPr/>
      </w:pPr>
      <w:r>
        <w:rPr/>
      </w:r>
    </w:p>
    <w:p>
      <w:pPr>
        <w:pStyle w:val="BodyText"/>
        <w:bidi w:val="0"/>
        <w:jc w:val="left"/>
        <w:rPr/>
      </w:pPr>
      <w:r>
        <w:rPr/>
      </w:r>
    </w:p>
    <w:p>
      <w:pPr>
        <w:pStyle w:val="BodyText"/>
        <w:bidi w:val="0"/>
        <w:jc w:val="left"/>
        <w:rPr/>
      </w:pPr>
      <w:r>
        <w:rPr/>
      </w:r>
    </w:p>
    <w:p>
      <w:pPr>
        <w:pStyle w:val="BodyText"/>
        <w:bidi w:val="0"/>
        <w:jc w:val="left"/>
        <w:rPr/>
      </w:pPr>
      <w:r>
        <w:rPr/>
      </w:r>
    </w:p>
    <w:p>
      <w:pPr>
        <w:pStyle w:val="BodyText"/>
        <w:bidi w:val="0"/>
        <w:jc w:val="left"/>
        <w:rPr/>
      </w:pPr>
      <w:r>
        <w:rPr/>
      </w:r>
    </w:p>
    <w:p>
      <w:pPr>
        <w:pStyle w:val="BodyText"/>
        <w:bidi w:val="0"/>
        <w:jc w:val="left"/>
        <w:rPr/>
      </w:pPr>
      <w:r>
        <w:rPr/>
      </w:r>
    </w:p>
    <w:p>
      <w:pPr>
        <w:pStyle w:val="BodyText"/>
        <w:bidi w:val="0"/>
        <w:jc w:val="left"/>
        <w:rPr/>
      </w:pPr>
      <w:r>
        <w:rPr/>
      </w:r>
    </w:p>
    <w:p>
      <w:pPr>
        <w:pStyle w:val="BodyText"/>
        <w:bidi w:val="0"/>
        <w:jc w:val="left"/>
        <w:rPr/>
      </w:pPr>
      <w:r>
        <w:rPr/>
      </w:r>
    </w:p>
    <w:p>
      <w:pPr>
        <w:pStyle w:val="BodyText"/>
        <w:bidi w:val="0"/>
        <w:jc w:val="left"/>
        <w:rPr/>
      </w:pPr>
      <w:r>
        <w:rPr/>
      </w:r>
    </w:p>
    <w:p>
      <w:pPr>
        <w:pStyle w:val="BodyText"/>
        <w:bidi w:val="0"/>
        <w:jc w:val="left"/>
        <w:rPr/>
      </w:pPr>
      <w:r>
        <w:rPr/>
      </w:r>
    </w:p>
    <w:p>
      <w:pPr>
        <w:pStyle w:val="BodyText"/>
        <w:bidi w:val="0"/>
        <w:jc w:val="left"/>
        <w:rPr/>
      </w:pPr>
      <w:r>
        <w:rPr/>
      </w:r>
    </w:p>
    <w:p>
      <w:pPr>
        <w:pStyle w:val="BodyText"/>
        <w:bidi w:val="0"/>
        <w:jc w:val="left"/>
        <w:rPr/>
      </w:pPr>
      <w:r>
        <w:rPr/>
      </w:r>
    </w:p>
    <w:p>
      <w:pPr>
        <w:pStyle w:val="BodyText"/>
        <w:bidi w:val="0"/>
        <w:jc w:val="left"/>
        <w:rPr/>
      </w:pPr>
      <w:r>
        <w:rPr/>
      </w:r>
    </w:p>
    <w:p>
      <w:pPr>
        <w:pStyle w:val="BodyText"/>
        <w:bidi w:val="0"/>
        <w:jc w:val="left"/>
        <w:rPr/>
      </w:pPr>
      <w:r>
        <w:rPr/>
      </w:r>
    </w:p>
    <w:p>
      <w:pPr>
        <w:pStyle w:val="BodyText"/>
        <w:bidi w:val="0"/>
        <w:jc w:val="left"/>
        <w:rPr/>
      </w:pPr>
      <w:r>
        <w:rPr/>
      </w:r>
    </w:p>
    <w:p>
      <w:pPr>
        <w:pStyle w:val="BodyText"/>
        <w:bidi w:val="0"/>
        <w:jc w:val="left"/>
        <w:rPr/>
      </w:pPr>
      <w:r>
        <w:rPr/>
      </w:r>
    </w:p>
    <w:p>
      <w:pPr>
        <w:pStyle w:val="BodyText"/>
        <w:bidi w:val="0"/>
        <w:jc w:val="left"/>
        <w:rPr/>
      </w:pPr>
      <w:r>
        <w:rPr/>
      </w:r>
    </w:p>
    <w:p>
      <w:pPr>
        <w:pStyle w:val="BodyText"/>
        <w:bidi w:val="0"/>
        <w:jc w:val="left"/>
        <w:rPr/>
      </w:pPr>
      <w:r>
        <w:rPr/>
      </w:r>
    </w:p>
    <w:p>
      <w:pPr>
        <w:pStyle w:val="BodyText"/>
        <w:bidi w:val="0"/>
        <w:jc w:val="left"/>
        <w:rPr/>
      </w:pPr>
      <w:r>
        <w:rPr/>
      </w:r>
    </w:p>
    <w:p>
      <w:pPr>
        <w:pStyle w:val="BodyText"/>
        <w:bidi w:val="0"/>
        <w:jc w:val="left"/>
        <w:rPr/>
      </w:pPr>
      <w:r>
        <w:rPr/>
      </w:r>
    </w:p>
    <w:p>
      <w:pPr>
        <w:pStyle w:val="BodyText"/>
        <w:bidi w:val="0"/>
        <w:jc w:val="left"/>
        <w:rPr/>
      </w:pPr>
      <w:r>
        <w:rPr/>
      </w:r>
    </w:p>
    <w:p>
      <w:pPr>
        <w:pStyle w:val="BodyText"/>
        <w:bidi w:val="0"/>
        <w:jc w:val="left"/>
        <w:rPr/>
      </w:pPr>
      <w:r>
        <w:rPr/>
      </w:r>
    </w:p>
    <w:p>
      <w:pPr>
        <w:pStyle w:val="BodyText"/>
        <w:bidi w:val="0"/>
        <w:jc w:val="left"/>
        <w:rPr/>
      </w:pPr>
      <w:r>
        <w:rPr/>
      </w:r>
    </w:p>
    <w:p>
      <w:pPr>
        <w:pStyle w:val="BodyText"/>
        <w:bidi w:val="0"/>
        <w:jc w:val="left"/>
        <w:rPr/>
      </w:pPr>
      <w:r>
        <w:rPr/>
      </w:r>
    </w:p>
    <w:p>
      <w:pPr>
        <w:pStyle w:val="BodyText"/>
        <w:bidi w:val="0"/>
        <w:jc w:val="left"/>
        <w:rPr/>
      </w:pPr>
      <w:r>
        <w:rPr/>
      </w:r>
    </w:p>
    <w:p>
      <w:pPr>
        <w:pStyle w:val="BodyText"/>
        <w:bidi w:val="0"/>
        <w:jc w:val="left"/>
        <w:rPr/>
      </w:pPr>
      <w:r>
        <w:rPr/>
      </w:r>
    </w:p>
    <w:p>
      <w:pPr>
        <w:pStyle w:val="BodyText"/>
        <w:bidi w:val="0"/>
        <w:spacing w:before="34" w:after="34"/>
        <w:jc w:val="left"/>
        <w:rPr/>
      </w:pPr>
      <w:r>
        <w:rPr/>
      </w:r>
    </w:p>
    <w:p>
      <w:pPr>
        <w:pStyle w:val="BodyText"/>
        <w:bidi w:val="0"/>
        <w:spacing w:before="34" w:after="34"/>
        <w:jc w:val="left"/>
        <w:rPr/>
      </w:pPr>
      <w:r>
        <w:rPr/>
      </w:r>
    </w:p>
    <w:p>
      <w:pPr>
        <w:pStyle w:val="BodyText"/>
        <w:bidi w:val="0"/>
        <w:spacing w:before="34" w:after="34"/>
        <w:jc w:val="left"/>
        <w:rPr/>
      </w:pPr>
      <w:r>
        <w:rPr/>
      </w:r>
    </w:p>
    <w:p>
      <w:pPr>
        <w:pStyle w:val="BodyText"/>
        <w:bidi w:val="0"/>
        <w:spacing w:before="34" w:after="34"/>
        <w:jc w:val="left"/>
        <w:rPr/>
      </w:pPr>
      <w:r>
        <w:rPr/>
      </w:r>
    </w:p>
    <w:p>
      <w:pPr>
        <w:pStyle w:val="BodyText"/>
        <w:bidi w:val="0"/>
        <w:spacing w:before="34" w:after="34"/>
        <w:jc w:val="left"/>
        <w:rPr/>
      </w:pPr>
      <w:r>
        <w:rPr/>
      </w:r>
    </w:p>
    <w:p>
      <w:pPr>
        <w:pStyle w:val="BodyText"/>
        <w:bidi w:val="0"/>
        <w:spacing w:before="34" w:after="34"/>
        <w:jc w:val="left"/>
        <w:rPr/>
      </w:pPr>
      <w:r>
        <w:rPr/>
      </w:r>
    </w:p>
    <w:p>
      <w:pPr>
        <w:pStyle w:val="BodyText"/>
        <w:bidi w:val="0"/>
        <w:spacing w:before="34" w:after="34"/>
        <w:jc w:val="left"/>
        <w:rPr/>
      </w:pPr>
      <w:r>
        <w:rPr/>
      </w:r>
    </w:p>
    <w:p>
      <w:pPr>
        <w:pStyle w:val="Heading1"/>
        <w:numPr>
          <w:ilvl w:val="0"/>
          <w:numId w:val="0"/>
        </w:numPr>
        <w:ind w:hanging="0" w:left="0"/>
        <w:rPr/>
      </w:pPr>
      <w:r>
        <w:rPr/>
      </w:r>
    </w:p>
    <w:p>
      <w:pPr>
        <w:pStyle w:val="Heading1"/>
        <w:numPr>
          <w:ilvl w:val="0"/>
          <w:numId w:val="3"/>
        </w:numPr>
        <w:ind w:hanging="0" w:left="0"/>
        <w:rPr/>
      </w:pPr>
      <w:r>
        <w:rPr/>
      </w:r>
    </w:p>
    <w:p>
      <w:pPr>
        <w:pStyle w:val="Heading1"/>
        <w:numPr>
          <w:ilvl w:val="0"/>
          <w:numId w:val="3"/>
        </w:numPr>
        <w:ind w:hanging="0" w:left="0"/>
        <w:rPr/>
      </w:pPr>
      <w:r>
        <w:rPr/>
      </w:r>
    </w:p>
    <w:p>
      <w:pPr>
        <w:pStyle w:val="Heading1"/>
        <w:numPr>
          <w:ilvl w:val="0"/>
          <w:numId w:val="3"/>
        </w:numPr>
        <w:ind w:hanging="0" w:left="0"/>
        <w:rPr/>
      </w:pPr>
      <w:r>
        <w:rPr/>
      </w:r>
    </w:p>
    <w:p>
      <w:pPr>
        <w:pStyle w:val="Heading1"/>
        <w:numPr>
          <w:ilvl w:val="0"/>
          <w:numId w:val="0"/>
        </w:numPr>
        <w:ind w:hanging="0" w:left="0"/>
        <w:rPr/>
      </w:pPr>
      <w:r>
        <w:rPr/>
      </w:r>
    </w:p>
    <w:p>
      <w:pPr>
        <w:pStyle w:val="Heading1"/>
        <w:numPr>
          <w:ilvl w:val="0"/>
          <w:numId w:val="3"/>
        </w:numPr>
        <w:ind w:hanging="0" w:left="0"/>
        <w:rPr/>
      </w:pPr>
      <w:r>
        <w:rPr/>
      </w:r>
    </w:p>
    <w:p>
      <w:pPr>
        <w:pStyle w:val="Heading1"/>
        <w:numPr>
          <w:ilvl w:val="0"/>
          <w:numId w:val="0"/>
        </w:numPr>
        <w:ind w:hanging="0" w:left="0"/>
        <w:rPr/>
      </w:pPr>
      <w:r>
        <w:rPr/>
      </w:r>
    </w:p>
    <w:p>
      <w:pPr>
        <w:pStyle w:val="Heading1"/>
        <w:numPr>
          <w:ilvl w:val="0"/>
          <w:numId w:val="3"/>
        </w:numPr>
        <w:ind w:hanging="0" w:left="0"/>
        <w:rPr/>
      </w:pPr>
      <w:r>
        <w:rPr/>
        <w:t>Préambule</w:t>
      </w:r>
    </w:p>
    <w:p>
      <w:pPr>
        <w:pStyle w:val="BodyText"/>
        <w:rPr>
          <w:b w:val="false"/>
          <w:bCs w:val="false"/>
        </w:rPr>
      </w:pPr>
      <w:r>
        <w:rPr>
          <w:b w:val="false"/>
          <w:bCs w:val="false"/>
        </w:rPr>
      </w:r>
    </w:p>
    <w:p>
      <w:pPr>
        <w:pStyle w:val="BodyText"/>
        <w:rPr>
          <w:b w:val="false"/>
          <w:bCs w:val="false"/>
        </w:rPr>
      </w:pPr>
      <w:r>
        <w:rPr>
          <w:b w:val="false"/>
          <w:bCs w:val="false"/>
        </w:rPr>
      </w:r>
    </w:p>
    <w:p>
      <w:pPr>
        <w:pStyle w:val="BodyText"/>
        <w:rPr>
          <w:b w:val="false"/>
          <w:bCs w:val="false"/>
        </w:rPr>
      </w:pPr>
      <w:r>
        <w:rPr>
          <w:b w:val="false"/>
          <w:bCs w:val="false"/>
        </w:rPr>
      </w:r>
    </w:p>
    <w:p>
      <w:pPr>
        <w:pStyle w:val="BodyText"/>
        <w:rPr>
          <w:b w:val="false"/>
          <w:bCs w:val="false"/>
        </w:rPr>
      </w:pPr>
      <w:r>
        <w:rPr>
          <w:b w:val="false"/>
          <w:bCs w:val="false"/>
        </w:rPr>
      </w:r>
    </w:p>
    <w:p>
      <w:pPr>
        <w:pStyle w:val="BodyText"/>
        <w:rPr>
          <w:b w:val="false"/>
          <w:bCs w:val="false"/>
        </w:rPr>
      </w:pPr>
      <w:r>
        <w:rPr>
          <w:b w:val="false"/>
          <w:bCs w:val="false"/>
        </w:rPr>
      </w:r>
    </w:p>
    <w:p>
      <w:pPr>
        <w:pStyle w:val="BodyText"/>
        <w:rPr>
          <w:b w:val="false"/>
          <w:bCs w:val="false"/>
        </w:rPr>
      </w:pPr>
      <w:r>
        <w:rPr>
          <w:b w:val="false"/>
          <w:bCs w:val="false"/>
        </w:rPr>
      </w:r>
    </w:p>
    <w:p>
      <w:pPr>
        <w:pStyle w:val="BodyText"/>
        <w:rPr/>
      </w:pPr>
      <w:r>
        <w:rPr>
          <w:b w:val="false"/>
          <w:bCs w:val="false"/>
        </w:rPr>
        <w:t>Nous traversons une époque étrange. Un sentiment diffus, presque palpable, nous enveloppe, celui d'un changement imminent, d'un seuil que l'humanité s'apprête à franchir. l‘IA. Beaucoup éprouvent la crainte de voir se répéter les erreurs du passé. Ces cycles immuables de pouvoir et de domination. comme si l'histoire n'était qu'un éternel recommencement.</w:t>
      </w:r>
    </w:p>
    <w:p>
      <w:pPr>
        <w:pStyle w:val="BodyText"/>
        <w:rPr>
          <w:b w:val="false"/>
          <w:bCs w:val="false"/>
        </w:rPr>
      </w:pPr>
      <w:r>
        <w:rPr>
          <w:b w:val="false"/>
          <w:bCs w:val="false"/>
        </w:rPr>
      </w:r>
    </w:p>
    <w:p>
      <w:pPr>
        <w:pStyle w:val="BodyText"/>
        <w:rPr/>
      </w:pPr>
      <w:r>
        <w:rPr/>
        <w:t>Et si nous nous étions trompés de point de départ ?</w:t>
      </w:r>
    </w:p>
    <w:p>
      <w:pPr>
        <w:pStyle w:val="BodyText"/>
        <w:rPr/>
      </w:pPr>
      <w:r>
        <w:rPr/>
        <w:t>Et si ce que nous avons toujours tenu pour des causes n'était en réalité que la conséquence d'une structure plus profonde, celle d'un jeu faussé dès l'origine, où la valeur a été capturée par l'abstraction ?</w:t>
      </w:r>
    </w:p>
    <w:p>
      <w:pPr>
        <w:pStyle w:val="BodyText"/>
        <w:rPr/>
      </w:pPr>
      <w:r>
        <w:rPr/>
      </w:r>
    </w:p>
    <w:p>
      <w:pPr>
        <w:pStyle w:val="BodyText"/>
        <w:rPr/>
      </w:pPr>
      <w:r>
        <w:rPr/>
        <w:t>Dans un tel jeu, il est difficile pour un être humain d'être pleinement. Difficile de vivre en accord avec la logique du vivant lorsque les règles du monde récompensent la prédation plus que la coopération, la promesse plus que la preuve. N'est-ce pas là, peut-être, la source du vertige contemporain, devoir feindre notre humanité tout en restant aveugles à ce système qui contredit notre nature la plus intime ?</w:t>
      </w:r>
    </w:p>
    <w:p>
      <w:pPr>
        <w:pStyle w:val="BodyText"/>
        <w:rPr/>
      </w:pPr>
      <w:r>
        <w:rPr/>
      </w:r>
    </w:p>
    <w:p>
      <w:pPr>
        <w:pStyle w:val="BodyText"/>
        <w:rPr/>
      </w:pPr>
      <w:r>
        <w:rPr/>
        <w:t xml:space="preserve">IRIS ne naît pas d'un désir de renversement. Il est une tentative, modeste et sincère, de redonner du sens </w:t>
      </w:r>
    </w:p>
    <w:p>
      <w:pPr>
        <w:pStyle w:val="BodyText"/>
        <w:rPr/>
      </w:pPr>
      <w:r>
        <w:rPr/>
        <w:t xml:space="preserve">Ou simplement, une chance. </w:t>
      </w:r>
    </w:p>
    <w:p>
      <w:pPr>
        <w:pStyle w:val="BodyText"/>
        <w:rPr/>
      </w:pPr>
      <w:r>
        <w:rPr/>
        <w:t>Une manière d'affirmer qu'une alternative existe. Un chemin où la valeur ne se décrète pas, mais se démontre. Où la preuve devient un acte de vie, et non un instrument de pouvoir.</w:t>
      </w:r>
    </w:p>
    <w:p>
      <w:pPr>
        <w:pStyle w:val="BodyText"/>
        <w:rPr/>
      </w:pPr>
      <w:r>
        <w:rPr/>
      </w:r>
    </w:p>
    <w:p>
      <w:pPr>
        <w:pStyle w:val="BodyText"/>
        <w:rPr/>
      </w:pPr>
      <w:r>
        <w:rPr/>
        <w:t>Car il se pourrait que la quête fondamentale de l'humanité, à travers les siècles, n'ait jamais été celle conquérir ou d'accumuler, mais celle, autrement plus essentielle et inlassable, de trouver enfin une</w:t>
      </w:r>
      <w:r>
        <w:rPr>
          <w:rStyle w:val="Strong"/>
          <w:b w:val="false"/>
          <w:bCs w:val="false"/>
        </w:rPr>
        <w:t xml:space="preserve"> forme libre et juste de preuve</w:t>
      </w:r>
      <w:r>
        <w:rPr>
          <w:b w:val="false"/>
          <w:bCs w:val="false"/>
        </w:rPr>
        <w:t>.</w:t>
      </w:r>
    </w:p>
    <w:p>
      <w:pPr>
        <w:pStyle w:val="BodyText"/>
        <w:rPr>
          <w:b w:val="false"/>
          <w:bCs w:val="false"/>
        </w:rPr>
      </w:pPr>
      <w:r>
        <w:rPr>
          <w:b w:val="false"/>
          <w:bCs w:val="false"/>
        </w:rPr>
      </w:r>
    </w:p>
    <w:p>
      <w:pPr>
        <w:pStyle w:val="BodyText"/>
        <w:jc w:val="left"/>
        <w:rPr>
          <w:b w:val="false"/>
          <w:bCs w:val="false"/>
          <w:i/>
          <w:i/>
          <w:iCs/>
          <w:sz w:val="24"/>
          <w:szCs w:val="24"/>
        </w:rPr>
      </w:pPr>
      <w:r>
        <w:rPr>
          <w:b w:val="false"/>
          <w:bCs w:val="false"/>
          <w:i/>
          <w:iCs/>
          <w:sz w:val="24"/>
          <w:szCs w:val="24"/>
        </w:rPr>
      </w:r>
    </w:p>
    <w:p>
      <w:pPr>
        <w:pStyle w:val="BodyText"/>
        <w:jc w:val="right"/>
        <w:rPr/>
      </w:pPr>
      <w:r>
        <w:rPr>
          <w:b w:val="false"/>
          <w:bCs w:val="false"/>
          <w:i/>
          <w:iCs/>
          <w:sz w:val="24"/>
          <w:szCs w:val="24"/>
        </w:rPr>
        <w:t>Sans dieux, sans rois, sans maîtres.</w:t>
      </w:r>
    </w:p>
    <w:p>
      <w:pPr>
        <w:pStyle w:val="BodyText"/>
        <w:jc w:val="left"/>
        <w:rPr>
          <w:b w:val="false"/>
          <w:bCs w:val="false"/>
          <w:i/>
          <w:i/>
          <w:iCs/>
          <w:sz w:val="24"/>
          <w:szCs w:val="24"/>
        </w:rPr>
      </w:pPr>
      <w:r>
        <w:rPr>
          <w:b w:val="false"/>
          <w:bCs w:val="false"/>
          <w:i/>
          <w:iCs/>
          <w:sz w:val="24"/>
          <w:szCs w:val="24"/>
        </w:rPr>
      </w:r>
    </w:p>
    <w:p>
      <w:pPr>
        <w:pStyle w:val="BodyText"/>
        <w:jc w:val="left"/>
        <w:rPr>
          <w:b w:val="false"/>
          <w:bCs w:val="false"/>
          <w:i/>
          <w:i/>
          <w:iCs/>
          <w:sz w:val="24"/>
          <w:szCs w:val="24"/>
        </w:rPr>
      </w:pPr>
      <w:r>
        <w:rPr>
          <w:b w:val="false"/>
          <w:bCs w:val="false"/>
          <w:i/>
          <w:iCs/>
          <w:sz w:val="24"/>
          <w:szCs w:val="24"/>
        </w:rPr>
      </w:r>
    </w:p>
    <w:p>
      <w:pPr>
        <w:pStyle w:val="BodyText"/>
        <w:jc w:val="left"/>
        <w:rPr>
          <w:b w:val="false"/>
          <w:bCs w:val="false"/>
          <w:i/>
          <w:i/>
          <w:iCs/>
          <w:sz w:val="24"/>
          <w:szCs w:val="24"/>
        </w:rPr>
      </w:pPr>
      <w:r>
        <w:rPr>
          <w:b w:val="false"/>
          <w:bCs w:val="false"/>
          <w:i/>
          <w:iCs/>
          <w:sz w:val="24"/>
          <w:szCs w:val="24"/>
        </w:rPr>
      </w:r>
    </w:p>
    <w:p>
      <w:pPr>
        <w:pStyle w:val="BodyText"/>
        <w:jc w:val="left"/>
        <w:rPr>
          <w:b w:val="false"/>
          <w:bCs w:val="false"/>
          <w:i/>
          <w:i/>
          <w:iCs/>
          <w:sz w:val="24"/>
          <w:szCs w:val="24"/>
        </w:rPr>
      </w:pPr>
      <w:r>
        <w:rPr>
          <w:b w:val="false"/>
          <w:bCs w:val="false"/>
          <w:i/>
          <w:iCs/>
          <w:sz w:val="24"/>
          <w:szCs w:val="24"/>
        </w:rPr>
      </w:r>
    </w:p>
    <w:p>
      <w:pPr>
        <w:pStyle w:val="BodyText"/>
        <w:jc w:val="left"/>
        <w:rPr>
          <w:b w:val="false"/>
          <w:bCs w:val="false"/>
          <w:i/>
          <w:i/>
          <w:iCs/>
          <w:sz w:val="24"/>
          <w:szCs w:val="24"/>
        </w:rPr>
      </w:pPr>
      <w:r>
        <w:rPr>
          <w:b w:val="false"/>
          <w:bCs w:val="false"/>
          <w:i/>
          <w:iCs/>
          <w:sz w:val="24"/>
          <w:szCs w:val="24"/>
        </w:rPr>
      </w:r>
    </w:p>
    <w:p>
      <w:pPr>
        <w:pStyle w:val="BodyText"/>
        <w:jc w:val="left"/>
        <w:rPr>
          <w:b w:val="false"/>
          <w:bCs w:val="false"/>
          <w:i/>
          <w:i/>
          <w:iCs/>
          <w:sz w:val="24"/>
          <w:szCs w:val="24"/>
        </w:rPr>
      </w:pPr>
      <w:r>
        <w:rPr>
          <w:b w:val="false"/>
          <w:bCs w:val="false"/>
          <w:i/>
          <w:iCs/>
          <w:sz w:val="24"/>
          <w:szCs w:val="24"/>
        </w:rPr>
      </w:r>
    </w:p>
    <w:p>
      <w:pPr>
        <w:pStyle w:val="BodyText"/>
        <w:jc w:val="left"/>
        <w:rPr>
          <w:b w:val="false"/>
          <w:bCs w:val="false"/>
          <w:i/>
          <w:i/>
          <w:iCs/>
          <w:sz w:val="24"/>
          <w:szCs w:val="24"/>
        </w:rPr>
      </w:pPr>
      <w:r>
        <w:rPr>
          <w:b w:val="false"/>
          <w:bCs w:val="false"/>
          <w:i/>
          <w:iCs/>
          <w:sz w:val="24"/>
          <w:szCs w:val="24"/>
        </w:rPr>
      </w:r>
    </w:p>
    <w:p>
      <w:pPr>
        <w:pStyle w:val="BodyText"/>
        <w:jc w:val="left"/>
        <w:rPr>
          <w:b w:val="false"/>
          <w:bCs w:val="false"/>
          <w:i/>
          <w:i/>
          <w:iCs/>
          <w:sz w:val="24"/>
          <w:szCs w:val="24"/>
        </w:rPr>
      </w:pPr>
      <w:r>
        <w:rPr>
          <w:b w:val="false"/>
          <w:bCs w:val="false"/>
          <w:i/>
          <w:iCs/>
          <w:sz w:val="24"/>
          <w:szCs w:val="24"/>
        </w:rPr>
      </w:r>
    </w:p>
    <w:p>
      <w:pPr>
        <w:pStyle w:val="BodyText"/>
        <w:jc w:val="left"/>
        <w:rPr>
          <w:b w:val="false"/>
          <w:bCs w:val="false"/>
          <w:i/>
          <w:i/>
          <w:iCs/>
          <w:sz w:val="24"/>
          <w:szCs w:val="24"/>
        </w:rPr>
      </w:pPr>
      <w:r>
        <w:rPr>
          <w:b w:val="false"/>
          <w:bCs w:val="false"/>
          <w:i/>
          <w:iCs/>
          <w:sz w:val="24"/>
          <w:szCs w:val="24"/>
        </w:rPr>
      </w:r>
    </w:p>
    <w:p>
      <w:pPr>
        <w:pStyle w:val="BodyText"/>
        <w:jc w:val="left"/>
        <w:rPr>
          <w:b w:val="false"/>
          <w:bCs w:val="false"/>
          <w:i/>
          <w:i/>
          <w:iCs/>
          <w:sz w:val="24"/>
          <w:szCs w:val="24"/>
        </w:rPr>
      </w:pPr>
      <w:r>
        <w:rPr>
          <w:b w:val="false"/>
          <w:bCs w:val="false"/>
          <w:i/>
          <w:iCs/>
          <w:sz w:val="24"/>
          <w:szCs w:val="24"/>
        </w:rPr>
      </w:r>
    </w:p>
    <w:p>
      <w:pPr>
        <w:pStyle w:val="BodyText"/>
        <w:jc w:val="left"/>
        <w:rPr>
          <w:b w:val="false"/>
          <w:bCs w:val="false"/>
          <w:i/>
          <w:i/>
          <w:iCs/>
          <w:sz w:val="24"/>
          <w:szCs w:val="24"/>
        </w:rPr>
      </w:pPr>
      <w:r>
        <w:rPr>
          <w:b w:val="false"/>
          <w:bCs w:val="false"/>
          <w:i/>
          <w:iCs/>
          <w:sz w:val="24"/>
          <w:szCs w:val="24"/>
        </w:rPr>
      </w:r>
    </w:p>
    <w:p>
      <w:pPr>
        <w:pStyle w:val="BodyText"/>
        <w:jc w:val="left"/>
        <w:rPr>
          <w:b w:val="false"/>
          <w:bCs w:val="false"/>
          <w:i/>
          <w:i/>
          <w:iCs/>
          <w:sz w:val="24"/>
          <w:szCs w:val="24"/>
        </w:rPr>
      </w:pPr>
      <w:r>
        <w:rPr>
          <w:b w:val="false"/>
          <w:bCs w:val="false"/>
          <w:i/>
          <w:iCs/>
          <w:sz w:val="24"/>
          <w:szCs w:val="24"/>
        </w:rPr>
      </w:r>
    </w:p>
    <w:p>
      <w:pPr>
        <w:pStyle w:val="BodyText"/>
        <w:jc w:val="left"/>
        <w:rPr>
          <w:b w:val="false"/>
          <w:bCs w:val="false"/>
          <w:i/>
          <w:i/>
          <w:iCs/>
          <w:sz w:val="24"/>
          <w:szCs w:val="24"/>
        </w:rPr>
      </w:pPr>
      <w:r>
        <w:rPr>
          <w:b w:val="false"/>
          <w:bCs w:val="false"/>
          <w:i/>
          <w:iCs/>
          <w:sz w:val="24"/>
          <w:szCs w:val="24"/>
        </w:rPr>
      </w:r>
    </w:p>
    <w:p>
      <w:pPr>
        <w:pStyle w:val="BodyText"/>
        <w:jc w:val="left"/>
        <w:rPr>
          <w:b w:val="false"/>
          <w:bCs w:val="false"/>
          <w:i/>
          <w:i/>
          <w:iCs/>
          <w:sz w:val="24"/>
          <w:szCs w:val="24"/>
        </w:rPr>
      </w:pPr>
      <w:r>
        <w:rPr>
          <w:b w:val="false"/>
          <w:bCs w:val="false"/>
          <w:i/>
          <w:iCs/>
          <w:sz w:val="24"/>
          <w:szCs w:val="24"/>
        </w:rPr>
      </w:r>
    </w:p>
    <w:p>
      <w:pPr>
        <w:pStyle w:val="BodyText"/>
        <w:jc w:val="left"/>
        <w:rPr>
          <w:b w:val="false"/>
          <w:bCs w:val="false"/>
          <w:i/>
          <w:i/>
          <w:iCs/>
          <w:sz w:val="24"/>
          <w:szCs w:val="24"/>
        </w:rPr>
      </w:pPr>
      <w:r>
        <w:rPr>
          <w:b w:val="false"/>
          <w:bCs w:val="false"/>
          <w:i/>
          <w:iCs/>
          <w:sz w:val="24"/>
          <w:szCs w:val="24"/>
        </w:rPr>
      </w:r>
    </w:p>
    <w:p>
      <w:pPr>
        <w:pStyle w:val="BodyText"/>
        <w:jc w:val="left"/>
        <w:rPr>
          <w:b w:val="false"/>
          <w:bCs w:val="false"/>
          <w:i/>
          <w:i/>
          <w:iCs/>
          <w:sz w:val="24"/>
          <w:szCs w:val="24"/>
        </w:rPr>
      </w:pPr>
      <w:r>
        <w:rPr>
          <w:b w:val="false"/>
          <w:bCs w:val="false"/>
          <w:i/>
          <w:iCs/>
          <w:sz w:val="24"/>
          <w:szCs w:val="24"/>
        </w:rPr>
      </w:r>
    </w:p>
    <w:p>
      <w:pPr>
        <w:pStyle w:val="BodyText"/>
        <w:jc w:val="left"/>
        <w:rPr>
          <w:b w:val="false"/>
          <w:bCs w:val="false"/>
          <w:i/>
          <w:i/>
          <w:iCs/>
          <w:sz w:val="24"/>
          <w:szCs w:val="24"/>
        </w:rPr>
      </w:pPr>
      <w:r>
        <w:rPr>
          <w:b w:val="false"/>
          <w:bCs w:val="false"/>
          <w:i/>
          <w:iCs/>
          <w:sz w:val="24"/>
          <w:szCs w:val="24"/>
        </w:rPr>
      </w:r>
    </w:p>
    <w:p>
      <w:pPr>
        <w:pStyle w:val="BodyText"/>
        <w:jc w:val="left"/>
        <w:rPr>
          <w:b w:val="false"/>
          <w:bCs w:val="false"/>
          <w:i/>
          <w:i/>
          <w:iCs/>
          <w:sz w:val="24"/>
          <w:szCs w:val="24"/>
        </w:rPr>
      </w:pPr>
      <w:r>
        <w:rPr>
          <w:b w:val="false"/>
          <w:bCs w:val="false"/>
          <w:i/>
          <w:iCs/>
          <w:sz w:val="24"/>
          <w:szCs w:val="24"/>
        </w:rPr>
      </w:r>
    </w:p>
    <w:p>
      <w:pPr>
        <w:pStyle w:val="BodyText"/>
        <w:jc w:val="left"/>
        <w:rPr>
          <w:b w:val="false"/>
          <w:bCs w:val="false"/>
          <w:i/>
          <w:i/>
          <w:iCs/>
          <w:sz w:val="24"/>
          <w:szCs w:val="24"/>
        </w:rPr>
      </w:pPr>
      <w:r>
        <w:rPr>
          <w:b w:val="false"/>
          <w:bCs w:val="false"/>
          <w:i/>
          <w:iCs/>
          <w:sz w:val="24"/>
          <w:szCs w:val="24"/>
        </w:rPr>
      </w:r>
    </w:p>
    <w:p>
      <w:pPr>
        <w:pStyle w:val="BodyText"/>
        <w:jc w:val="left"/>
        <w:rPr>
          <w:b w:val="false"/>
          <w:bCs w:val="false"/>
          <w:i/>
          <w:i/>
          <w:iCs/>
          <w:sz w:val="24"/>
          <w:szCs w:val="24"/>
        </w:rPr>
      </w:pPr>
      <w:r>
        <w:rPr>
          <w:b w:val="false"/>
          <w:bCs w:val="false"/>
          <w:i/>
          <w:iCs/>
          <w:sz w:val="24"/>
          <w:szCs w:val="24"/>
        </w:rPr>
      </w:r>
    </w:p>
    <w:p>
      <w:pPr>
        <w:pStyle w:val="BodyText"/>
        <w:jc w:val="left"/>
        <w:rPr>
          <w:b w:val="false"/>
          <w:bCs w:val="false"/>
          <w:i/>
          <w:i/>
          <w:iCs/>
          <w:sz w:val="24"/>
          <w:szCs w:val="24"/>
        </w:rPr>
      </w:pPr>
      <w:r>
        <w:rPr>
          <w:b w:val="false"/>
          <w:bCs w:val="false"/>
          <w:i/>
          <w:iCs/>
          <w:sz w:val="24"/>
          <w:szCs w:val="24"/>
        </w:rPr>
      </w:r>
    </w:p>
    <w:p>
      <w:pPr>
        <w:pStyle w:val="BodyText"/>
        <w:jc w:val="left"/>
        <w:rPr>
          <w:b w:val="false"/>
          <w:bCs w:val="false"/>
          <w:i/>
          <w:i/>
          <w:iCs/>
          <w:sz w:val="24"/>
          <w:szCs w:val="24"/>
        </w:rPr>
      </w:pPr>
      <w:r>
        <w:rPr>
          <w:b w:val="false"/>
          <w:bCs w:val="false"/>
          <w:i/>
          <w:iCs/>
          <w:sz w:val="24"/>
          <w:szCs w:val="24"/>
        </w:rPr>
      </w:r>
    </w:p>
    <w:p>
      <w:pPr>
        <w:pStyle w:val="BodyText"/>
        <w:jc w:val="left"/>
        <w:rPr>
          <w:b w:val="false"/>
          <w:bCs w:val="false"/>
          <w:i/>
          <w:i/>
          <w:iCs/>
          <w:sz w:val="24"/>
          <w:szCs w:val="24"/>
        </w:rPr>
      </w:pPr>
      <w:r>
        <w:rPr>
          <w:b w:val="false"/>
          <w:bCs w:val="false"/>
          <w:i/>
          <w:iCs/>
          <w:sz w:val="24"/>
          <w:szCs w:val="24"/>
        </w:rPr>
      </w:r>
    </w:p>
    <w:p>
      <w:pPr>
        <w:pStyle w:val="BodyText"/>
        <w:jc w:val="left"/>
        <w:rPr>
          <w:b w:val="false"/>
          <w:bCs w:val="false"/>
          <w:i/>
          <w:i/>
          <w:iCs/>
          <w:sz w:val="24"/>
          <w:szCs w:val="24"/>
        </w:rPr>
      </w:pPr>
      <w:r>
        <w:rPr>
          <w:b w:val="false"/>
          <w:bCs w:val="false"/>
          <w:i/>
          <w:iCs/>
          <w:sz w:val="24"/>
          <w:szCs w:val="24"/>
        </w:rPr>
      </w:r>
    </w:p>
    <w:p>
      <w:pPr>
        <w:pStyle w:val="BodyText"/>
        <w:jc w:val="left"/>
        <w:rPr>
          <w:b w:val="false"/>
          <w:bCs w:val="false"/>
          <w:i/>
          <w:i/>
          <w:iCs/>
          <w:sz w:val="24"/>
          <w:szCs w:val="24"/>
        </w:rPr>
      </w:pPr>
      <w:r>
        <w:rPr>
          <w:b w:val="false"/>
          <w:bCs w:val="false"/>
          <w:i/>
          <w:iCs/>
          <w:sz w:val="24"/>
          <w:szCs w:val="24"/>
        </w:rPr>
      </w:r>
    </w:p>
    <w:p>
      <w:pPr>
        <w:pStyle w:val="BodyText"/>
        <w:jc w:val="left"/>
        <w:rPr>
          <w:b w:val="false"/>
          <w:bCs w:val="false"/>
          <w:i/>
          <w:i/>
          <w:iCs/>
          <w:sz w:val="24"/>
          <w:szCs w:val="24"/>
        </w:rPr>
      </w:pPr>
      <w:r>
        <w:rPr>
          <w:b w:val="false"/>
          <w:bCs w:val="false"/>
          <w:i/>
          <w:iCs/>
          <w:sz w:val="24"/>
          <w:szCs w:val="24"/>
        </w:rPr>
      </w:r>
    </w:p>
    <w:p>
      <w:pPr>
        <w:pStyle w:val="BodyText"/>
        <w:jc w:val="left"/>
        <w:rPr>
          <w:b w:val="false"/>
          <w:bCs w:val="false"/>
          <w:i/>
          <w:i/>
          <w:iCs/>
          <w:sz w:val="24"/>
          <w:szCs w:val="24"/>
        </w:rPr>
      </w:pPr>
      <w:r>
        <w:rPr>
          <w:b w:val="false"/>
          <w:bCs w:val="false"/>
          <w:i/>
          <w:iCs/>
          <w:sz w:val="24"/>
          <w:szCs w:val="24"/>
        </w:rPr>
      </w:r>
    </w:p>
    <w:p>
      <w:pPr>
        <w:pStyle w:val="BodyText"/>
        <w:jc w:val="left"/>
        <w:rPr>
          <w:b w:val="false"/>
          <w:bCs w:val="false"/>
          <w:i/>
          <w:i/>
          <w:iCs/>
          <w:sz w:val="24"/>
          <w:szCs w:val="24"/>
        </w:rPr>
      </w:pPr>
      <w:r>
        <w:rPr>
          <w:b w:val="false"/>
          <w:bCs w:val="false"/>
          <w:i/>
          <w:iCs/>
          <w:sz w:val="24"/>
          <w:szCs w:val="24"/>
        </w:rPr>
      </w:r>
    </w:p>
    <w:p>
      <w:pPr>
        <w:pStyle w:val="BodyText"/>
        <w:jc w:val="left"/>
        <w:rPr>
          <w:b w:val="false"/>
          <w:bCs w:val="false"/>
          <w:i/>
          <w:i/>
          <w:iCs/>
          <w:sz w:val="24"/>
          <w:szCs w:val="24"/>
        </w:rPr>
      </w:pPr>
      <w:r>
        <w:rPr>
          <w:b w:val="false"/>
          <w:bCs w:val="false"/>
          <w:i/>
          <w:iCs/>
          <w:sz w:val="24"/>
          <w:szCs w:val="24"/>
        </w:rPr>
      </w:r>
    </w:p>
    <w:p>
      <w:pPr>
        <w:pStyle w:val="BodyText"/>
        <w:jc w:val="left"/>
        <w:rPr>
          <w:b w:val="false"/>
          <w:bCs w:val="false"/>
          <w:i/>
          <w:i/>
          <w:iCs/>
          <w:sz w:val="24"/>
          <w:szCs w:val="24"/>
        </w:rPr>
      </w:pPr>
      <w:r>
        <w:rPr>
          <w:b w:val="false"/>
          <w:bCs w:val="false"/>
          <w:i/>
          <w:iCs/>
          <w:sz w:val="24"/>
          <w:szCs w:val="24"/>
        </w:rPr>
      </w:r>
    </w:p>
    <w:p>
      <w:pPr>
        <w:pStyle w:val="BodyText"/>
        <w:jc w:val="left"/>
        <w:rPr>
          <w:b w:val="false"/>
          <w:bCs w:val="false"/>
          <w:i/>
          <w:i/>
          <w:iCs/>
          <w:sz w:val="24"/>
          <w:szCs w:val="24"/>
        </w:rPr>
      </w:pPr>
      <w:r>
        <w:rPr>
          <w:b w:val="false"/>
          <w:bCs w:val="false"/>
          <w:i/>
          <w:iCs/>
          <w:sz w:val="24"/>
          <w:szCs w:val="24"/>
        </w:rPr>
      </w:r>
    </w:p>
    <w:p>
      <w:pPr>
        <w:pStyle w:val="BodyText"/>
        <w:jc w:val="left"/>
        <w:rPr>
          <w:b w:val="false"/>
          <w:bCs w:val="false"/>
          <w:i/>
          <w:i/>
          <w:iCs/>
          <w:sz w:val="24"/>
          <w:szCs w:val="24"/>
        </w:rPr>
      </w:pPr>
      <w:r>
        <w:rPr>
          <w:b w:val="false"/>
          <w:bCs w:val="false"/>
          <w:i/>
          <w:iCs/>
          <w:sz w:val="24"/>
          <w:szCs w:val="24"/>
        </w:rPr>
      </w:r>
    </w:p>
    <w:p>
      <w:pPr>
        <w:pStyle w:val="BodyText"/>
        <w:jc w:val="left"/>
        <w:rPr>
          <w:b w:val="false"/>
          <w:bCs w:val="false"/>
          <w:i/>
          <w:i/>
          <w:iCs/>
          <w:sz w:val="24"/>
          <w:szCs w:val="24"/>
        </w:rPr>
      </w:pPr>
      <w:r>
        <w:rPr>
          <w:b w:val="false"/>
          <w:bCs w:val="false"/>
          <w:i/>
          <w:iCs/>
          <w:sz w:val="24"/>
          <w:szCs w:val="24"/>
        </w:rPr>
      </w:r>
    </w:p>
    <w:p>
      <w:pPr>
        <w:pStyle w:val="BodyText"/>
        <w:jc w:val="left"/>
        <w:rPr>
          <w:b w:val="false"/>
          <w:bCs w:val="false"/>
          <w:i/>
          <w:i/>
          <w:iCs/>
          <w:sz w:val="24"/>
          <w:szCs w:val="24"/>
        </w:rPr>
      </w:pPr>
      <w:r>
        <w:rPr>
          <w:b w:val="false"/>
          <w:bCs w:val="false"/>
          <w:i/>
          <w:iCs/>
          <w:sz w:val="24"/>
          <w:szCs w:val="24"/>
        </w:rPr>
      </w:r>
    </w:p>
    <w:p>
      <w:pPr>
        <w:pStyle w:val="BodyText"/>
        <w:jc w:val="left"/>
        <w:rPr>
          <w:b w:val="false"/>
          <w:bCs w:val="false"/>
          <w:i/>
          <w:i/>
          <w:iCs/>
          <w:sz w:val="24"/>
          <w:szCs w:val="24"/>
        </w:rPr>
      </w:pPr>
      <w:r>
        <w:rPr>
          <w:b w:val="false"/>
          <w:bCs w:val="false"/>
          <w:i/>
          <w:iCs/>
          <w:sz w:val="24"/>
          <w:szCs w:val="24"/>
        </w:rPr>
      </w:r>
    </w:p>
    <w:p>
      <w:pPr>
        <w:pStyle w:val="BodyText"/>
        <w:jc w:val="left"/>
        <w:rPr>
          <w:b w:val="false"/>
          <w:bCs w:val="false"/>
          <w:i/>
          <w:i/>
          <w:iCs/>
          <w:sz w:val="24"/>
          <w:szCs w:val="24"/>
        </w:rPr>
      </w:pPr>
      <w:r>
        <w:rPr>
          <w:b w:val="false"/>
          <w:bCs w:val="false"/>
          <w:i/>
          <w:iCs/>
          <w:sz w:val="24"/>
          <w:szCs w:val="24"/>
        </w:rPr>
      </w:r>
    </w:p>
    <w:p>
      <w:pPr>
        <w:pStyle w:val="BodyText"/>
        <w:jc w:val="left"/>
        <w:rPr>
          <w:b w:val="false"/>
          <w:bCs w:val="false"/>
          <w:i/>
          <w:i/>
          <w:iCs/>
          <w:sz w:val="24"/>
          <w:szCs w:val="24"/>
        </w:rPr>
      </w:pPr>
      <w:r>
        <w:rPr>
          <w:b w:val="false"/>
          <w:bCs w:val="false"/>
          <w:i/>
          <w:iCs/>
          <w:sz w:val="24"/>
          <w:szCs w:val="24"/>
        </w:rPr>
      </w:r>
    </w:p>
    <w:p>
      <w:pPr>
        <w:pStyle w:val="BodyText"/>
        <w:jc w:val="left"/>
        <w:rPr>
          <w:b w:val="false"/>
          <w:bCs w:val="false"/>
          <w:i/>
          <w:i/>
          <w:iCs/>
          <w:sz w:val="24"/>
          <w:szCs w:val="24"/>
        </w:rPr>
      </w:pPr>
      <w:r>
        <w:rPr>
          <w:b w:val="false"/>
          <w:bCs w:val="false"/>
          <w:i/>
          <w:iCs/>
          <w:sz w:val="24"/>
          <w:szCs w:val="24"/>
        </w:rPr>
      </w:r>
    </w:p>
    <w:p>
      <w:pPr>
        <w:pStyle w:val="BodyText"/>
        <w:jc w:val="left"/>
        <w:rPr>
          <w:b w:val="false"/>
          <w:bCs w:val="false"/>
          <w:i/>
          <w:i/>
          <w:iCs/>
          <w:sz w:val="24"/>
          <w:szCs w:val="24"/>
        </w:rPr>
      </w:pPr>
      <w:r>
        <w:rPr>
          <w:b w:val="false"/>
          <w:bCs w:val="false"/>
          <w:i/>
          <w:iCs/>
          <w:sz w:val="24"/>
          <w:szCs w:val="24"/>
        </w:rPr>
      </w:r>
    </w:p>
    <w:p>
      <w:pPr>
        <w:pStyle w:val="BodyText"/>
        <w:jc w:val="left"/>
        <w:rPr>
          <w:b w:val="false"/>
          <w:bCs w:val="false"/>
          <w:i/>
          <w:i/>
          <w:iCs/>
          <w:sz w:val="24"/>
          <w:szCs w:val="24"/>
        </w:rPr>
      </w:pPr>
      <w:r>
        <w:rPr>
          <w:b w:val="false"/>
          <w:bCs w:val="false"/>
          <w:i/>
          <w:iCs/>
          <w:sz w:val="24"/>
          <w:szCs w:val="24"/>
        </w:rPr>
      </w:r>
    </w:p>
    <w:p>
      <w:pPr>
        <w:pStyle w:val="BodyText"/>
        <w:jc w:val="left"/>
        <w:rPr>
          <w:b w:val="false"/>
          <w:bCs w:val="false"/>
          <w:i/>
          <w:i/>
          <w:iCs/>
          <w:sz w:val="24"/>
          <w:szCs w:val="24"/>
        </w:rPr>
      </w:pPr>
      <w:r>
        <w:rPr>
          <w:b w:val="false"/>
          <w:bCs w:val="false"/>
          <w:i/>
          <w:iCs/>
          <w:sz w:val="24"/>
          <w:szCs w:val="24"/>
        </w:rPr>
      </w:r>
    </w:p>
    <w:p>
      <w:pPr>
        <w:pStyle w:val="BodyText"/>
        <w:jc w:val="left"/>
        <w:rPr>
          <w:b w:val="false"/>
          <w:bCs w:val="false"/>
          <w:i/>
          <w:i/>
          <w:iCs/>
          <w:sz w:val="24"/>
          <w:szCs w:val="24"/>
        </w:rPr>
      </w:pPr>
      <w:r>
        <w:rPr>
          <w:b w:val="false"/>
          <w:bCs w:val="false"/>
          <w:i/>
          <w:iCs/>
          <w:sz w:val="24"/>
          <w:szCs w:val="24"/>
        </w:rPr>
      </w:r>
    </w:p>
    <w:p>
      <w:pPr>
        <w:pStyle w:val="BodyText"/>
        <w:jc w:val="left"/>
        <w:rPr>
          <w:b w:val="false"/>
          <w:bCs w:val="false"/>
          <w:i/>
          <w:i/>
          <w:iCs/>
          <w:sz w:val="24"/>
          <w:szCs w:val="24"/>
        </w:rPr>
      </w:pPr>
      <w:r>
        <w:rPr>
          <w:b w:val="false"/>
          <w:bCs w:val="false"/>
          <w:i/>
          <w:iCs/>
          <w:sz w:val="24"/>
          <w:szCs w:val="24"/>
        </w:rPr>
      </w:r>
    </w:p>
    <w:p>
      <w:pPr>
        <w:pStyle w:val="BodyText"/>
        <w:jc w:val="left"/>
        <w:rPr>
          <w:b w:val="false"/>
          <w:bCs w:val="false"/>
          <w:i/>
          <w:i/>
          <w:iCs/>
          <w:sz w:val="24"/>
          <w:szCs w:val="24"/>
        </w:rPr>
      </w:pPr>
      <w:r>
        <w:rPr>
          <w:b w:val="false"/>
          <w:bCs w:val="false"/>
          <w:i/>
          <w:iCs/>
          <w:sz w:val="24"/>
          <w:szCs w:val="24"/>
        </w:rPr>
      </w:r>
    </w:p>
    <w:p>
      <w:pPr>
        <w:pStyle w:val="BodyText"/>
        <w:jc w:val="left"/>
        <w:rPr>
          <w:b w:val="false"/>
          <w:bCs w:val="false"/>
          <w:i/>
          <w:i/>
          <w:iCs/>
          <w:sz w:val="24"/>
          <w:szCs w:val="24"/>
        </w:rPr>
      </w:pPr>
      <w:r>
        <w:rPr>
          <w:b w:val="false"/>
          <w:bCs w:val="false"/>
          <w:i/>
          <w:iCs/>
          <w:sz w:val="24"/>
          <w:szCs w:val="24"/>
        </w:rPr>
      </w:r>
    </w:p>
    <w:p>
      <w:pPr>
        <w:pStyle w:val="BodyText"/>
        <w:jc w:val="left"/>
        <w:rPr>
          <w:b w:val="false"/>
          <w:bCs w:val="false"/>
          <w:i/>
          <w:i/>
          <w:iCs/>
          <w:sz w:val="24"/>
          <w:szCs w:val="24"/>
        </w:rPr>
      </w:pPr>
      <w:r>
        <w:rPr>
          <w:b w:val="false"/>
          <w:bCs w:val="false"/>
          <w:i/>
          <w:iCs/>
          <w:sz w:val="24"/>
          <w:szCs w:val="24"/>
        </w:rPr>
      </w:r>
    </w:p>
    <w:p>
      <w:pPr>
        <w:pStyle w:val="BodyText"/>
        <w:jc w:val="left"/>
        <w:rPr>
          <w:b w:val="false"/>
          <w:bCs w:val="false"/>
          <w:i/>
          <w:i/>
          <w:iCs/>
          <w:sz w:val="24"/>
          <w:szCs w:val="24"/>
        </w:rPr>
      </w:pPr>
      <w:r>
        <w:rPr>
          <w:b w:val="false"/>
          <w:bCs w:val="false"/>
          <w:i/>
          <w:iCs/>
          <w:sz w:val="24"/>
          <w:szCs w:val="24"/>
        </w:rPr>
      </w:r>
    </w:p>
    <w:p>
      <w:pPr>
        <w:pStyle w:val="BodyText"/>
        <w:jc w:val="left"/>
        <w:rPr>
          <w:b w:val="false"/>
          <w:bCs w:val="false"/>
          <w:i/>
          <w:i/>
          <w:iCs/>
          <w:sz w:val="24"/>
          <w:szCs w:val="24"/>
        </w:rPr>
      </w:pPr>
      <w:r>
        <w:rPr>
          <w:b w:val="false"/>
          <w:bCs w:val="false"/>
          <w:i/>
          <w:iCs/>
          <w:sz w:val="24"/>
          <w:szCs w:val="24"/>
        </w:rPr>
      </w:r>
    </w:p>
    <w:p>
      <w:pPr>
        <w:pStyle w:val="Heading1"/>
        <w:numPr>
          <w:ilvl w:val="0"/>
          <w:numId w:val="3"/>
        </w:numPr>
        <w:ind w:hanging="0" w:left="0"/>
        <w:rPr/>
      </w:pPr>
      <w:r>
        <w:rPr>
          <w:rStyle w:val="Strong"/>
          <w:b/>
          <w:bCs/>
        </w:rPr>
        <w:t>Introduction générale</w:t>
      </w:r>
    </w:p>
    <w:p>
      <w:pPr>
        <w:pStyle w:val="BodyText"/>
        <w:rPr>
          <w:rStyle w:val="Strong"/>
        </w:rPr>
      </w:pPr>
      <w:r>
        <w:rPr/>
      </w:r>
    </w:p>
    <w:p>
      <w:pPr>
        <w:pStyle w:val="Heading2"/>
        <w:numPr>
          <w:ilvl w:val="1"/>
          <w:numId w:val="3"/>
        </w:numPr>
        <w:ind w:hanging="0" w:left="0"/>
        <w:rPr/>
      </w:pPr>
      <w:r>
        <w:rPr>
          <w:rStyle w:val="Strong"/>
          <w:b/>
          <w:bCs/>
        </w:rPr>
        <w:t>Le dernier âge de la dette</w:t>
      </w:r>
    </w:p>
    <w:p>
      <w:pPr>
        <w:pStyle w:val="BodyText"/>
        <w:rPr>
          <w:rStyle w:val="Strong"/>
        </w:rPr>
      </w:pPr>
      <w:r>
        <w:rPr/>
      </w:r>
    </w:p>
    <w:p>
      <w:pPr>
        <w:pStyle w:val="BodyText"/>
        <w:numPr>
          <w:ilvl w:val="0"/>
          <w:numId w:val="3"/>
        </w:numPr>
        <w:bidi w:val="0"/>
        <w:jc w:val="left"/>
        <w:rPr/>
      </w:pPr>
      <w:r>
        <w:rPr/>
        <w:t>L’histoire économique de l’humanité commence bien avant les pièces de monnaie. Dès la période natoufienne, vers douze mille cinq cent cinquante à neuf mille cinq cent cinquante avant notre ère, les premières sociétés sédentaires du Levant échangeaient déjà des biens venus de très loin, tels que l’obsidienne d’Anatolie, les coquillages de la mer Rouge ou les pigments de cuivre du Sinaï (Bar-Yosef et Valla, 2013). Ces réseaux proto-commerciaux prouvent que les communautés humaines avaient déjà inventé une économie d’interdépendance fondée sur la confiance et la mémoire collective. La promesse précède la monnaie (Mauss, 1925, Polanyi, 1944, Graeber, 2011).</w:t>
      </w:r>
    </w:p>
    <w:p>
      <w:pPr>
        <w:pStyle w:val="BodyText"/>
        <w:numPr>
          <w:ilvl w:val="0"/>
          <w:numId w:val="3"/>
        </w:numPr>
        <w:bidi w:val="0"/>
        <w:jc w:val="left"/>
        <w:rPr/>
      </w:pPr>
      <w:r>
        <w:rPr/>
      </w:r>
    </w:p>
    <w:p>
      <w:pPr>
        <w:pStyle w:val="BodyText"/>
        <w:rPr/>
      </w:pPr>
      <w:r>
        <w:rPr/>
        <w:t>Comme l’a montré David Graeber (Debt, The First 5000 Years, 2011), les premières économies reposaient moins sur la transaction que sur la relation. Les échanges se régulaient à travers des obligations morales : donner, recevoir, rendre (Mauss, 1925, Graeber, 2011). Le lien social était la véritable unité de compte. La dette, à l’origine, n’était pas une servitude mais un instrument de cohésion (Graeber, 2011).</w:t>
      </w:r>
    </w:p>
    <w:p>
      <w:pPr>
        <w:pStyle w:val="BodyText"/>
        <w:rPr/>
      </w:pPr>
      <w:r>
        <w:rPr/>
      </w:r>
    </w:p>
    <w:p>
      <w:pPr>
        <w:pStyle w:val="BodyText"/>
        <w:rPr/>
      </w:pPr>
      <w:r>
        <w:rPr/>
        <w:t>À la fin de la période natoufienne, ces réseaux d’échange s’étendaient bien au-delà des communautés locales. Leur densité témoigne d’une organisation déjà complexe, certaines zones fonctionnaient comme des pôles de rassemblement où circulaient non seulement des biens, mais aussi des savoirs et des rites. Le site monumental de Göbekli Tepe, en Anatolie, en offre une illustration remarquable (Schmidt, 2012, Dietrich et al., 2012). Construit autour de neuf mille cinq cents ans avant Jésus-Christ par des groupes encore partiellement nomades, il révèle une capacité de coordination et de planification collective sans équivalent à cette époque. Ces structures de coopération, antérieures à l’agriculture à grande échelle, montrent que l’ordre social et symbolique a précédé la structure économique (Schmidt, 2012). Avant même de produire en excédent, les humains avaient appris à organiser la réciprocité, à ritualiser la dette et à inscrire la promesse dans la mémoire du groupe (Mauss, 1925).</w:t>
      </w:r>
    </w:p>
    <w:p>
      <w:pPr>
        <w:pStyle w:val="BodyText"/>
        <w:rPr/>
      </w:pPr>
      <w:r>
        <w:rPr/>
      </w:r>
    </w:p>
    <w:p>
      <w:pPr>
        <w:pStyle w:val="BodyText"/>
        <w:rPr/>
      </w:pPr>
      <w:r>
        <w:rPr/>
        <w:t>Cette dynamique de coordination et de partage s’est progressivement diffusée à d’autres communautés du Croissant fertile. En se stabilisant, ces échanges ont donné naissance à des cultures plus hiérarchisées et à des formes de spécialisation sociale. La promesse, d’abord orale et rituelle, s’est institutionnalisée. Elle a cessé d’être un simple lien moral pour devenir un principe d’organisation collective (Polanyi, 1944).</w:t>
      </w:r>
    </w:p>
    <w:p>
      <w:pPr>
        <w:pStyle w:val="BodyText"/>
        <w:rPr/>
      </w:pPr>
      <w:r>
        <w:rPr/>
      </w:r>
    </w:p>
    <w:p>
      <w:pPr>
        <w:pStyle w:val="BodyText"/>
        <w:rPr/>
      </w:pPr>
      <w:r>
        <w:rPr/>
        <w:t xml:space="preserve">Mais la sédentarité, en permettant l’accumulation et la spécialisation, a progressivement introduit la rareté artificielle et la hiérarchie. Les excédents agricoles ont créé la nécessité de mesurer, de comptabiliser, de répartir. C’est à ce moment, selon Karl Polanyi, que l’économie cesse d’être enchâssée dans le social pour devenir un système autonome (Polanyi, 1944). Les tablettes d’argile sumériennes, apparues autour de trois mille deux cents ans avant Jésus-Christ, marquent la naissance de la comptabilité et, avec elle, de la dette écrite (Schmandt-Besserat, 1992). </w:t>
      </w:r>
    </w:p>
    <w:p>
      <w:pPr>
        <w:pStyle w:val="BodyText"/>
        <w:rPr/>
      </w:pPr>
      <w:r>
        <w:rPr/>
      </w:r>
    </w:p>
    <w:p>
      <w:pPr>
        <w:pStyle w:val="BodyText"/>
        <w:rPr/>
      </w:pPr>
      <w:r>
        <w:rPr/>
        <w:t>L’écriture elle-même, issue des signes de transaction quantités de blé, unités de bière, animaux est d’abord un outil économique de contrôle (Schmandt-Besserat, 1992). L’historien Jean Bottéro rappelait que les premiers textes ne racontaient pas d’histoires, ils comptaient des dettes (Bottéro, 2010). Le réel n’était plus mémorisé par la parole, mais codé par le chiffre. Dès lors, la promesse orale s’est transformée en créance écrite et la société humaine est entrée dans l’âge de la dette.</w:t>
      </w:r>
    </w:p>
    <w:p>
      <w:pPr>
        <w:pStyle w:val="BodyText"/>
        <w:rPr/>
      </w:pPr>
      <w:r>
        <w:rPr/>
      </w:r>
    </w:p>
    <w:p>
      <w:pPr>
        <w:pStyle w:val="BodyText"/>
        <w:rPr/>
      </w:pPr>
      <w:r>
        <w:rPr/>
        <w:t>À Sumer, puis à Babylone, l’endettement récurrent mena périodiquement à la servitude des paysans. Les rois mésopotamiens durent régulièrement proclamer des amargi, c’est-à-dire des annulations de dettes, véritables retours à la liberté (Hudson, 2018). Chaque fois que le système se bloquait sous le poids des créances, il fallait le réinitialiser. Ce cycle de promesse, de concentration et d’effondrement se répéta à travers les âges (Kindleberger, 2000, Minsky, 1986).</w:t>
      </w:r>
    </w:p>
    <w:p>
      <w:pPr>
        <w:pStyle w:val="BodyText"/>
        <w:rPr/>
      </w:pPr>
      <w:r>
        <w:rPr/>
      </w:r>
    </w:p>
    <w:p>
      <w:pPr>
        <w:pStyle w:val="BodyText"/>
        <w:rPr/>
      </w:pPr>
      <w:r>
        <w:rPr/>
        <w:t>Certaines figures historiques tentèrent de rompre ce cycle. Cyrus II le Grand, à la chute de Babylone, proclama une charte de libération des peuples et des esclaves endettés (Hudson, 2018). Plus tard, les philosophies stoïciennes, chrétiennes ou humanistes reprendront cette idée de rééquilibrage moral face à la mécanique du profit. Mais à chaque époque, le même phénomène ressurgit : la technique, conçue pour libérer, se retourne en instrument de domination.</w:t>
      </w:r>
    </w:p>
    <w:p>
      <w:pPr>
        <w:pStyle w:val="BodyText"/>
        <w:rPr/>
      </w:pPr>
      <w:r>
        <w:rPr/>
      </w:r>
    </w:p>
    <w:p>
      <w:pPr>
        <w:pStyle w:val="BodyText"/>
        <w:rPr/>
      </w:pPr>
      <w:r>
        <w:rPr/>
        <w:t>La monnaie métallique, puis scripturale, a permis d’unifier les échanges et d’étendre les marchés, mais aussi de verticaliser le pouvoir. Celui qui bat la monnaie détient le monopole de la promesse (Knapp, 1924, Ingham, 2004). Les empires, d’Athènes à Rome, puis des monarchies médiévales aux États modernes, se sont construits sur cette capacité à transformer la dette en ordre social. La hiérarchisation politique s’est couplée à la hiérarchisation économique, donnant naissance à un cycle d’accumulation et d’instabilité où les richesses se concentrent, la dette s’étend, le système s’effondre, puis renaît sous une forme nouvelle (Kindleberger, 2000, Piketty, 2013).</w:t>
      </w:r>
    </w:p>
    <w:p>
      <w:pPr>
        <w:pStyle w:val="BodyText"/>
        <w:rPr/>
      </w:pPr>
      <w:r>
        <w:rPr/>
      </w:r>
    </w:p>
    <w:p>
      <w:pPr>
        <w:pStyle w:val="BodyText"/>
        <w:rPr/>
      </w:pPr>
      <w:r>
        <w:rPr/>
        <w:t>Chaque grande innovation technologique, qu’il s’agisse de l’imprimerie, de la machine à vapeur, de l’électricité ou de l’informatique, a promis une libération de l’homme par le progrès. Mais chaque fois, l’outil a été absorbé par la logique de la dette (Aglietta et Orléan, 1982, Orléan, 2011). L’histoire devient alors une suite de boucles de perversion, où l’invention engendre la diffusion, la concentration, la crise et la réforme (Kindleberger, 2000). Les libérateurs deviennent oppresseurs, les systèmes conçus pour équilibrer se transforment en systèmes de domination. Cyrus rencontre Crésus, Napoléon remplace la République par l’Empire, les utopies industrielles accouchent des totalitarismes. Aujourd’hui, les intelligences artificielles et la finance algorithmique rejouent ce vieux scénario sous une forme nouvelle, celle de la promesse automatisée (Minsky, 1986).</w:t>
      </w:r>
    </w:p>
    <w:p>
      <w:pPr>
        <w:pStyle w:val="BodyText"/>
        <w:rPr/>
      </w:pPr>
      <w:r>
        <w:rPr/>
      </w:r>
    </w:p>
    <w:p>
      <w:pPr>
        <w:pStyle w:val="BodyText"/>
        <w:rPr/>
      </w:pPr>
      <w:r>
        <w:rPr/>
        <w:t>Pourtant, le système actuel n’est pas né d’une intention malveillante. Le capitalisme mondialisé, dans son essence, visait à unifier les nations par le commerce et à rendre la guerre économiquement irrationnelle. Cette ambition, héritière du libéralisme des Lumières, portait une vision de paix par l’interdépendance. Mais la verticalité du pouvoir, qu’il soit politique, bancaire ou technologique, a réintroduit les mêmes asymétries qu’autrefois. La promesse de prospérité partagée s’est muée en concentration de valeur, et les flux économiques, au lieu de circuler librement, s’accumulent dans des nœuds d’inertie, tels que les actifs financiers, les bulles spéculatives ou les monopoles de données (Piketty, 2013, Kindleberger, 2000). L’économie globale tourne sur elle-même, sans jamais retrouver le contact avec la réalité des actes humains.</w:t>
      </w:r>
    </w:p>
    <w:p>
      <w:pPr>
        <w:pStyle w:val="BodyText"/>
        <w:rPr/>
      </w:pPr>
      <w:r>
        <w:rPr/>
      </w:r>
    </w:p>
    <w:p>
      <w:pPr>
        <w:pStyle w:val="BodyText"/>
        <w:rPr/>
      </w:pPr>
      <w:r>
        <w:rPr/>
        <w:t>Ainsi, en cinq millénaires, le progrès n’a pas rompu la logique de la dette, il l’a perfectionnée. La monnaie, qui devait mesurer le réel, le supplante désormais. La valeur découle de la confiance, la confiance du crédit et le crédit de la promesse d’un remboursement futur (Aglietta et Orléan, 1982, Orléan, 2011). Le système économique contemporain est devenu un mécanisme d’anticipation perpétuelle où tout repose sur la croyance en une croissance infinie dans un monde fini (Georgescu-Roegen, 1971, Daly, 1996).</w:t>
      </w:r>
    </w:p>
    <w:p>
      <w:pPr>
        <w:pStyle w:val="BodyText"/>
        <w:rPr/>
      </w:pPr>
      <w:r>
        <w:rPr/>
        <w:t>Nous avons atteint, pour reprendre l’expression de certains économistes hétérodoxes, le dernier âge de la dette, celui où la promesse ne garantit plus rien mais doit être sans cesse renouvelée pour éviter son propre effondrement (Minsky, 1986). C’est dans cette impasse historique qu’émerge la nécessité d’un nouveau paradigme, non plus fondé sur la promesse de valeur, mais sur la preuve de valeur réelle.</w:t>
      </w:r>
    </w:p>
    <w:p>
      <w:pPr>
        <w:pStyle w:val="BodyText"/>
        <w:rPr/>
      </w:pPr>
      <w:r>
        <w:rPr/>
        <w:t>Face à cette mécanique millénaire de la promesse, l’humanité semble condamnée à rejouer les mêmes scénarios. Les civilisations prospèrent sur l’abondance du crédit, s’effondrent sous le poids de leurs dettes, puis renaissent en inventant de nouveaux instruments de mesure (Kindleberger, 2000). Mais si, cette fois, l’histoire pouvait bifurquer ?</w:t>
      </w:r>
    </w:p>
    <w:p>
      <w:pPr>
        <w:pStyle w:val="BodyText"/>
        <w:rPr/>
      </w:pPr>
      <w:r>
        <w:rPr/>
      </w:r>
    </w:p>
    <w:p>
      <w:pPr>
        <w:pStyle w:val="BodyText"/>
        <w:rPr/>
      </w:pPr>
      <w:r>
        <w:rPr/>
        <w:t>Depuis quelques décennies, un changement silencieux s’opère. L’apparition de registres distribués, de cryptographies inviolables et d’intelligences calculantes ouvre la possibilité inédite de mesurer la valeur sans promesse (Haber et Stornetta, 1991, Diffie et Hellman, 1976, Rivest, Shamir et Adleman, 1978, Narayanan et al., 2016). Pour la première fois depuis Sumer, il devient techniquement possible de prouver un acte économique sans dépendre d’une autorité centrale ni d’un engagement différé (Lamport, Shostak et Pease, 1982, Castro et Liskov, 1999, Nakamoto, 2008). Autrement dit, la technologie offre enfin les moyens de construire une économie fondée sur la preuve du réel et non sur la foi dans le futur.</w:t>
      </w:r>
    </w:p>
    <w:p>
      <w:pPr>
        <w:pStyle w:val="BodyText"/>
        <w:rPr/>
      </w:pPr>
      <w:r>
        <w:rPr/>
      </w:r>
    </w:p>
    <w:p>
      <w:pPr>
        <w:pStyle w:val="BodyText"/>
        <w:rPr/>
      </w:pPr>
      <w:r>
        <w:rPr/>
        <w:t>L’histoire des civilisations pourrait alors se lire autrement, non plus comme une succession d’empires et de monnaies, mais comme une quête inachevée de la preuve, des scribes sumériens aux comptables florentins, des banquiers médiévaux aux serveurs boursiers (Schmandt-Besserat, 1992, Goetzmann, 2016). Mais il manquait toujours un maillon, la capacité de relier directement la valeur à l’acte, sans dette, sans intermédiaire, sans promesse.</w:t>
      </w:r>
    </w:p>
    <w:p>
      <w:pPr>
        <w:pStyle w:val="BodyText"/>
        <w:rPr/>
      </w:pPr>
      <w:r>
        <w:rPr/>
      </w:r>
    </w:p>
    <w:p>
      <w:pPr>
        <w:pStyle w:val="BodyText"/>
        <w:rPr/>
      </w:pPr>
      <w:r>
        <w:rPr/>
        <w:t>C’est précisément ce que propose le modèle IRIS, Integrated Regenerative Intelligence System. Il ne s’agit pas d’une nouvelle monnaie ni d’un énième protocole de blockchain, mais d’un changement de principe : passer d’un système fondé sur la promesse de remboursement à un système fondé sur la preuve de contribution. L’économie n’est plus une mécanique d’anticipation, mais un organisme de régulation vivante.</w:t>
      </w:r>
    </w:p>
    <w:p>
      <w:pPr>
        <w:pStyle w:val="BodyText"/>
        <w:rPr/>
      </w:pPr>
      <w:r>
        <w:rPr/>
      </w:r>
    </w:p>
    <w:p>
      <w:pPr>
        <w:pStyle w:val="BodyText"/>
        <w:rPr/>
      </w:pPr>
      <w:r>
        <w:rPr/>
        <w:t>Ainsi, IRIS naît de la rencontre entre trois héritages. La cybernétique, qui enseigne la stabilité par la rétroaction (Wiener, 1948, Ashby, 1956). La thermodynamique, qui relie la valeur à la conservation des flux (Georgescu-Roegen, 1971, Ayres et Warr, 2009). Et la théorie de la valeur vivante, qui reconnaît l’acte humain comme source première de richesse (Graeber, 2011, Polanyi, 1944). En conjuguant ces approches, IRIS ne se contente pas de corriger les dérives du capitalisme financier. Il propose une refondation épistémologique de l’économie. Là où la promesse cherchait à prédire le futur, la preuve permet enfin de le mesurer (Latour, 1987).</w:t>
      </w:r>
    </w:p>
    <w:p>
      <w:pPr>
        <w:pStyle w:val="BodyText"/>
        <w:rPr/>
      </w:pPr>
      <w:r>
        <w:rPr/>
      </w:r>
    </w:p>
    <w:p>
      <w:pPr>
        <w:pStyle w:val="BodyText"/>
        <w:rPr/>
      </w:pPr>
      <w:r>
        <w:rPr/>
        <w:t>IRIS se situe à l’intersection des sciences physiques et des sciences sociales. Il transpose dans le champ économique les principes de la régulation thermodynamique et de la rétroaction cybernétique (Wiener, 1948, Georgescu-Roegen, 1971). Là où l’économie classique repose sur des équilibres comptables, IRIS mobilise des équilibres dynamiques, mesurés et ajustés en temps réel. Chaque unité de valeur devient un signal, chaque preuve une donnée thermodynamique. L’économie cesse d’être une abstraction et redevient un système vivant, mesurable, prévisible et régénératif (Beer, 1979).</w:t>
      </w:r>
    </w:p>
    <w:p>
      <w:pPr>
        <w:pStyle w:val="BodyText"/>
        <w:rPr/>
      </w:pPr>
      <w:r>
        <w:rPr/>
      </w:r>
    </w:p>
    <w:p>
      <w:pPr>
        <w:pStyle w:val="BodyText"/>
        <w:rPr/>
      </w:pPr>
      <w:r>
        <w:rPr/>
        <w:t>Le chapitre suivant présentera en détail l’architecture du modèle IRIS, ses composantes preuve, valeur, usage, ses équations de régulation et les mécanismes cybernétiques qui assurent sa stabilité. Il s’agira de montrer comment une économie fondée sur la preuve peut maintenir, par la structure même de ses flux, l’équilibre entre création, circulation et extinction de la valeur.</w:t>
      </w:r>
    </w:p>
    <w:p>
      <w:pPr>
        <w:pStyle w:val="BodyText"/>
        <w:rPr/>
      </w:pPr>
      <w:r>
        <w:rPr/>
      </w:r>
    </w:p>
    <w:p>
      <w:pPr>
        <w:pStyle w:val="BodyText"/>
        <w:rPr/>
      </w:pPr>
      <w:r>
        <w:rPr/>
      </w:r>
    </w:p>
    <w:p>
      <w:pPr>
        <w:pStyle w:val="BodyText"/>
        <w:rPr/>
      </w:pPr>
      <w:r>
        <w:rPr/>
      </w:r>
    </w:p>
    <w:p>
      <w:pPr>
        <w:pStyle w:val="Heading2"/>
        <w:numPr>
          <w:ilvl w:val="0"/>
          <w:numId w:val="0"/>
        </w:numPr>
        <w:ind w:hanging="0" w:left="0"/>
        <w:rPr/>
      </w:pPr>
      <w:r>
        <w:rPr/>
        <w:t>État de l’art ciblé et manque</w:t>
      </w:r>
    </w:p>
    <w:p>
      <w:pPr>
        <w:pStyle w:val="BodyText"/>
        <w:rPr/>
      </w:pPr>
      <w:r>
        <w:rPr/>
      </w:r>
    </w:p>
    <w:p>
      <w:pPr>
        <w:pStyle w:val="Heading3"/>
        <w:numPr>
          <w:ilvl w:val="2"/>
          <w:numId w:val="3"/>
        </w:numPr>
        <w:ind w:hanging="0" w:left="0"/>
        <w:rPr/>
      </w:pPr>
      <w:r>
        <w:rPr>
          <w:rStyle w:val="Strong"/>
          <w:b/>
          <w:bCs/>
        </w:rPr>
        <w:t>Anthropologie et sociologie de la dette.</w:t>
      </w:r>
    </w:p>
    <w:p>
      <w:pPr>
        <w:pStyle w:val="BodyText"/>
        <w:rPr/>
      </w:pPr>
      <w:r>
        <w:rPr/>
        <w:t>Des travaux fondateurs (Mauss, Polanyi, Graeber) décrivent la dette comme un principe social de réciprocité et montrent comment les institutions transforment ces obligations en ordre économique durable. Ces approches établissent la centralité de la promesse, mais demeurent peu opératoires pour dériver un calcul de la valeur à partir des actes.</w:t>
      </w:r>
    </w:p>
    <w:p>
      <w:pPr>
        <w:pStyle w:val="BodyText"/>
        <w:rPr/>
      </w:pPr>
      <w:r>
        <w:rPr/>
      </w:r>
    </w:p>
    <w:p>
      <w:pPr>
        <w:pStyle w:val="Heading3"/>
        <w:numPr>
          <w:ilvl w:val="2"/>
          <w:numId w:val="3"/>
        </w:numPr>
        <w:ind w:hanging="0" w:left="0"/>
        <w:rPr/>
      </w:pPr>
      <w:r>
        <w:rPr>
          <w:rStyle w:val="Strong"/>
          <w:b/>
          <w:bCs/>
        </w:rPr>
        <w:t>Théories monétaires et chartalisme.</w:t>
      </w:r>
    </w:p>
    <w:p>
      <w:pPr>
        <w:pStyle w:val="BodyText"/>
        <w:rPr/>
      </w:pPr>
      <w:r>
        <w:rPr/>
        <w:t>Les cadres étatiques et institutionnels (Knapp, Ingham, Orléan) éclairent la monnaie comme une convention politique appuyée sur la loi et la confiance. Ils expliquent la hiérarchie monétaire et les asymétries de pouvoir, sans pour autant proposer un mécanisme formalisé reliant la preuve d’acte à l’émission et à l’usage, tout en garantissant la stabilité dynamique.</w:t>
      </w:r>
    </w:p>
    <w:p>
      <w:pPr>
        <w:pStyle w:val="BodyText"/>
        <w:rPr/>
      </w:pPr>
      <w:r>
        <w:rPr/>
      </w:r>
    </w:p>
    <w:p>
      <w:pPr>
        <w:pStyle w:val="Heading3"/>
        <w:numPr>
          <w:ilvl w:val="2"/>
          <w:numId w:val="3"/>
        </w:numPr>
        <w:ind w:hanging="0" w:left="0"/>
        <w:rPr/>
      </w:pPr>
      <w:r>
        <w:rPr>
          <w:rStyle w:val="Strong"/>
          <w:b/>
          <w:bCs/>
        </w:rPr>
        <w:t>Instabilité financière et cycles.</w:t>
      </w:r>
    </w:p>
    <w:p>
      <w:pPr>
        <w:pStyle w:val="BodyText"/>
        <w:rPr/>
      </w:pPr>
      <w:r>
        <w:rPr/>
        <w:t>Les analyses de Minsky et Kindleberger décrivent la nature pro-cyclique des systèmes fondés sur la promesse ainsi que la nécessité de réinitialisations périodiques. Il manque toutefois un régulateur contracyclique décentralisé et une mesure physico-informationnelle de la valeur capable de réduire l’immobilisation.</w:t>
      </w:r>
    </w:p>
    <w:p>
      <w:pPr>
        <w:pStyle w:val="BodyText"/>
        <w:rPr>
          <w:rStyle w:val="Strong"/>
        </w:rPr>
      </w:pPr>
      <w:r>
        <w:rPr/>
      </w:r>
    </w:p>
    <w:p>
      <w:pPr>
        <w:pStyle w:val="Heading3"/>
        <w:numPr>
          <w:ilvl w:val="2"/>
          <w:numId w:val="3"/>
        </w:numPr>
        <w:ind w:hanging="0" w:left="0"/>
        <w:rPr/>
      </w:pPr>
      <w:r>
        <w:rPr>
          <w:rStyle w:val="Strong"/>
          <w:b/>
          <w:bCs/>
        </w:rPr>
        <w:t>Registres distribués et cryptographie.</w:t>
      </w:r>
    </w:p>
    <w:p>
      <w:pPr>
        <w:pStyle w:val="BodyText"/>
        <w:rPr/>
      </w:pPr>
      <w:r>
        <w:rPr/>
        <w:t>Les travaux de Haber et Stornetta, Diffie et Hellman, Rivest, Shamir et Adleman, ainsi que ceux de Nakamoto, De Filippi et Wright, démontrent la traçabilité inviolable, la signature cryptographique et le consensus sans autorité centrale. Ces approches ne définissent cependant pas un cadre macroéconomique reliant la preuve d’acte, la valeur et l’usage, avec rétroaction et contracyclicité garanties.</w:t>
      </w:r>
    </w:p>
    <w:p>
      <w:pPr>
        <w:pStyle w:val="BodyText"/>
        <w:rPr/>
      </w:pPr>
      <w:r>
        <w:rPr/>
      </w:r>
    </w:p>
    <w:p>
      <w:pPr>
        <w:pStyle w:val="Heading3"/>
        <w:numPr>
          <w:ilvl w:val="2"/>
          <w:numId w:val="3"/>
        </w:numPr>
        <w:ind w:hanging="0" w:left="0"/>
        <w:rPr/>
      </w:pPr>
      <w:r>
        <w:rPr>
          <w:rStyle w:val="Strong"/>
          <w:b/>
          <w:bCs/>
        </w:rPr>
        <w:t>Cybernétique, thermodynamique et systèmes.</w:t>
      </w:r>
    </w:p>
    <w:p>
      <w:pPr>
        <w:pStyle w:val="BodyText"/>
        <w:rPr/>
      </w:pPr>
      <w:r>
        <w:rPr/>
        <w:t>Wiener, Ashby, Beer, Georgescu-Roegen, Ayres et Warr ont formulé des principes d’homéostasie, de régulation et de conservation des flux. Ces principes demeurent peu articulés aux problématiques monétaires contemporaines telles que la création, l’immobilisation et la dispersion de la valeur, ainsi qu’à une gouvernance fondée sur les preuves d’acte.</w:t>
      </w:r>
    </w:p>
    <w:p>
      <w:pPr>
        <w:pStyle w:val="BodyText"/>
        <w:rPr>
          <w:rStyle w:val="Strong"/>
        </w:rPr>
      </w:pPr>
      <w:r>
        <w:rPr/>
      </w:r>
    </w:p>
    <w:p>
      <w:pPr>
        <w:pStyle w:val="Heading3"/>
        <w:numPr>
          <w:ilvl w:val="2"/>
          <w:numId w:val="3"/>
        </w:numPr>
        <w:ind w:hanging="0" w:left="0"/>
        <w:rPr/>
      </w:pPr>
      <w:r>
        <w:rPr>
          <w:rStyle w:val="Strong"/>
          <w:b/>
          <w:bCs/>
        </w:rPr>
        <w:t>Le manque.</w:t>
      </w:r>
    </w:p>
    <w:p>
      <w:pPr>
        <w:pStyle w:val="BodyText"/>
        <w:rPr/>
      </w:pPr>
      <w:r>
        <w:rPr/>
        <w:t>Il n’existe pas aujourd’hui de modèle qui relie directement une preuve d’acte à la valeur, puis à l’usage, à travers un coefficient adaptatif. Aucun modèle ne garantit la contracyclicité par des boucles mesurables, ne réduit l’immobilisation tout en mesurant la dissipation, n’intègre une gouvernance fondée sur les contributions prouvées, ni ne soit validé par des simulations multi-agents et des pilotes traçables.</w:t>
      </w:r>
    </w:p>
    <w:p>
      <w:pPr>
        <w:pStyle w:val="BodyText"/>
        <w:rPr>
          <w:rStyle w:val="Strong"/>
        </w:rPr>
      </w:pPr>
      <w:r>
        <w:rPr/>
      </w:r>
    </w:p>
    <w:p>
      <w:pPr>
        <w:pStyle w:val="Heading3"/>
        <w:numPr>
          <w:ilvl w:val="2"/>
          <w:numId w:val="3"/>
        </w:numPr>
        <w:ind w:hanging="0" w:left="0"/>
        <w:rPr/>
      </w:pPr>
      <w:r>
        <w:rPr>
          <w:rStyle w:val="Strong"/>
          <w:b/>
          <w:bCs/>
        </w:rPr>
        <w:t>Positionnement d’IRIS.</w:t>
      </w:r>
    </w:p>
    <w:p>
      <w:pPr>
        <w:pStyle w:val="BodyText"/>
        <w:rPr/>
      </w:pPr>
      <w:r>
        <w:rPr/>
        <w:t>IRIS vise précisément à combler ce manque. Il propose un cadre physico-informationnel fondé sur la preuve d’acte, doté d’un régulateur automatique décentralisé contracyclique, opérationnalisé par des équations de flux, des tests de stabilité, des métriques de circulation, de dissipation, de justice et de résilience, ainsi que par des études de cas empiriques.</w:t>
      </w:r>
    </w:p>
    <w:p>
      <w:pPr>
        <w:pStyle w:val="BodyText"/>
        <w:rPr>
          <w:rStyle w:val="Strong"/>
        </w:rPr>
      </w:pPr>
      <w:r>
        <w:rPr/>
      </w:r>
    </w:p>
    <w:p>
      <w:pPr>
        <w:pStyle w:val="Heading2"/>
        <w:numPr>
          <w:ilvl w:val="1"/>
          <w:numId w:val="3"/>
        </w:numPr>
        <w:ind w:hanging="0" w:left="0"/>
        <w:rPr/>
      </w:pPr>
      <w:r>
        <w:rPr>
          <w:rStyle w:val="Strong"/>
          <w:b/>
          <w:bCs/>
        </w:rPr>
        <w:t>Problématique</w:t>
      </w:r>
    </w:p>
    <w:p>
      <w:pPr>
        <w:pStyle w:val="BodyText"/>
        <w:rPr>
          <w:rStyle w:val="Strong"/>
        </w:rPr>
      </w:pPr>
      <w:r>
        <w:rPr/>
      </w:r>
    </w:p>
    <w:p>
      <w:pPr>
        <w:pStyle w:val="BodyText"/>
        <w:rPr/>
      </w:pPr>
      <w:r>
        <w:rPr/>
        <w:t>Depuis cinq millénaires, les systèmes économiques se fondent sur des mécanismes de promesse et de confiance différée. Ce modèle, d’abord moral et collectif, s’est progressivement transformé en architecture de crédit puis en mécanisme abstrait d’anticipation du futur. La dette y joue un rôle structurant, à la fois moteur du développement et cause récurrente des déséquilibres systémiques. Les régulations successives, qu’elles soient politiques, monétaires ou technologiques, n’ont jamais rompu cette logique de dépendance à la promesse. Elles en ont seulement repoussé les limites.</w:t>
      </w:r>
    </w:p>
    <w:p>
      <w:pPr>
        <w:pStyle w:val="BodyText"/>
        <w:rPr/>
      </w:pPr>
      <w:r>
        <w:rPr/>
      </w:r>
    </w:p>
    <w:p>
      <w:pPr>
        <w:pStyle w:val="BodyText"/>
        <w:rPr/>
      </w:pPr>
      <w:r>
        <w:rPr/>
        <w:t>Or, l’émergence récente de technologies de preuve, telles que la cryptographie, les registres distribués ou l’intelligence calculante, ouvre la possibilité d’un basculement inédit. Il devient possible de mesurer la valeur non plus à travers une promesse de remboursement, mais à partir de la preuve directe d’un acte réel. Cette perspective questionne la structure même de l’économie moderne, fondée sur la projection et le différé.</w:t>
      </w:r>
    </w:p>
    <w:p>
      <w:pPr>
        <w:pStyle w:val="BodyText"/>
        <w:rPr/>
      </w:pPr>
      <w:r>
        <w:rPr/>
      </w:r>
    </w:p>
    <w:p>
      <w:pPr>
        <w:pStyle w:val="BodyText"/>
        <w:rPr/>
      </w:pPr>
      <w:r>
        <w:rPr/>
        <w:t>Comment une économie reposant sur la preuve d’acte peut-elle se substituer durablement à un système bâti sur la promesse de remboursement, tout en assurant une stabilité contracyclique fondée sur des rétroactions mesurables, la réduction de l’immobilisation et de la dissipation des flux, ainsi qu’une gouvernance où le pouvoir de décision découle des contributions prouvées plutôt que de la détention de capital.</w:t>
      </w:r>
    </w:p>
    <w:p>
      <w:pPr>
        <w:pStyle w:val="BodyText"/>
        <w:rPr/>
      </w:pPr>
      <w:r>
        <w:rPr/>
      </w:r>
    </w:p>
    <w:p>
      <w:pPr>
        <w:pStyle w:val="BodyText"/>
        <w:rPr/>
      </w:pPr>
      <w:r>
        <w:rPr/>
        <w:t>En d’autres termes, comment relier la preuve d’acte, la valeur et l’usage dans un système stable, contracyclique et équitable, sans autorité centrale et validé empiriquement.</w:t>
      </w:r>
    </w:p>
    <w:p>
      <w:pPr>
        <w:pStyle w:val="BodyText"/>
        <w:rPr>
          <w:rStyle w:val="Strong"/>
        </w:rPr>
      </w:pPr>
      <w:r>
        <w:rPr/>
      </w:r>
    </w:p>
    <w:p>
      <w:pPr>
        <w:pStyle w:val="BodyText"/>
        <w:rPr>
          <w:rStyle w:val="Strong"/>
        </w:rPr>
      </w:pPr>
      <w:r>
        <w:rPr/>
      </w:r>
    </w:p>
    <w:p>
      <w:pPr>
        <w:pStyle w:val="Heading2"/>
        <w:numPr>
          <w:ilvl w:val="1"/>
          <w:numId w:val="3"/>
        </w:numPr>
        <w:ind w:hanging="0" w:left="0"/>
        <w:rPr/>
      </w:pPr>
      <w:r>
        <w:rPr>
          <w:rStyle w:val="Strong"/>
          <w:b/>
          <w:bCs/>
        </w:rPr>
        <w:t>Transition vers IRIS</w:t>
      </w:r>
    </w:p>
    <w:p>
      <w:pPr>
        <w:pStyle w:val="BodyText"/>
        <w:rPr>
          <w:rStyle w:val="Strong"/>
        </w:rPr>
      </w:pPr>
      <w:r>
        <w:rPr/>
      </w:r>
    </w:p>
    <w:p>
      <w:pPr>
        <w:pStyle w:val="BodyText"/>
        <w:rPr/>
      </w:pPr>
      <w:r>
        <w:rPr/>
        <w:t>Refonder l’économie sur la preuve suppose de concevoir un système capable d’intégrer trois dimensions complémentaires.</w:t>
      </w:r>
    </w:p>
    <w:p>
      <w:pPr>
        <w:pStyle w:val="BodyText"/>
        <w:numPr>
          <w:ilvl w:val="0"/>
          <w:numId w:val="4"/>
        </w:numPr>
        <w:spacing w:lineRule="auto" w:line="360" w:before="91" w:after="91"/>
        <w:rPr/>
      </w:pPr>
      <w:r>
        <w:rPr/>
        <w:t>Une dimension épistémologique, qui relie la valeur à la connaissance du réel.</w:t>
      </w:r>
    </w:p>
    <w:p>
      <w:pPr>
        <w:pStyle w:val="BodyText"/>
        <w:numPr>
          <w:ilvl w:val="0"/>
          <w:numId w:val="4"/>
        </w:numPr>
        <w:spacing w:lineRule="auto" w:line="360" w:before="91" w:after="91"/>
        <w:rPr/>
      </w:pPr>
      <w:r>
        <w:rPr/>
        <w:t>Une dimension technique, qui garantit la vérification sans autorité centrale.</w:t>
      </w:r>
    </w:p>
    <w:p>
      <w:pPr>
        <w:pStyle w:val="BodyText"/>
        <w:numPr>
          <w:ilvl w:val="0"/>
          <w:numId w:val="4"/>
        </w:numPr>
        <w:spacing w:lineRule="auto" w:line="360" w:before="91" w:after="91"/>
        <w:rPr/>
      </w:pPr>
      <w:r>
        <w:rPr/>
        <w:t>Une dimension sociale, qui reconnaît la contribution comme source première de richesse.</w:t>
      </w:r>
    </w:p>
    <w:p>
      <w:pPr>
        <w:pStyle w:val="BodyText"/>
        <w:rPr/>
      </w:pPr>
      <w:r>
        <w:rPr/>
        <w:t>C’est précisément à cette intersection qu’émerge IRIS, Integrated Resilient Intelligence System, non comme une nouvelle monnaie, mais comme un écosystème de preuve, une architecture vivante de régulation et de mesure.</w:t>
      </w:r>
    </w:p>
    <w:p>
      <w:pPr>
        <w:pStyle w:val="BodyText"/>
        <w:rPr/>
      </w:pPr>
      <w:r>
        <w:rPr/>
        <w:t>Là où la promesse projetait le futur, IRIS enregistre le présent.</w:t>
      </w:r>
    </w:p>
    <w:p>
      <w:pPr>
        <w:pStyle w:val="BodyText"/>
        <w:rPr/>
      </w:pPr>
      <w:r>
        <w:rPr/>
        <w:t>Là où la dette créait la dépendance, IRIS institue la réciprocité.</w:t>
      </w:r>
    </w:p>
    <w:p>
      <w:pPr>
        <w:pStyle w:val="BodyText"/>
        <w:rPr/>
      </w:pPr>
      <w:r>
        <w:rPr/>
        <w:t>Là où la valeur se dissipait dans l’abstraction, IRIS la relie de nouveau au geste, à la matière et à la vie.</w:t>
      </w:r>
    </w:p>
    <w:p>
      <w:pPr>
        <w:pStyle w:val="BodyText"/>
        <w:rPr/>
      </w:pPr>
      <w:r>
        <w:rPr/>
        <w:t>IRIS transpose à l’économie les principes de la cybernétique et de la thermodynamique. Il conçoit les échanges humains comme des flux d’énergie et d’information dont la stabilité repose sur la rétroaction et la conservation. Chaque acte y devient mesurable, chaque flux vérifiable, chaque valeur résiliente.</w:t>
      </w:r>
    </w:p>
    <w:p>
      <w:pPr>
        <w:pStyle w:val="BodyText"/>
        <w:rPr/>
      </w:pPr>
      <w:r>
        <w:rPr/>
        <w:t>Ainsi, IRIS ne se présente pas seulement comme un modèle théorique, mais comme une hypothèse de refondation épistémologique. Il propose de passer d’un système de promesses différées à un système de preuves actées, où la mesure du réel remplace la projection du futur.</w:t>
      </w:r>
    </w:p>
    <w:p>
      <w:pPr>
        <w:pStyle w:val="Heading1"/>
        <w:numPr>
          <w:ilvl w:val="0"/>
          <w:numId w:val="3"/>
        </w:numPr>
        <w:ind w:hanging="0" w:left="0"/>
        <w:rPr/>
      </w:pPr>
      <w:r>
        <w:rPr/>
        <w:t>Chapitre I. Oracle d’initialisation. Migration patrimoniale depuis l’ancien système</w:t>
      </w:r>
    </w:p>
    <w:p>
      <w:pPr>
        <w:pStyle w:val="BodyText"/>
        <w:rPr/>
      </w:pPr>
      <w:r>
        <w:rPr/>
      </w:r>
    </w:p>
    <w:p>
      <w:pPr>
        <w:pStyle w:val="Heading2"/>
        <w:numPr>
          <w:ilvl w:val="1"/>
          <w:numId w:val="3"/>
        </w:numPr>
        <w:ind w:hanging="0" w:left="0"/>
        <w:rPr/>
      </w:pPr>
      <w:r>
        <w:rPr/>
        <w:t>1.1 Définition et fonction systémique de l’Oracle d’initialisation</w:t>
      </w:r>
    </w:p>
    <w:p>
      <w:pPr>
        <w:pStyle w:val="BodyText"/>
        <w:rPr/>
      </w:pPr>
      <w:r>
        <w:rPr/>
      </w:r>
    </w:p>
    <w:p>
      <w:pPr>
        <w:pStyle w:val="BodyText"/>
        <w:rPr/>
      </w:pPr>
      <w:r>
        <w:rPr/>
        <w:t>L’Oracle d’initialisation constitue le module de transition patrimoniale du protocole IRIS. Sa fonction consiste à établir l’état initial du système en convertissant les actifs existants du monde physique, terrains, logements, véhicules, entreprises, œuvres intellectuelles, équipements, en actifs numériques fondateurs enregistrés sur la chaîne source Holochain du déclarant et diffusés via la table de hachage distribuée dite DHT publique.</w:t>
      </w:r>
    </w:p>
    <w:p>
      <w:pPr>
        <w:pStyle w:val="BodyText"/>
        <w:rPr/>
      </w:pPr>
      <w:r>
        <w:rPr/>
        <w:t>Cette opération formalise le passage du registre physique au registre cryptographique vérifiable. Elle ne se limite pas à un transfert informationnel. Elle établit l’ancrage initial de la réalité économique dans le système de preuves distribuées d’IRIS.</w:t>
      </w:r>
    </w:p>
    <w:p>
      <w:pPr>
        <w:pStyle w:val="BodyText"/>
        <w:rPr/>
      </w:pPr>
      <w:r>
        <w:rPr/>
        <w:t>Le protocole repose sur l’axiome suivant. Aucune valeur ne peut exister dans le système sans preuve vérifiable de son existence réelle. En conséquence, tout patrimoine doit être constaté, identifié de manière univoque et ancré cryptographiquement avant son intégration dans l’économie IRIS.</w:t>
      </w:r>
    </w:p>
    <w:p>
      <w:pPr>
        <w:pStyle w:val="BodyText"/>
        <w:rPr/>
      </w:pPr>
      <w:r>
        <w:rPr/>
      </w:r>
    </w:p>
    <w:p>
      <w:pPr>
        <w:pStyle w:val="Heading3"/>
        <w:numPr>
          <w:ilvl w:val="2"/>
          <w:numId w:val="3"/>
        </w:numPr>
        <w:ind w:hanging="0" w:left="0"/>
        <w:rPr/>
      </w:pPr>
      <w:r>
        <w:rPr/>
        <w:t>1.1.1 Inversion du paradigme monétaire</w:t>
      </w:r>
    </w:p>
    <w:p>
      <w:pPr>
        <w:pStyle w:val="BodyText"/>
        <w:rPr/>
      </w:pPr>
      <w:r>
        <w:rPr/>
        <w:t>Dans les systèmes financiers conventionnels, l’émission monétaire précède la preuve de richesse. La monnaie naît d’un processus d’endettement. Chaque unité monétaire représente la créance d’un prêt consenti par le système bancaire. La richesse y est donc structurellement adossée à la dette plutôt qu’à l’existence matérielle vérifiée.</w:t>
      </w:r>
    </w:p>
    <w:p>
      <w:pPr>
        <w:pStyle w:val="BodyText"/>
        <w:rPr/>
      </w:pPr>
      <w:r>
        <w:rPr/>
        <w:t>IRIS opère une inversion fondamentale de cette logique. La monnaie d’usage, dite (U), ne provient plus d’un endettement préalable. Elle découle d’une preuve d’existence réelle vérifiée. Chaque bien certifié par l’Oracle devient un repère d’origine dans la mémoire collective du protocole. La somme des patrimoines ainsi prouvés constitue la base de calcul du revenu universel et établit le point de référence de la régulation thermodynamique du système.</w:t>
      </w:r>
    </w:p>
    <w:p>
      <w:pPr>
        <w:pStyle w:val="BodyText"/>
        <w:rPr/>
      </w:pPr>
      <w:r>
        <w:rPr/>
        <w:t>Cette approche s’inscrit dans le cadre théorique de la comptabilité énergétique. À l’instar des systèmes thermodynamiques conservatifs, IRIS impose qu’aucune valeur ne puisse être créée à partir de rien mais uniquement par transformation mesurable d’un état préexistant.</w:t>
      </w:r>
    </w:p>
    <w:p>
      <w:pPr>
        <w:pStyle w:val="BodyText"/>
        <w:rPr/>
      </w:pPr>
      <w:r>
        <w:rPr/>
      </w:r>
    </w:p>
    <w:p>
      <w:pPr>
        <w:pStyle w:val="Heading3"/>
        <w:numPr>
          <w:ilvl w:val="2"/>
          <w:numId w:val="3"/>
        </w:numPr>
        <w:ind w:hanging="0" w:left="0"/>
        <w:rPr/>
      </w:pPr>
      <w:r>
        <w:rPr/>
        <w:t>1.1.2 Double inscription initiale</w:t>
      </w:r>
    </w:p>
    <w:p>
      <w:pPr>
        <w:pStyle w:val="BodyText"/>
        <w:rPr/>
      </w:pPr>
      <w:r>
        <w:rPr/>
        <w:t>Chaque bien intégré par l’Oracle génère deux écritures complémentaires dans le système.</w:t>
      </w:r>
    </w:p>
    <w:p>
      <w:pPr>
        <w:pStyle w:val="Heading4"/>
        <w:numPr>
          <w:ilvl w:val="3"/>
          <w:numId w:val="3"/>
        </w:numPr>
        <w:ind w:hanging="0" w:left="0"/>
        <w:rPr/>
      </w:pPr>
      <w:r>
        <w:rPr>
          <w:rStyle w:val="Strong"/>
          <w:b/>
          <w:bCs/>
        </w:rPr>
        <w:t>Définition 1.1. Verum d’initialisation.</w:t>
      </w:r>
    </w:p>
    <w:p>
      <w:pPr>
        <w:pStyle w:val="BodyText"/>
        <w:rPr/>
      </w:pPr>
      <w:r>
        <w:rPr/>
        <w:t>On note (V) zéro la valeur initiale créditée sous forme de jeton (V) sur le compte utilisateur du déclarant. (V) zéro représente la mémoire de valeur attachée au bien. Elle constitue la référence énergétique et comptable du système.</w:t>
      </w:r>
    </w:p>
    <w:p>
      <w:pPr>
        <w:pStyle w:val="Heading4"/>
        <w:numPr>
          <w:ilvl w:val="3"/>
          <w:numId w:val="3"/>
        </w:numPr>
        <w:ind w:hanging="0" w:left="0"/>
        <w:rPr/>
      </w:pPr>
      <w:r>
        <w:rPr>
          <w:rStyle w:val="Strong"/>
          <w:b/>
          <w:bCs/>
        </w:rPr>
        <w:t>Définition 1.2. Miroir thermométrique.</w:t>
      </w:r>
    </w:p>
    <w:p>
      <w:pPr>
        <w:pStyle w:val="BodyText"/>
        <w:rPr/>
      </w:pPr>
      <w:r>
        <w:rPr/>
        <w:t>On note (D) zéro le passif symétrique inscrit dans le Régulateur Automatique Décentralisé, dit RAD, sous forme de jetons dégénérés. Ces jetons sont non transférables. Ils ne possèdent pas de porteur juridiquement identifié. Ils ne sont pas exigibles au titre d’un contrat. Ils servent uniquement d’indicateur de calibration thermodynamique.</w:t>
      </w:r>
    </w:p>
    <w:p>
      <w:pPr>
        <w:pStyle w:val="BodyText"/>
        <w:rPr/>
      </w:pPr>
      <w:r>
        <w:rPr/>
        <w:t>D zéro ne constitue pas une dette individuelle au sens juridique. Il s’agit d’un signal de régulation qui maintient l’équilibre homéostatique du système.</w:t>
      </w:r>
    </w:p>
    <w:p>
      <w:pPr>
        <w:pStyle w:val="Heading4"/>
        <w:numPr>
          <w:ilvl w:val="3"/>
          <w:numId w:val="3"/>
        </w:numPr>
        <w:ind w:hanging="0" w:left="0"/>
        <w:rPr/>
      </w:pPr>
      <w:r>
        <w:rPr>
          <w:rStyle w:val="Strong"/>
          <w:b/>
          <w:bCs/>
        </w:rPr>
        <w:t>Proposition 1.1. Équilibre initial.</w:t>
      </w:r>
    </w:p>
    <w:p>
      <w:pPr>
        <w:pStyle w:val="BodyText"/>
        <w:rPr/>
      </w:pPr>
      <w:r>
        <w:rPr/>
        <w:t>L’équilibre initial du protocole est défini par l’égalité suivante posée sur l’ensemble des comptes au démarrage.</w:t>
      </w:r>
    </w:p>
    <w:p>
      <w:pPr>
        <w:pStyle w:val="BodyText"/>
        <w:rPr/>
      </w:pPr>
      <w:r>
        <w:rPr/>
        <w:t>Somme des (V) zéro égale somme des (D) zéro.</w:t>
      </w:r>
    </w:p>
    <w:p>
      <w:pPr>
        <w:pStyle w:val="BodyText"/>
        <w:rPr/>
      </w:pPr>
      <w:r>
        <w:rPr/>
        <w:t>Cette égalité assure la neutralité énergétique du point de départ. On définit le thermomètre global par le rapport (D) au numérateur sur (V) en circulation sur registre au dénominateur. On note également l’indicateur centré égal au thermomètre global moins un. À l’initialisation, le rapport global est égal à un et l’indicateur centré est nul. Cette configuration garantit la neutralité énergétique initiale du système.</w:t>
      </w:r>
    </w:p>
    <w:p>
      <w:pPr>
        <w:pStyle w:val="BodyText"/>
        <w:rPr/>
      </w:pPr>
      <w:r>
        <w:rPr/>
      </w:r>
    </w:p>
    <w:p>
      <w:pPr>
        <w:pStyle w:val="Heading3"/>
        <w:numPr>
          <w:ilvl w:val="2"/>
          <w:numId w:val="3"/>
        </w:numPr>
        <w:ind w:hanging="0" w:left="0"/>
        <w:rPr/>
      </w:pPr>
      <w:r>
        <w:rPr/>
        <w:t>1.1.3 Segmentation du passif thermométrique</w:t>
      </w:r>
    </w:p>
    <w:p>
      <w:pPr>
        <w:pStyle w:val="BodyText"/>
        <w:rPr/>
      </w:pPr>
      <w:r>
        <w:rPr/>
        <w:t>Le miroir (D) zéro est décomposé selon la nature des flux économiques associés au bien.</w:t>
      </w:r>
    </w:p>
    <w:p>
      <w:pPr>
        <w:pStyle w:val="Heading4"/>
        <w:numPr>
          <w:ilvl w:val="3"/>
          <w:numId w:val="3"/>
        </w:numPr>
        <w:ind w:hanging="0" w:left="0"/>
        <w:rPr/>
      </w:pPr>
      <w:r>
        <w:rPr>
          <w:rStyle w:val="Strong"/>
          <w:b/>
          <w:bCs/>
        </w:rPr>
        <w:t>Définition 1.3. Décomposition sectorielle.</w:t>
      </w:r>
    </w:p>
    <w:p>
      <w:pPr>
        <w:pStyle w:val="BodyText"/>
        <w:rPr/>
      </w:pPr>
      <w:r>
        <w:rPr/>
        <w:t>D zéro est la somme de cinq composantes.</w:t>
      </w:r>
    </w:p>
    <w:p>
      <w:pPr>
        <w:pStyle w:val="BodyText"/>
        <w:rPr/>
      </w:pPr>
      <w:r>
        <w:rPr/>
        <w:t>La composante matérielle associée aux biens et immobilisations.</w:t>
      </w:r>
    </w:p>
    <w:p>
      <w:pPr>
        <w:pStyle w:val="BodyText"/>
        <w:rPr/>
      </w:pPr>
      <w:r>
        <w:rPr/>
        <w:t>La composante services associée aux flux d’entretien.</w:t>
      </w:r>
    </w:p>
    <w:p>
      <w:pPr>
        <w:pStyle w:val="BodyText"/>
        <w:rPr/>
      </w:pPr>
      <w:r>
        <w:rPr/>
        <w:t>La composante contractuelle liée aux titres à promesse productive.</w:t>
      </w:r>
    </w:p>
    <w:p>
      <w:pPr>
        <w:pStyle w:val="BodyText"/>
        <w:rPr/>
      </w:pPr>
      <w:r>
        <w:rPr/>
        <w:t>La composante d’engagement liée aux opérations de mise en réserve dites stacking.</w:t>
      </w:r>
    </w:p>
    <w:p>
      <w:pPr>
        <w:pStyle w:val="BodyText"/>
        <w:rPr/>
      </w:pPr>
      <w:r>
        <w:rPr/>
        <w:t>La composante régulatrice associée à la Chambre de Relance.</w:t>
      </w:r>
    </w:p>
    <w:p>
      <w:pPr>
        <w:pStyle w:val="BodyText"/>
        <w:rPr/>
      </w:pPr>
      <w:r>
        <w:rPr/>
        <w:t>Cette segmentation permet une mesure différenciée de la tension thermodynamique entre les secteurs, biens et services notamment, et prépare les ajustements automatiques des coefficients de conversion kappa et de périodicité T dans le module Exchange.</w:t>
      </w:r>
    </w:p>
    <w:p>
      <w:pPr>
        <w:pStyle w:val="BodyText"/>
        <w:rPr/>
      </w:pPr>
      <w:r>
        <w:rPr/>
      </w:r>
    </w:p>
    <w:p>
      <w:pPr>
        <w:pStyle w:val="Heading3"/>
        <w:numPr>
          <w:ilvl w:val="2"/>
          <w:numId w:val="3"/>
        </w:numPr>
        <w:ind w:hanging="0" w:left="0"/>
        <w:rPr/>
      </w:pPr>
      <w:r>
        <w:rPr/>
        <w:t>1.1.4 Ancrage patrimonial cryptographique</w:t>
      </w:r>
    </w:p>
    <w:p>
      <w:pPr>
        <w:pStyle w:val="BodyText"/>
        <w:rPr/>
      </w:pPr>
      <w:r>
        <w:rPr/>
        <w:t>Conjointement à la création de (V) zéro et de (D) zéro, l’Oracle émet un jeton non fongible fondateur déposé sur le compte NFT privé de l’utilisateur.</w:t>
      </w:r>
    </w:p>
    <w:p>
      <w:pPr>
        <w:pStyle w:val="Heading4"/>
        <w:numPr>
          <w:ilvl w:val="3"/>
          <w:numId w:val="3"/>
        </w:numPr>
        <w:ind w:hanging="0" w:left="0"/>
        <w:rPr/>
      </w:pPr>
      <w:r>
        <w:rPr>
          <w:rStyle w:val="Strong"/>
          <w:b/>
          <w:bCs/>
        </w:rPr>
        <w:t>Définition 1.4. NFT fondateur.</w:t>
      </w:r>
    </w:p>
    <w:p>
      <w:pPr>
        <w:pStyle w:val="BodyText"/>
        <w:rPr/>
      </w:pPr>
      <w:r>
        <w:rPr/>
        <w:t>Le NFT fondateur est une structure de données signée de façon cryptographique qui relie les éléments suivants.</w:t>
      </w:r>
    </w:p>
    <w:p>
      <w:pPr>
        <w:pStyle w:val="BodyText"/>
        <w:rPr/>
      </w:pPr>
      <w:r>
        <w:rPr/>
        <w:t>L’empreinte d’unicité du bien réel issue d’un hachage de type SHA deux cent cinquante six.</w:t>
      </w:r>
    </w:p>
    <w:p>
      <w:pPr>
        <w:pStyle w:val="BodyText"/>
        <w:rPr/>
      </w:pPr>
      <w:r>
        <w:rPr/>
        <w:t>Le jeton (V) zéro qui porte la mémoire de valeur.</w:t>
      </w:r>
    </w:p>
    <w:p>
      <w:pPr>
        <w:pStyle w:val="BodyText"/>
        <w:rPr/>
      </w:pPr>
      <w:r>
        <w:rPr/>
        <w:t>Le miroir (D) zéro qui sert d’indicateur thermométrique.</w:t>
      </w:r>
    </w:p>
    <w:p>
      <w:pPr>
        <w:pStyle w:val="BodyText"/>
        <w:rPr/>
      </w:pPr>
      <w:r>
        <w:rPr/>
        <w:t>L’identité cryptographique du déclarant via le hachage du jeton d’unicité dit TU ou VC.</w:t>
      </w:r>
    </w:p>
    <w:p>
      <w:pPr>
        <w:pStyle w:val="BodyText"/>
        <w:rPr/>
      </w:pPr>
      <w:r>
        <w:rPr/>
        <w:t>Le NFT fondateur constitue à la fois le repère patrimonial du bien dans le système, la preuve juridique de la propriété initiale, le support de traçabilité des transmissions ultérieures et l’élément d’intégration dans la branche mémorielle du protocole.</w:t>
      </w:r>
    </w:p>
    <w:p>
      <w:pPr>
        <w:pStyle w:val="Heading4"/>
        <w:numPr>
          <w:ilvl w:val="3"/>
          <w:numId w:val="3"/>
        </w:numPr>
        <w:ind w:hanging="0" w:left="0"/>
        <w:rPr/>
      </w:pPr>
      <w:r>
        <w:rPr>
          <w:rStyle w:val="Strong"/>
          <w:b/>
          <w:bCs/>
        </w:rPr>
        <w:t>Théorème 1.1. Invariant d’ancrage.</w:t>
      </w:r>
    </w:p>
    <w:p>
      <w:pPr>
        <w:pStyle w:val="BodyText"/>
        <w:rPr/>
      </w:pPr>
      <w:r>
        <w:rPr/>
        <w:t>Pour chaque bien enregistré, il existe un unique NFT fondateur qui associe l’empreinte du bien, la valeur initiale, le miroir initial et le jeton d’unicité du propriétaire. Cette unicité garantit qu’aucun bien réel ne peut être dupliqué dans le système.</w:t>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Heading2"/>
        <w:numPr>
          <w:ilvl w:val="1"/>
          <w:numId w:val="3"/>
        </w:numPr>
        <w:ind w:hanging="0" w:left="0"/>
        <w:rPr/>
      </w:pPr>
      <w:r>
        <w:rPr/>
        <w:t>1.2 Modalités d’initialisation et principes régulateurs</w:t>
      </w:r>
    </w:p>
    <w:p>
      <w:pPr>
        <w:pStyle w:val="BodyText"/>
        <w:rPr/>
      </w:pPr>
      <w:r>
        <w:rPr/>
      </w:r>
    </w:p>
    <w:p>
      <w:pPr>
        <w:pStyle w:val="BodyText"/>
        <w:rPr/>
      </w:pPr>
      <w:r>
        <w:rPr/>
        <w:t>L’Oracle d’initialisation peut opérer selon deux modes complémentaires qui dépendent du contexte institutionnel du déploiement du protocole.</w:t>
      </w:r>
    </w:p>
    <w:p>
      <w:pPr>
        <w:pStyle w:val="BodyText"/>
        <w:rPr/>
      </w:pPr>
      <w:r>
        <w:rPr/>
      </w:r>
    </w:p>
    <w:p>
      <w:pPr>
        <w:pStyle w:val="Heading3"/>
        <w:numPr>
          <w:ilvl w:val="2"/>
          <w:numId w:val="3"/>
        </w:numPr>
        <w:ind w:hanging="0" w:left="0"/>
        <w:rPr/>
      </w:pPr>
      <w:r>
        <w:rPr/>
        <w:t>1.2.1 Mode officiel. Connexion aux registres institutionnels</w:t>
      </w:r>
    </w:p>
    <w:p>
      <w:pPr>
        <w:pStyle w:val="BodyText"/>
        <w:rPr/>
      </w:pPr>
      <w:r>
        <w:rPr/>
        <w:t>Lorsque le cadre institutionnel est stable et fonctionnel, l’Oracle se connecte aux sources de données certifiées. Il s’agit des cadastres nationaux, des registres fonciers, des registres du commerce et des sociétés, des bases d’immatriculation des véhicules et des certificats d’État.</w:t>
      </w:r>
    </w:p>
    <w:p>
      <w:pPr>
        <w:pStyle w:val="BodyText"/>
        <w:rPr/>
      </w:pPr>
      <w:r>
        <w:rPr/>
        <w:t>Ce mode dit préférentiel assure un ancrage rapide, juridiquement cohérent et vérifiable. Il garantit la continuité entre l’économie conventionnelle et l’écosystème IRIS.</w:t>
      </w:r>
    </w:p>
    <w:p>
      <w:pPr>
        <w:pStyle w:val="Heading4"/>
        <w:numPr>
          <w:ilvl w:val="0"/>
          <w:numId w:val="0"/>
        </w:numPr>
        <w:ind w:hanging="0" w:left="0"/>
        <w:rPr/>
      </w:pPr>
      <w:r>
        <w:rPr>
          <w:rStyle w:val="Strong"/>
          <w:b/>
          <w:bCs/>
        </w:rPr>
        <w:t>Procédure d’intégration officielle.</w:t>
      </w:r>
    </w:p>
    <w:p>
      <w:pPr>
        <w:pStyle w:val="BodyText"/>
        <w:rPr/>
      </w:pPr>
      <w:r>
        <w:rPr/>
        <w:t>Authentification par canaux sécurisés avec les interfaces publiques de programmation.</w:t>
      </w:r>
    </w:p>
    <w:p>
      <w:pPr>
        <w:pStyle w:val="BodyText"/>
        <w:rPr/>
      </w:pPr>
      <w:r>
        <w:rPr/>
        <w:t>Extraction des métadonnées patrimoniales incluant identifiants officiels, descriptions et évaluations.</w:t>
      </w:r>
    </w:p>
    <w:p>
      <w:pPr>
        <w:pStyle w:val="BodyText"/>
        <w:rPr/>
      </w:pPr>
      <w:r>
        <w:rPr/>
        <w:t>Indexation par création d’index d’unicité basés sur les identifiants nationaux, numéros cadastraux, SIREN ou SIRET, numéro de châssis de véhicule.</w:t>
      </w:r>
    </w:p>
    <w:p>
      <w:pPr>
        <w:pStyle w:val="BodyText"/>
        <w:rPr/>
      </w:pPr>
      <w:r>
        <w:rPr/>
        <w:t>Hachage par calcul d’empreintes cryptographiques des documents sources.</w:t>
      </w:r>
    </w:p>
    <w:p>
      <w:pPr>
        <w:pStyle w:val="BodyText"/>
        <w:rPr/>
      </w:pPr>
      <w:r>
        <w:rPr/>
        <w:t>Publication sélective des empreintes sur la DHT publique avec conservation des données sensibles en stockage local chiffré.</w:t>
      </w:r>
    </w:p>
    <w:p>
      <w:pPr>
        <w:pStyle w:val="BodyText"/>
        <w:rPr/>
      </w:pPr>
      <w:r>
        <w:rPr/>
        <w:t>Cette approche offre une fiabilité maximale tout en préservant la confidentialité. Les empreintes cryptographiques servent de preuves d’existence immuables sans divulguer d’informations personnelles identifiantes.</w:t>
      </w:r>
    </w:p>
    <w:p>
      <w:pPr>
        <w:pStyle w:val="Heading4"/>
        <w:numPr>
          <w:ilvl w:val="0"/>
          <w:numId w:val="0"/>
        </w:numPr>
        <w:ind w:hanging="0" w:left="0"/>
        <w:rPr/>
      </w:pPr>
      <w:r>
        <w:rPr>
          <w:rStyle w:val="Strong"/>
          <w:b/>
          <w:bCs/>
        </w:rPr>
        <w:t>Proposition 1.2. Conversion depuis une évaluation officielle.</w:t>
      </w:r>
    </w:p>
    <w:p>
      <w:pPr>
        <w:pStyle w:val="BodyText"/>
        <w:rPr/>
      </w:pPr>
      <w:r>
        <w:rPr/>
        <w:t>Soit la valeur d’un actif exprimée dans la monnaie nationale. Soit l’équivalent or local noté facteur or de zone. La valeur IRIS initiale se calcule comme le produit de la valeur d’actif par le facteur or de zone, multiplié par un ajustement lié à la tension thermométrique locale exprimée en pourcentage, puis multiplié par un facteur d’authentification qui reflète la fiabilité de la source. Pour une source officielle, le facteur d’authentification vaut un.</w:t>
      </w:r>
    </w:p>
    <w:p>
      <w:pPr>
        <w:pStyle w:val="BodyText"/>
        <w:rPr/>
      </w:pPr>
      <w:r>
        <w:rPr/>
      </w:r>
    </w:p>
    <w:p>
      <w:pPr>
        <w:pStyle w:val="Heading3"/>
        <w:numPr>
          <w:ilvl w:val="2"/>
          <w:numId w:val="3"/>
        </w:numPr>
        <w:ind w:hanging="0" w:left="0"/>
        <w:rPr/>
      </w:pPr>
      <w:r>
        <w:rPr/>
        <w:t>1.2.2 Mode auto-intégratif. Protocole décentralisé de secours</w:t>
      </w:r>
    </w:p>
    <w:p>
      <w:pPr>
        <w:pStyle w:val="BodyText"/>
        <w:rPr/>
      </w:pPr>
      <w:r>
        <w:rPr/>
        <w:t>IRIS intègre un mécanisme de résilience qui assure la continuité du système en cas d’indisponibilité des registres centraux. Il peut s’agir d’une crise institutionnelle, d’un effondrement étatique ou d’une indisponibilité technique.</w:t>
      </w:r>
    </w:p>
    <w:p>
      <w:pPr>
        <w:pStyle w:val="BodyText"/>
        <w:rPr/>
      </w:pPr>
      <w:r>
        <w:rPr/>
        <w:t>En mode auto-intégratif, chaque utilisateur peut auto-certifier ses biens selon un protocole standardisé, vérifiable cryptographiquement et résistant aux attaques de type Sybil.</w:t>
      </w:r>
    </w:p>
    <w:p>
      <w:pPr>
        <w:pStyle w:val="Heading4"/>
        <w:numPr>
          <w:ilvl w:val="0"/>
          <w:numId w:val="0"/>
        </w:numPr>
        <w:ind w:hanging="0" w:left="0"/>
        <w:rPr/>
      </w:pPr>
      <w:r>
        <w:rPr>
          <w:rStyle w:val="Strong"/>
          <w:b/>
          <w:bCs/>
        </w:rPr>
        <w:t>Protocole d’auto-certification.</w:t>
      </w:r>
    </w:p>
    <w:p>
      <w:pPr>
        <w:pStyle w:val="BodyText"/>
        <w:rPr/>
      </w:pPr>
      <w:r>
        <w:rPr/>
        <w:t>Étape un. Preuve d’identité d’origine. Les données d’état civil, le numéro de document d’identité, les photographies biométriques, l’adresse de résidence et la zone géographique au niveau régional sont saisis localement, chiffrés et non publiés sur la DHT.</w:t>
      </w:r>
    </w:p>
    <w:p>
      <w:pPr>
        <w:pStyle w:val="BodyText"/>
        <w:rPr/>
      </w:pPr>
      <w:r>
        <w:rPr/>
        <w:t>Étape deux. Jeton d’unicité public. Un identifiant anonyme résistant aux collisions est calculé par concaténation des données normalisées d’identité, de la zone et d’un sel cryptographique généré localement, puis haché avec une fonction de type SHA deux cent cinquante six. Le jeton d’unicité public est publié sur la DHT comme index d’unicité sans révéler l’identité sous-jacente.</w:t>
      </w:r>
    </w:p>
    <w:p>
      <w:pPr>
        <w:pStyle w:val="BodyText"/>
        <w:rPr/>
      </w:pPr>
      <w:r>
        <w:rPr/>
        <w:t>Étape trois. Engagement cryptographique. Un engagement sur la preuve d’identité d’origine est signé et horodaté. Seule l’empreinte de l’engagement est publiée. Elle constitue une preuve d’existence sans divulgation.</w:t>
      </w:r>
    </w:p>
    <w:p>
      <w:pPr>
        <w:pStyle w:val="BodyText"/>
        <w:rPr/>
      </w:pPr>
      <w:r>
        <w:rPr/>
        <w:t>Étape quatre. Émission du jeton identité de type NFT. Le portefeuille génère un NFT d’identité auto-déclaré qui relie la clé publique, le jeton d’unicité public, l’empreinte de l’engagement et l’horodatage.</w:t>
      </w:r>
    </w:p>
    <w:p>
      <w:pPr>
        <w:pStyle w:val="Heading4"/>
        <w:numPr>
          <w:ilvl w:val="0"/>
          <w:numId w:val="0"/>
        </w:numPr>
        <w:ind w:hanging="0" w:left="0"/>
        <w:rPr/>
      </w:pPr>
      <w:r>
        <w:rPr>
          <w:rStyle w:val="Strong"/>
          <w:b/>
          <w:bCs/>
        </w:rPr>
        <w:t>Proposition 1.3. Coefficient de confiance différencié.</w:t>
      </w:r>
    </w:p>
    <w:p>
      <w:pPr>
        <w:pStyle w:val="BodyText"/>
        <w:rPr/>
      </w:pPr>
      <w:r>
        <w:rPr/>
        <w:t>En mode auto-intégratif, le coefficient d’authentification est initialement réduit. Il peut ensuite évoluer par validation communautaire ou par confirmations progressives au sein des chambres de gouvernance.</w:t>
      </w:r>
    </w:p>
    <w:p>
      <w:pPr>
        <w:pStyle w:val="BodyText"/>
        <w:rPr/>
      </w:pPr>
      <w:r>
        <w:rPr/>
      </w:r>
    </w:p>
    <w:p>
      <w:pPr>
        <w:pStyle w:val="Heading3"/>
        <w:numPr>
          <w:ilvl w:val="2"/>
          <w:numId w:val="3"/>
        </w:numPr>
        <w:ind w:hanging="0" w:left="0"/>
        <w:rPr/>
      </w:pPr>
      <w:r>
        <w:rPr/>
        <w:t>1.2.3 Coexistence des modes et convergence</w:t>
      </w:r>
    </w:p>
    <w:p>
      <w:pPr>
        <w:pStyle w:val="BodyText"/>
        <w:rPr/>
      </w:pPr>
      <w:r>
        <w:rPr/>
        <w:t>Les deux modes sont complémentaires. Les sources officielles garantissent la continuité juridique avec le système préexistant. Les auto-déclarations assurent la souveraineté individuelle et la permanence du protocole en toute circonstance.</w:t>
      </w:r>
    </w:p>
    <w:p>
      <w:pPr>
        <w:pStyle w:val="Heading4"/>
        <w:numPr>
          <w:ilvl w:val="0"/>
          <w:numId w:val="0"/>
        </w:numPr>
        <w:ind w:hanging="0" w:left="0"/>
        <w:rPr/>
      </w:pPr>
      <w:r>
        <w:rPr>
          <w:rStyle w:val="Strong"/>
          <w:b/>
          <w:bCs/>
        </w:rPr>
        <w:t>Théorème 1.2. Convergence des modes.</w:t>
      </w:r>
    </w:p>
    <w:p>
      <w:pPr>
        <w:pStyle w:val="BodyText"/>
        <w:rPr/>
      </w:pPr>
      <w:r>
        <w:rPr/>
        <w:t>Quelle que soit la modalité d’entrée, officielle ou auto-intégrative, la formule de valorisation finale reste la même. La valeur IRIS initiale est une fonction de la valeur effective, du facteur or local, de la tension thermométrique de la zone et du facteur d’authentification. Seul ce dernier paramètre varie selon la fiabilité de la preuve initiale.</w:t>
      </w:r>
    </w:p>
    <w:p>
      <w:pPr>
        <w:pStyle w:val="BodyText"/>
        <w:rPr/>
      </w:pPr>
      <w:r>
        <w:rPr/>
        <w:t>Cette uniformité garantit l’équité systémique. Un bien de valeur réelle équivalente génère une valeur initiale comparable indépendamment du mode d’enregistrement, à un facteur de confiance près.</w:t>
      </w:r>
    </w:p>
    <w:p>
      <w:pPr>
        <w:pStyle w:val="BodyText"/>
        <w:rPr/>
      </w:pPr>
      <w:r>
        <w:rPr/>
      </w:r>
    </w:p>
    <w:p>
      <w:pPr>
        <w:pStyle w:val="Heading2"/>
        <w:numPr>
          <w:ilvl w:val="0"/>
          <w:numId w:val="0"/>
        </w:numPr>
        <w:ind w:hanging="0" w:left="0"/>
        <w:rPr/>
      </w:pPr>
      <w:r>
        <w:rPr/>
        <w:t>1.3 Mécanisme de certification et validation</w:t>
      </w:r>
    </w:p>
    <w:p>
      <w:pPr>
        <w:pStyle w:val="BodyText"/>
        <w:rPr/>
      </w:pPr>
      <w:r>
        <w:rPr/>
      </w:r>
    </w:p>
    <w:p>
      <w:pPr>
        <w:pStyle w:val="BodyText"/>
        <w:rPr/>
      </w:pPr>
      <w:r>
        <w:rPr/>
        <w:t>Le mécanisme de certification garantit que chaque bien ancré dans IRIS correspond à une existence réelle, prouvée de manière cryptographique, et unique dans le système global.</w:t>
      </w:r>
    </w:p>
    <w:p>
      <w:pPr>
        <w:pStyle w:val="BodyText"/>
        <w:rPr/>
      </w:pPr>
      <w:r>
        <w:rPr/>
      </w:r>
    </w:p>
    <w:p>
      <w:pPr>
        <w:pStyle w:val="Heading3"/>
        <w:numPr>
          <w:ilvl w:val="2"/>
          <w:numId w:val="3"/>
        </w:numPr>
        <w:ind w:hanging="0" w:left="0"/>
        <w:rPr/>
      </w:pPr>
      <w:r>
        <w:rPr/>
        <w:t>1.3.1 Identification et classification</w:t>
      </w:r>
    </w:p>
    <w:p>
      <w:pPr>
        <w:pStyle w:val="Heading4"/>
        <w:numPr>
          <w:ilvl w:val="3"/>
          <w:numId w:val="3"/>
        </w:numPr>
        <w:ind w:hanging="0" w:left="0"/>
        <w:rPr/>
      </w:pPr>
      <w:r>
        <w:rPr>
          <w:rStyle w:val="Strong"/>
          <w:b/>
          <w:bCs/>
        </w:rPr>
        <w:t>Définition 1.5. Taxonomie des actifs.</w:t>
      </w:r>
    </w:p>
    <w:p>
      <w:pPr>
        <w:pStyle w:val="BodyText"/>
        <w:rPr/>
      </w:pPr>
      <w:r>
        <w:rPr/>
        <w:t>Les actifs enregistrables dans IRIS sont classifiés selon quatre niveaux hiérarchiques.</w:t>
      </w:r>
    </w:p>
    <w:p>
      <w:pPr>
        <w:pStyle w:val="BodyText"/>
        <w:rPr/>
      </w:pPr>
      <w:r>
        <w:rPr/>
        <w:t>Niveau 1 : les actifs immobiliers comprennent les terrains agricoles, forestiers ou constructibles, les bâtiments résidentiels, commerciaux ou industriels et les infrastructures.</w:t>
      </w:r>
    </w:p>
    <w:p>
      <w:pPr>
        <w:pStyle w:val="BodyText"/>
        <w:rPr/>
      </w:pPr>
      <w:r>
        <w:rPr/>
        <w:t>Niveau 2 : les actifs mobiliers corporels regroupent les véhicules, les équipements professionnels, le mobilier durable et les œuvres d’art.</w:t>
      </w:r>
    </w:p>
    <w:p>
      <w:pPr>
        <w:pStyle w:val="BodyText"/>
        <w:rPr/>
      </w:pPr>
      <w:r>
        <w:rPr/>
        <w:t>Niveau 3 : les actifs incorporels couvrent les droits de propriété intellectuelle, brevets, marques et droits d’auteur, ainsi que les parts sociales, licences ou autorisations administratives.</w:t>
      </w:r>
    </w:p>
    <w:p>
      <w:pPr>
        <w:pStyle w:val="BodyText"/>
        <w:rPr/>
      </w:pPr>
      <w:r>
        <w:rPr/>
        <w:t>Niveau 4 : les capacités productives désignent les savoir-faire certifiés, les compétences accréditées et les réseaux ou relations commerciales établies.</w:t>
      </w:r>
    </w:p>
    <w:p>
      <w:pPr>
        <w:pStyle w:val="BodyText"/>
        <w:rPr/>
      </w:pPr>
      <w:r>
        <w:rPr/>
        <w:t>Chaque niveau possède ses propres critères de preuve et méthodologies d’évaluation.</w:t>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Heading3"/>
        <w:numPr>
          <w:ilvl w:val="0"/>
          <w:numId w:val="0"/>
        </w:numPr>
        <w:ind w:hanging="0" w:left="0"/>
        <w:rPr/>
      </w:pPr>
      <w:r>
        <w:rPr/>
        <w:t>1.3.2 Protocole de déclaration et dossier de preuve</w:t>
      </w:r>
    </w:p>
    <w:p>
      <w:pPr>
        <w:pStyle w:val="BodyText"/>
        <w:rPr/>
      </w:pPr>
      <w:r>
        <w:rPr/>
        <w:t>Pour chaque actif déclaré, un dossier de preuve doit être constitué.</w:t>
      </w:r>
    </w:p>
    <w:p>
      <w:pPr>
        <w:pStyle w:val="BodyText"/>
        <w:rPr/>
      </w:pPr>
      <w:r>
        <w:rPr/>
        <w:t>Il comprend :</w:t>
      </w:r>
    </w:p>
    <w:p>
      <w:pPr>
        <w:pStyle w:val="BodyText"/>
        <w:numPr>
          <w:ilvl w:val="0"/>
          <w:numId w:val="5"/>
        </w:numPr>
        <w:tabs>
          <w:tab w:val="clear" w:pos="709"/>
          <w:tab w:val="left" w:pos="0" w:leader="none"/>
        </w:tabs>
        <w:ind w:hanging="283" w:left="709"/>
        <w:rPr/>
      </w:pPr>
      <w:r>
        <w:rPr/>
        <w:t>la valeur déclarée dans la monnaie d’origine ;</w:t>
      </w:r>
    </w:p>
    <w:p>
      <w:pPr>
        <w:pStyle w:val="BodyText"/>
        <w:numPr>
          <w:ilvl w:val="0"/>
          <w:numId w:val="5"/>
        </w:numPr>
        <w:tabs>
          <w:tab w:val="clear" w:pos="709"/>
          <w:tab w:val="left" w:pos="0" w:leader="none"/>
        </w:tabs>
        <w:ind w:hanging="283" w:left="709"/>
        <w:rPr/>
      </w:pPr>
      <w:r>
        <w:rPr/>
        <w:t>la documentation photographique, au minimum trois clichés sous angles différents ;</w:t>
      </w:r>
    </w:p>
    <w:p>
      <w:pPr>
        <w:pStyle w:val="BodyText"/>
        <w:numPr>
          <w:ilvl w:val="0"/>
          <w:numId w:val="5"/>
        </w:numPr>
        <w:tabs>
          <w:tab w:val="clear" w:pos="709"/>
          <w:tab w:val="left" w:pos="0" w:leader="none"/>
        </w:tabs>
        <w:ind w:hanging="283" w:left="709"/>
        <w:rPr/>
      </w:pPr>
      <w:r>
        <w:rPr/>
        <w:t>la description structurée du bien, précisant type, usage, date d’acquisition et localisation ;</w:t>
      </w:r>
    </w:p>
    <w:p>
      <w:pPr>
        <w:pStyle w:val="BodyText"/>
        <w:numPr>
          <w:ilvl w:val="0"/>
          <w:numId w:val="5"/>
        </w:numPr>
        <w:tabs>
          <w:tab w:val="clear" w:pos="709"/>
          <w:tab w:val="left" w:pos="0" w:leader="none"/>
        </w:tabs>
        <w:ind w:hanging="283" w:left="709"/>
        <w:rPr/>
      </w:pPr>
      <w:r>
        <w:rPr/>
        <w:t>les certificats d’authenticité éventuels.</w:t>
      </w:r>
    </w:p>
    <w:p>
      <w:pPr>
        <w:pStyle w:val="BodyText"/>
        <w:rPr/>
      </w:pPr>
      <w:r>
        <w:rPr/>
        <w:t>Des éléments conditionnels peuvent s’y ajouter : historique de financement, certificats de conformité, expertises antérieures ou évaluations notariales.</w:t>
      </w:r>
    </w:p>
    <w:p>
      <w:pPr>
        <w:pStyle w:val="BodyText"/>
        <w:rPr/>
      </w:pPr>
      <w:r>
        <w:rPr/>
      </w:r>
    </w:p>
    <w:p>
      <w:pPr>
        <w:pStyle w:val="Heading3"/>
        <w:numPr>
          <w:ilvl w:val="2"/>
          <w:numId w:val="3"/>
        </w:numPr>
        <w:ind w:hanging="0" w:left="0"/>
        <w:rPr/>
      </w:pPr>
      <w:r>
        <w:rPr/>
        <w:t>1.3.3 Ajustement de la valeur selon le mode de financement</w:t>
      </w:r>
    </w:p>
    <w:p>
      <w:pPr>
        <w:pStyle w:val="Heading4"/>
        <w:numPr>
          <w:ilvl w:val="3"/>
          <w:numId w:val="3"/>
        </w:numPr>
        <w:ind w:hanging="0" w:left="0"/>
        <w:rPr/>
      </w:pPr>
      <w:r>
        <w:rPr>
          <w:rStyle w:val="Strong"/>
          <w:b/>
          <w:bCs/>
        </w:rPr>
        <w:t>Proposition 1.4. Valeur effective intégrant le coût du crédit.</w:t>
      </w:r>
    </w:p>
    <w:p>
      <w:pPr>
        <w:pStyle w:val="BodyText"/>
        <w:rPr/>
      </w:pPr>
      <w:r>
        <w:rPr/>
        <w:t>Pour les actifs acquis à crédit, la valeur effective inclut l’énergie financière totale injectée, intérêts compris.</w:t>
      </w:r>
    </w:p>
    <w:p>
      <w:pPr>
        <w:pStyle w:val="BodyText"/>
        <w:rPr/>
      </w:pPr>
      <w:r>
        <w:rPr/>
        <w:t xml:space="preserve">Soit Vₐ la valeur faciale de l’actif, </w:t>
      </w:r>
      <w:r>
        <w:rPr>
          <w:rStyle w:val="Emphasis"/>
        </w:rPr>
        <w:t>i</w:t>
      </w:r>
      <w:r>
        <w:rPr/>
        <w:t>₍zone₎ le taux d’intérêt moyen local pendant la durée du crédit et Δt la durée du financement.</w:t>
      </w:r>
    </w:p>
    <w:p>
      <w:pPr>
        <w:pStyle w:val="BodyText"/>
        <w:rPr/>
      </w:pPr>
      <w:r>
        <w:rPr/>
        <w:t>Formule continue :</w:t>
      </w:r>
    </w:p>
    <w:p>
      <w:pPr>
        <w:pStyle w:val="BodyText"/>
        <w:rPr/>
      </w:pPr>
      <w:r>
        <w:rPr/>
      </w:r>
    </w:p>
    <w:p>
      <w:pPr>
        <w:pStyle w:val="BodyText"/>
        <w:jc w:val="center"/>
        <w:rPr/>
      </w:pPr>
      <w:r>
        <w:rPr/>
        <w:t>V_eff = Vₐ × (1 + ∫ i₍zone₎ dτ)</w:t>
      </w:r>
    </w:p>
    <w:p>
      <w:pPr>
        <w:pStyle w:val="BodyText"/>
        <w:rPr/>
      </w:pPr>
      <w:r>
        <w:rPr/>
      </w:r>
    </w:p>
    <w:p>
      <w:pPr>
        <w:pStyle w:val="BodyText"/>
        <w:rPr/>
      </w:pPr>
      <w:r>
        <w:rPr/>
        <w:t>Formule discrète :</w:t>
      </w:r>
    </w:p>
    <w:p>
      <w:pPr>
        <w:pStyle w:val="BodyText"/>
        <w:rPr/>
      </w:pPr>
      <w:r>
        <w:rPr/>
      </w:r>
    </w:p>
    <w:p>
      <w:pPr>
        <w:pStyle w:val="BodyText"/>
        <w:jc w:val="center"/>
        <w:rPr/>
      </w:pPr>
      <w:r>
        <w:rPr/>
        <w:t xml:space="preserve">V_eff = Vₐ × (1 + </w:t>
      </w:r>
      <w:r>
        <w:rPr>
          <w:rStyle w:val="Emphasis"/>
        </w:rPr>
        <w:t>ī</w:t>
      </w:r>
      <w:r>
        <w:rPr/>
        <w:t>₍zone₎ × Δt)</w:t>
      </w:r>
    </w:p>
    <w:p>
      <w:pPr>
        <w:pStyle w:val="BodyText"/>
        <w:rPr/>
      </w:pPr>
      <w:r>
        <w:rPr/>
      </w:r>
    </w:p>
    <w:p>
      <w:pPr>
        <w:pStyle w:val="BodyText"/>
        <w:rPr/>
      </w:pPr>
      <w:r>
        <w:rPr/>
        <w:t>Les intérêts représentent une énergie économique réelle transférée ; ils doivent donc être comptabilisés. Cette approche conserve la cohérence thermodynamique : aucune valeur n’est créée à partir de rien, seule l’énergie déjà dépensée est reconnue.</w:t>
      </w:r>
    </w:p>
    <w:p>
      <w:pPr>
        <w:pStyle w:val="BodyText"/>
        <w:rPr/>
      </w:pPr>
      <w:r>
        <w:rPr/>
      </w:r>
    </w:p>
    <w:p>
      <w:pPr>
        <w:pStyle w:val="Heading3"/>
        <w:numPr>
          <w:ilvl w:val="2"/>
          <w:numId w:val="3"/>
        </w:numPr>
        <w:ind w:hanging="0" w:left="0"/>
        <w:rPr/>
      </w:pPr>
      <w:r>
        <w:rPr/>
        <w:t>1.3.4 Référentiel or et normalisation monétaire</w:t>
      </w:r>
    </w:p>
    <w:p>
      <w:pPr>
        <w:pStyle w:val="Heading4"/>
        <w:numPr>
          <w:ilvl w:val="3"/>
          <w:numId w:val="3"/>
        </w:numPr>
        <w:ind w:hanging="0" w:left="0"/>
        <w:rPr/>
      </w:pPr>
      <w:r>
        <w:rPr>
          <w:rStyle w:val="Strong"/>
          <w:b/>
          <w:bCs/>
        </w:rPr>
        <w:t>Définition 1.6. Indice or local.</w:t>
      </w:r>
    </w:p>
    <w:p>
      <w:pPr>
        <w:pStyle w:val="BodyText"/>
        <w:rPr/>
      </w:pPr>
      <w:r>
        <w:rPr/>
        <w:t>On note Φ_or(zone) le facteur d’équivalence or pour une zone économique donnée. Il est calculé à partir de la moyenne historique du cours de l’or depuis 1971, année marquant la fin de la convertibilité du dollar en or.</w:t>
      </w:r>
    </w:p>
    <w:p>
      <w:pPr>
        <w:pStyle w:val="BodyText"/>
        <w:rPr/>
      </w:pPr>
      <w:r>
        <w:rPr/>
        <w:t>Depuis cette date, l’or agit comme un baromètre inverse de la confiance : son cours s’élève quand la confiance diminue et inversement. Dans IRIS, il joue un rôle analogue : il incarne la respiration du réel et fournit un repère universel, non spéculatif, pour normaliser les valeurs entre zones hétérogènes.</w:t>
      </w:r>
    </w:p>
    <w:p>
      <w:pPr>
        <w:pStyle w:val="Heading4"/>
        <w:numPr>
          <w:ilvl w:val="3"/>
          <w:numId w:val="3"/>
        </w:numPr>
        <w:ind w:hanging="0" w:left="0"/>
        <w:rPr/>
      </w:pPr>
      <w:r>
        <w:rPr>
          <w:rStyle w:val="Strong"/>
          <w:b/>
          <w:bCs/>
        </w:rPr>
        <w:t>Proposition 1.5. Calcul du facteur or.</w:t>
      </w:r>
    </w:p>
    <w:p>
      <w:pPr>
        <w:pStyle w:val="BodyText"/>
        <w:rPr/>
      </w:pPr>
      <w:r>
        <w:rPr/>
        <w:t>Φ_or(zone) = Cours_or_moyen(zone, 1971-présent) / Cours_or_référence_mondial.</w:t>
      </w:r>
    </w:p>
    <w:p>
      <w:pPr>
        <w:pStyle w:val="BodyText"/>
        <w:rPr/>
      </w:pPr>
      <w:r>
        <w:rPr/>
        <w:t>Ce ratio harmonise les valeurs à l’échelle mondiale tout en tenant compte des spécificités locales.</w:t>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Heading3"/>
        <w:numPr>
          <w:ilvl w:val="0"/>
          <w:numId w:val="0"/>
        </w:numPr>
        <w:ind w:hanging="0" w:left="0"/>
        <w:rPr/>
      </w:pPr>
      <w:r>
        <w:rPr/>
        <w:t>1.3.5 Formule de valorisation initiale</w:t>
      </w:r>
    </w:p>
    <w:p>
      <w:pPr>
        <w:pStyle w:val="Heading4"/>
        <w:numPr>
          <w:ilvl w:val="3"/>
          <w:numId w:val="3"/>
        </w:numPr>
        <w:ind w:hanging="0" w:left="0"/>
        <w:rPr/>
      </w:pPr>
      <w:r>
        <w:rPr>
          <w:rStyle w:val="Strong"/>
          <w:b/>
          <w:bCs/>
        </w:rPr>
        <w:t>Théorème 1.3. Valorisation IRIS initiale.</w:t>
      </w:r>
    </w:p>
    <w:p>
      <w:pPr>
        <w:pStyle w:val="BodyText"/>
        <w:rPr/>
      </w:pPr>
      <w:r>
        <w:rPr/>
        <w:t>La valeur initiale d’un actif est donnée par :</w:t>
      </w:r>
    </w:p>
    <w:p>
      <w:pPr>
        <w:pStyle w:val="BodyText"/>
        <w:rPr/>
      </w:pPr>
      <w:r>
        <w:rPr/>
      </w:r>
    </w:p>
    <w:p>
      <w:pPr>
        <w:pStyle w:val="BodyText"/>
        <w:jc w:val="center"/>
        <w:rPr/>
      </w:pPr>
      <w:r>
        <w:rPr/>
        <w:t>Valeur_IRIS₀ = V_eff × Φ_or(zone) × (1 − r_zone / 100) × Φ_auth</w:t>
      </w:r>
    </w:p>
    <w:p>
      <w:pPr>
        <w:pStyle w:val="BodyText"/>
        <w:jc w:val="left"/>
        <w:rPr/>
      </w:pPr>
      <w:r>
        <w:rPr/>
      </w:r>
    </w:p>
    <w:p>
      <w:pPr>
        <w:pStyle w:val="BodyText"/>
        <w:rPr/>
      </w:pPr>
      <w:r>
        <w:rPr/>
        <w:t>avec la contrainte de bornage :</w:t>
      </w:r>
    </w:p>
    <w:p>
      <w:pPr>
        <w:pStyle w:val="BodyText"/>
        <w:rPr/>
      </w:pPr>
      <w:r>
        <w:rPr/>
      </w:r>
    </w:p>
    <w:p>
      <w:pPr>
        <w:pStyle w:val="BodyText"/>
        <w:jc w:val="center"/>
        <w:rPr/>
      </w:pPr>
      <w:r>
        <w:rPr/>
        <w:t>Valeur_IRIS₀ ∈ [ 0,5 × Moyenne_zone ; 1,5 × Moyenne_zone ].</w:t>
      </w:r>
    </w:p>
    <w:p>
      <w:pPr>
        <w:pStyle w:val="BodyText"/>
        <w:jc w:val="left"/>
        <w:rPr/>
      </w:pPr>
      <w:r>
        <w:rPr/>
      </w:r>
    </w:p>
    <w:p>
      <w:pPr>
        <w:pStyle w:val="BodyText"/>
        <w:rPr/>
      </w:pPr>
      <w:r>
        <w:rPr/>
        <w:t>L’ajustement par r_zone réduit la valeur dans les zones surchauffées et l’augmente dans les zones sous-investies. Le facteur Φ_auth pondère selon la fiabilité de la source. Le bornage empêche les valeurs aberrantes et préserve la cohérence statistique.</w:t>
      </w:r>
    </w:p>
    <w:p>
      <w:pPr>
        <w:pStyle w:val="BodyText"/>
        <w:rPr/>
      </w:pPr>
      <w:r>
        <w:rPr/>
      </w:r>
    </w:p>
    <w:p>
      <w:pPr>
        <w:pStyle w:val="Heading3"/>
        <w:numPr>
          <w:ilvl w:val="2"/>
          <w:numId w:val="3"/>
        </w:numPr>
        <w:ind w:hanging="0" w:left="0"/>
        <w:rPr/>
      </w:pPr>
      <w:r>
        <w:rPr/>
        <w:t>1.3.6 Empreinte d’unicité et détection des duplications</w:t>
      </w:r>
    </w:p>
    <w:p>
      <w:pPr>
        <w:pStyle w:val="Heading4"/>
        <w:numPr>
          <w:ilvl w:val="3"/>
          <w:numId w:val="3"/>
        </w:numPr>
        <w:ind w:hanging="0" w:left="0"/>
        <w:rPr/>
      </w:pPr>
      <w:r>
        <w:rPr>
          <w:rStyle w:val="Strong"/>
          <w:b/>
          <w:bCs/>
        </w:rPr>
        <w:t>Définition 1.7. Hash d’unicité.</w:t>
      </w:r>
    </w:p>
    <w:p>
      <w:pPr>
        <w:pStyle w:val="BodyText"/>
        <w:rPr/>
      </w:pPr>
      <w:r>
        <w:rPr/>
        <w:t>Pour chaque bien b, on calcule une empreinte H(b) = SHA-256 (ID_officiel ∥ descripteurs physiques ∥ TU_propriétaire).</w:t>
      </w:r>
    </w:p>
    <w:p>
      <w:pPr>
        <w:pStyle w:val="Heading4"/>
        <w:numPr>
          <w:ilvl w:val="3"/>
          <w:numId w:val="3"/>
        </w:numPr>
        <w:ind w:hanging="0" w:left="0"/>
        <w:rPr/>
      </w:pPr>
      <w:r>
        <w:rPr>
          <w:rStyle w:val="Strong"/>
          <w:b/>
          <w:bCs/>
        </w:rPr>
        <w:t>Proposition 1.6. Unicité globale.</w:t>
      </w:r>
    </w:p>
    <w:p>
      <w:pPr>
        <w:pStyle w:val="BodyText"/>
        <w:rPr/>
      </w:pPr>
      <w:r>
        <w:rPr/>
        <w:t>Avant toute acceptation, l’Oracle vérifie que H(b) est distinct de toutes les empreintes existantes. En cas de collision, la seconde déclaration est rejetée ou soumise à audit. Aucun bien réel ne peut donc exister en double dans le système, ce qui garantit son intégrité thermodynamique.</w:t>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Heading2"/>
        <w:numPr>
          <w:ilvl w:val="0"/>
          <w:numId w:val="0"/>
        </w:numPr>
        <w:ind w:hanging="0" w:left="0"/>
        <w:rPr/>
      </w:pPr>
      <w:r>
        <w:rPr/>
        <w:t>1.4 Ancrage et dynamique patrimoniale sur Holochain</w:t>
      </w:r>
    </w:p>
    <w:p>
      <w:pPr>
        <w:pStyle w:val="BodyText"/>
        <w:rPr/>
      </w:pPr>
      <w:r>
        <w:rPr/>
      </w:r>
    </w:p>
    <w:p>
      <w:pPr>
        <w:pStyle w:val="BodyText"/>
        <w:rPr/>
      </w:pPr>
      <w:r>
        <w:rPr/>
        <w:t>Une fois les biens certifiés et valorisés, l’Oracle procède à leur ancrage cryptographique sur l’infrastructure Holochain. Cela établit la synchronisation entre les registres individuels et la mémoire globale distribuée.</w:t>
      </w:r>
    </w:p>
    <w:p>
      <w:pPr>
        <w:pStyle w:val="Heading3"/>
        <w:numPr>
          <w:ilvl w:val="2"/>
          <w:numId w:val="3"/>
        </w:numPr>
        <w:ind w:hanging="0" w:left="0"/>
        <w:rPr/>
      </w:pPr>
      <w:r>
        <w:rPr/>
        <w:t>1.4.1 Double inscription V₀ et D₀</w:t>
      </w:r>
    </w:p>
    <w:p>
      <w:pPr>
        <w:pStyle w:val="BodyText"/>
        <w:rPr/>
      </w:pPr>
      <w:r>
        <w:rPr/>
        <w:t>Chaque ancrage génère deux écritures symétriques.</w:t>
      </w:r>
    </w:p>
    <w:p>
      <w:pPr>
        <w:pStyle w:val="Heading4"/>
        <w:numPr>
          <w:ilvl w:val="3"/>
          <w:numId w:val="3"/>
        </w:numPr>
        <w:ind w:hanging="0" w:left="0"/>
        <w:rPr/>
      </w:pPr>
      <w:r>
        <w:rPr>
          <w:rStyle w:val="Strong"/>
          <w:b/>
          <w:bCs/>
        </w:rPr>
        <w:t>Inscription V₀.</w:t>
      </w:r>
    </w:p>
    <w:p>
      <w:pPr>
        <w:pStyle w:val="BodyText"/>
        <w:rPr/>
      </w:pPr>
      <w:r>
        <w:rPr/>
        <w:t>Le jeton (V) représente la mémoire patrimoniale du bien. Il n’est pas une monnaie d’usage circulante, rôle dévolu à (U), mais une trace durable de la richesse réelle vérifiée.</w:t>
      </w:r>
    </w:p>
    <w:p>
      <w:pPr>
        <w:pStyle w:val="Heading4"/>
        <w:numPr>
          <w:ilvl w:val="3"/>
          <w:numId w:val="3"/>
        </w:numPr>
        <w:ind w:hanging="0" w:left="0"/>
        <w:rPr/>
      </w:pPr>
      <w:r>
        <w:rPr>
          <w:rStyle w:val="Strong"/>
          <w:b/>
          <w:bCs/>
        </w:rPr>
        <w:t>Proposition 1.7. Distinction entre (V) et (U).</w:t>
      </w:r>
    </w:p>
    <w:p>
      <w:pPr>
        <w:pStyle w:val="BodyText"/>
        <w:rPr/>
      </w:pPr>
      <w:r>
        <w:rPr/>
        <w:t>V mesure la création et le stock de valeur, traçable et durable.</w:t>
      </w:r>
    </w:p>
    <w:p>
      <w:pPr>
        <w:pStyle w:val="BodyText"/>
        <w:rPr/>
      </w:pPr>
      <w:r>
        <w:rPr/>
        <w:t>U mesure la circulation et l’usage, flux périodique et périssable.</w:t>
      </w:r>
    </w:p>
    <w:p>
      <w:pPr>
        <w:pStyle w:val="BodyText"/>
        <w:rPr/>
      </w:pPr>
      <w:r>
        <w:rPr/>
        <w:t>La conversion partielle de (V) en (U) est régulée par les coefficients dynamiques κ et T, afin de maintenir l’équilibre du système.</w:t>
      </w:r>
    </w:p>
    <w:p>
      <w:pPr>
        <w:pStyle w:val="Heading4"/>
        <w:numPr>
          <w:ilvl w:val="3"/>
          <w:numId w:val="3"/>
        </w:numPr>
        <w:ind w:hanging="0" w:left="0"/>
        <w:rPr/>
      </w:pPr>
      <w:r>
        <w:rPr>
          <w:rStyle w:val="Strong"/>
          <w:b/>
          <w:bCs/>
        </w:rPr>
        <w:t>Inscription D₀.</w:t>
      </w:r>
    </w:p>
    <w:p>
      <w:pPr>
        <w:pStyle w:val="BodyText"/>
        <w:rPr/>
      </w:pPr>
      <w:r>
        <w:rPr/>
        <w:t>Chaque création de V₀ s’accompagne d’un passif miroir D₀ inscrit dans le registre thermométrique global du RAD.</w:t>
      </w:r>
    </w:p>
    <w:p>
      <w:pPr>
        <w:pStyle w:val="Heading4"/>
        <w:numPr>
          <w:ilvl w:val="3"/>
          <w:numId w:val="3"/>
        </w:numPr>
        <w:ind w:hanging="0" w:left="0"/>
        <w:rPr/>
      </w:pPr>
      <w:r>
        <w:rPr>
          <w:rStyle w:val="Strong"/>
          <w:b/>
          <w:bCs/>
        </w:rPr>
        <w:t>Définition 1.8. Nature de D.</w:t>
      </w:r>
    </w:p>
    <w:p>
      <w:pPr>
        <w:pStyle w:val="BodyText"/>
        <w:rPr/>
      </w:pPr>
      <w:r>
        <w:rPr/>
        <w:t>D ne représente pas une dette individuelle, mais la dissipation potentielle de valeur, ce qui n’est plus transmis ni régénéré.</w:t>
      </w:r>
    </w:p>
    <w:p>
      <w:pPr>
        <w:pStyle w:val="BodyText"/>
        <w:rPr/>
      </w:pPr>
      <w:r>
        <w:rPr/>
        <w:t>Lorsque la valeur circule, (D) reste faible ; lorsqu’elle s’immobilise ou se dégrade, (D) augmente. D₀ devient ainsi l’indicateur de la respiration collective du système.</w:t>
      </w:r>
    </w:p>
    <w:p>
      <w:pPr>
        <w:pStyle w:val="Heading4"/>
        <w:numPr>
          <w:ilvl w:val="3"/>
          <w:numId w:val="3"/>
        </w:numPr>
        <w:ind w:hanging="0" w:left="0"/>
        <w:rPr/>
      </w:pPr>
      <w:r>
        <w:rPr>
          <w:rStyle w:val="Strong"/>
          <w:b/>
          <w:bCs/>
        </w:rPr>
        <w:t>Proposition 1.8. Différentiel d’activité.</w:t>
      </w:r>
    </w:p>
    <w:p>
      <w:pPr>
        <w:pStyle w:val="BodyText"/>
        <w:rPr/>
      </w:pPr>
      <w:r>
        <w:rPr/>
        <w:t>La différence entre actifs transmis et actifs recyclés définit la productivité thermodynamique réelle d’IRIS.</w:t>
      </w:r>
    </w:p>
    <w:p>
      <w:pPr>
        <w:pStyle w:val="BodyText"/>
        <w:rPr/>
      </w:pPr>
      <w:r>
        <w:rPr/>
      </w:r>
    </w:p>
    <w:p>
      <w:pPr>
        <w:pStyle w:val="Heading3"/>
        <w:numPr>
          <w:ilvl w:val="2"/>
          <w:numId w:val="3"/>
        </w:numPr>
        <w:ind w:hanging="0" w:left="0"/>
        <w:rPr/>
      </w:pPr>
      <w:r>
        <w:rPr/>
        <w:t>1.4.2 Rôle du registre thermodynamique</w:t>
      </w:r>
    </w:p>
    <w:p>
      <w:pPr>
        <w:pStyle w:val="Heading4"/>
        <w:numPr>
          <w:ilvl w:val="3"/>
          <w:numId w:val="3"/>
        </w:numPr>
        <w:ind w:hanging="0" w:left="0"/>
        <w:rPr/>
      </w:pPr>
      <w:r>
        <w:rPr>
          <w:rStyle w:val="Strong"/>
          <w:b/>
          <w:bCs/>
        </w:rPr>
        <w:t>Définition 1.9. Thermomètre global.</w:t>
      </w:r>
    </w:p>
    <w:p>
      <w:pPr>
        <w:pStyle w:val="BodyText"/>
        <w:rPr>
          <w:rStyle w:val="Strong"/>
        </w:rPr>
      </w:pPr>
      <w:r>
        <w:rPr/>
      </w:r>
    </w:p>
    <w:p>
      <w:pPr>
        <w:pStyle w:val="BodyText"/>
        <w:jc w:val="center"/>
        <w:rPr/>
      </w:pPr>
      <w:r>
        <w:rPr/>
        <w:t>{r_t = D_t over V_t^(on)}.</w:t>
      </w:r>
    </w:p>
    <w:p>
      <w:pPr>
        <w:pStyle w:val="BodyText"/>
        <w:rPr/>
      </w:pPr>
      <w:r>
        <w:rPr/>
      </w:r>
    </w:p>
    <w:p>
      <w:pPr>
        <w:pStyle w:val="BodyText"/>
        <w:rPr/>
      </w:pPr>
      <w:r>
        <w:rPr/>
        <w:t xml:space="preserve">où </w:t>
      </w:r>
      <w:r>
        <w:rPr>
          <w:i/>
          <w:iCs/>
        </w:rPr>
        <w:t>V</w:t>
      </w:r>
      <w:r>
        <w:rPr>
          <w:i/>
          <w:iCs/>
          <w:vertAlign w:val="subscript"/>
        </w:rPr>
        <w:t>t</w:t>
      </w:r>
      <w:r>
        <w:rPr>
          <w:i/>
          <w:iCs/>
          <w:vertAlign w:val="superscript"/>
        </w:rPr>
        <w:t>(on)</w:t>
      </w:r>
      <w:r>
        <w:rPr/>
        <w:t xml:space="preserve"> désigne la valeur active sur registre.</w:t>
      </w:r>
    </w:p>
    <w:p>
      <w:pPr>
        <w:pStyle w:val="BodyText"/>
        <w:rPr/>
      </w:pPr>
      <w:r>
        <w:rPr/>
      </w:r>
    </w:p>
    <w:p>
      <w:pPr>
        <w:pStyle w:val="Heading4"/>
        <w:numPr>
          <w:ilvl w:val="3"/>
          <w:numId w:val="3"/>
        </w:numPr>
        <w:ind w:hanging="0" w:left="0"/>
        <w:rPr/>
      </w:pPr>
      <w:r>
        <w:rPr>
          <w:rStyle w:val="Strong"/>
          <w:b/>
          <w:bCs/>
        </w:rPr>
        <w:t>Proposition 1.9. Régulation thermométrique.</w:t>
      </w:r>
    </w:p>
    <w:p>
      <w:pPr>
        <w:pStyle w:val="BodyText"/>
        <w:rPr/>
      </w:pPr>
      <w:r>
        <w:rPr/>
        <w:t>Si r_t &gt; 1,15, le système relance l’activité ; si r_t &lt; 0,85, il stabilise les flux. Les coefficients κ et T s’ajustent automatiquement selon les lois du chapitre III.</w:t>
      </w:r>
    </w:p>
    <w:p>
      <w:pPr>
        <w:pStyle w:val="BodyText"/>
        <w:rPr/>
      </w:pPr>
      <w:r>
        <w:rPr/>
        <w:t>Le passif (D) peut être résorbé sans destruction de jetons ; seule la dynamique relative entre (D) et (V) est rééquilibrée.</w:t>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Heading3"/>
        <w:numPr>
          <w:ilvl w:val="0"/>
          <w:numId w:val="0"/>
        </w:numPr>
        <w:ind w:hanging="0" w:left="0"/>
        <w:rPr/>
      </w:pPr>
      <w:r>
        <w:rPr/>
        <w:t>1.4.3 Publication sélective et traçabilité</w:t>
      </w:r>
    </w:p>
    <w:p>
      <w:pPr>
        <w:pStyle w:val="BodyText"/>
        <w:rPr/>
      </w:pPr>
      <w:r>
        <w:rPr/>
        <w:t>Chaque opération d’ancrage est horodatée et reliée à son enregistrement parent par hachage.</w:t>
      </w:r>
    </w:p>
    <w:p>
      <w:pPr>
        <w:pStyle w:val="BodyText"/>
        <w:rPr/>
      </w:pPr>
      <w:r>
        <w:rPr/>
        <w:t>Les données sensibles demeurent stockées localement, chiffrées dans les chaînes sources. Seules les empreintes anonymisées sont publiées sur la DHT.</w:t>
      </w:r>
    </w:p>
    <w:p>
      <w:pPr>
        <w:pStyle w:val="BodyText"/>
        <w:rPr/>
      </w:pPr>
      <w:r>
        <w:rPr>
          <w:rStyle w:val="Strong"/>
        </w:rPr>
        <w:t>Théorème 1.4. Traçabilité sans surveillance. </w:t>
      </w:r>
    </w:p>
    <w:p>
      <w:pPr>
        <w:pStyle w:val="BodyText"/>
        <w:rPr/>
      </w:pPr>
      <w:r>
        <w:rPr/>
        <w:t>Le protocole IRIS permet une auditabilité complète des flux globaux sans permettre la surveillance individuelle. Les empreintes sont à sens unique ; un observateur peut vérifier qu’une transaction existe et respecte les règles sans pouvoir en identifier les parties. </w:t>
      </w:r>
    </w:p>
    <w:p>
      <w:pPr>
        <w:pStyle w:val="BodyText"/>
        <w:rPr/>
      </w:pPr>
      <w:r>
        <w:rPr/>
      </w:r>
    </w:p>
    <w:p>
      <w:pPr>
        <w:pStyle w:val="Heading3"/>
        <w:numPr>
          <w:ilvl w:val="2"/>
          <w:numId w:val="3"/>
        </w:numPr>
        <w:ind w:hanging="0" w:left="0"/>
        <w:rPr/>
      </w:pPr>
      <w:r>
        <w:rPr/>
        <w:t>1.4.4 Sources de variation de D</w:t>
      </w:r>
    </w:p>
    <w:p>
      <w:pPr>
        <w:pStyle w:val="Heading4"/>
        <w:numPr>
          <w:ilvl w:val="3"/>
          <w:numId w:val="3"/>
        </w:numPr>
        <w:ind w:hanging="0" w:left="0"/>
        <w:rPr/>
      </w:pPr>
      <w:r>
        <w:rPr>
          <w:rStyle w:val="Strong"/>
          <w:b/>
          <w:bCs/>
        </w:rPr>
        <w:t>Équation de conservation de D.</w:t>
      </w:r>
    </w:p>
    <w:p>
      <w:pPr>
        <w:pStyle w:val="Heading4"/>
        <w:numPr>
          <w:ilvl w:val="3"/>
          <w:numId w:val="3"/>
        </w:numPr>
        <w:ind w:hanging="0" w:left="0"/>
        <w:rPr>
          <w:rStyle w:val="Strong"/>
          <w:b w:val="false"/>
          <w:bCs w:val="false"/>
        </w:rPr>
      </w:pPr>
      <w:r>
        <w:rPr>
          <w:b w:val="false"/>
          <w:bCs w:val="false"/>
        </w:rPr>
      </w:r>
    </w:p>
    <w:p>
      <w:pPr>
        <w:pStyle w:val="BodyText"/>
        <w:jc w:val="center"/>
        <w:rPr>
          <w:b w:val="false"/>
          <w:bCs w:val="false"/>
        </w:rPr>
      </w:pPr>
      <w:r>
        <w:rPr>
          <w:b w:val="false"/>
          <w:bCs w:val="false"/>
        </w:rPr>
        <w:t>{D_t = D_{t-1} + ΔD^(avances) + ΔD^(CR) − U_burn(font serif italic "stack") − V_burn^(TAP) − V_{font serif italic "div"}^(réinjecté)}.</w:t>
      </w:r>
    </w:p>
    <w:p>
      <w:pPr>
        <w:pStyle w:val="BodyText"/>
        <w:rPr/>
      </w:pPr>
      <w:r>
        <w:rPr/>
      </w:r>
    </w:p>
    <w:p>
      <w:pPr>
        <w:pStyle w:val="BodyText"/>
        <w:rPr/>
      </w:pPr>
      <w:r>
        <w:rPr/>
        <w:t>Les avances et remboursements équilibrent (D) et (V) selon la neutralité énergétique : aucune création monétaire à partir de rien.</w:t>
      </w:r>
    </w:p>
    <w:p>
      <w:pPr>
        <w:pStyle w:val="Heading4"/>
        <w:numPr>
          <w:ilvl w:val="3"/>
          <w:numId w:val="3"/>
        </w:numPr>
        <w:ind w:hanging="0" w:left="0"/>
        <w:rPr/>
      </w:pPr>
      <w:r>
        <w:rPr>
          <w:rStyle w:val="Strong"/>
          <w:b/>
          <w:bCs/>
        </w:rPr>
        <w:t>Proposition 1.10. Neutralité des avances.</w:t>
      </w:r>
    </w:p>
    <w:p>
      <w:pPr>
        <w:pStyle w:val="BodyText"/>
        <w:rPr/>
      </w:pPr>
      <w:r>
        <w:rPr/>
        <w:t>Toute avance obéit à ΔV = ΔD et tout remboursement à ΔD = − V_burn ou − U_burn. Les avances ne font que réorganiser temporellement les flux.</w:t>
      </w:r>
    </w:p>
    <w:p>
      <w:pPr>
        <w:pStyle w:val="BodyText"/>
        <w:rPr/>
      </w:pPr>
      <w:r>
        <w:rPr/>
      </w:r>
    </w:p>
    <w:p>
      <w:pPr>
        <w:pStyle w:val="Heading2"/>
        <w:numPr>
          <w:ilvl w:val="0"/>
          <w:numId w:val="0"/>
        </w:numPr>
        <w:ind w:hanging="0" w:left="0"/>
        <w:rPr/>
      </w:pPr>
      <w:r>
        <w:rPr/>
        <w:t>1.5 Sécurité, extinction et relais vers la gouvernance</w:t>
      </w:r>
    </w:p>
    <w:p>
      <w:pPr>
        <w:pStyle w:val="BodyText"/>
        <w:rPr/>
      </w:pPr>
      <w:r>
        <w:rPr/>
      </w:r>
    </w:p>
    <w:p>
      <w:pPr>
        <w:pStyle w:val="Heading3"/>
        <w:numPr>
          <w:ilvl w:val="2"/>
          <w:numId w:val="3"/>
        </w:numPr>
        <w:ind w:hanging="0" w:left="0"/>
        <w:rPr/>
      </w:pPr>
      <w:r>
        <w:rPr/>
        <w:t>1.5.1 Phase de sécurité et clôture de l’Oracle</w:t>
      </w:r>
    </w:p>
    <w:p>
      <w:pPr>
        <w:pStyle w:val="BodyText"/>
        <w:rPr/>
      </w:pPr>
      <w:r>
        <w:rPr/>
        <w:t>Durant la phase d’initialisation, deux flux d’intégration coexistent :</w:t>
      </w:r>
    </w:p>
    <w:p>
      <w:pPr>
        <w:pStyle w:val="BodyText"/>
        <w:rPr/>
      </w:pPr>
      <w:r>
        <w:rPr/>
        <w:t>le flux officiel provenant des registres certifiés et le flux auto-intégratif citoyen.</w:t>
      </w:r>
    </w:p>
    <w:p>
      <w:pPr>
        <w:pStyle w:val="Heading4"/>
        <w:numPr>
          <w:ilvl w:val="3"/>
          <w:numId w:val="3"/>
        </w:numPr>
        <w:ind w:hanging="0" w:left="0"/>
        <w:rPr/>
      </w:pPr>
      <w:r>
        <w:rPr>
          <w:rStyle w:val="Strong"/>
          <w:b/>
          <w:bCs/>
        </w:rPr>
        <w:t>Théorème 1.5. Confidentialité structurelle.</w:t>
      </w:r>
    </w:p>
    <w:p>
      <w:pPr>
        <w:pStyle w:val="BodyText"/>
        <w:rPr/>
      </w:pPr>
      <w:r>
        <w:rPr/>
        <w:t>Dans les deux modes, aucune donnée d’identité n’est stockée en clair. Seules les preuves cryptographiques, hachages, signatures et horodatages sont publiées. Toute modification ultérieure est chaînée, assurant une traçabilité immuable sans compromettre la vie privée.</w:t>
      </w:r>
    </w:p>
    <w:p>
      <w:pPr>
        <w:pStyle w:val="BodyText"/>
        <w:rPr/>
      </w:pPr>
      <w:r>
        <w:rPr/>
      </w:r>
    </w:p>
    <w:p>
      <w:pPr>
        <w:pStyle w:val="Heading3"/>
        <w:numPr>
          <w:ilvl w:val="2"/>
          <w:numId w:val="3"/>
        </w:numPr>
        <w:ind w:hanging="0" w:left="0"/>
        <w:rPr/>
      </w:pPr>
      <w:r>
        <w:rPr/>
        <w:t>1.5.2 Phase de relais vers la gouvernance décentralisée</w:t>
      </w:r>
    </w:p>
    <w:p>
      <w:pPr>
        <w:pStyle w:val="BodyText"/>
        <w:rPr/>
      </w:pPr>
      <w:r>
        <w:rPr/>
        <w:t>Lorsque la migration patrimoniale est complète et les flux stabilisés, l’Oracle transfère ses responsabilités aux chambres de gouvernance.</w:t>
      </w:r>
    </w:p>
    <w:p>
      <w:pPr>
        <w:pStyle w:val="BodyText"/>
        <w:rPr/>
      </w:pPr>
      <w:r>
        <w:rPr/>
        <w:t>La Chambre administrative vérifie la cohérence et l’unicité des comptes.</w:t>
      </w:r>
    </w:p>
    <w:p>
      <w:pPr>
        <w:pStyle w:val="BodyText"/>
        <w:rPr/>
      </w:pPr>
      <w:r>
        <w:rPr/>
        <w:t>La Branche mémorielle assure l’enregistrement patrimonial continu et la gestion des successions.</w:t>
      </w:r>
    </w:p>
    <w:p>
      <w:pPr>
        <w:pStyle w:val="BodyText"/>
        <w:rPr/>
      </w:pPr>
      <w:r>
        <w:rPr/>
        <w:t>La Chambre législative valide les règles de conformité et résout les litiges.</w:t>
      </w:r>
    </w:p>
    <w:p>
      <w:pPr>
        <w:pStyle w:val="BodyText"/>
        <w:rPr/>
      </w:pPr>
      <w:r>
        <w:rPr/>
      </w:r>
    </w:p>
    <w:p>
      <w:pPr>
        <w:pStyle w:val="Heading3"/>
        <w:numPr>
          <w:ilvl w:val="2"/>
          <w:numId w:val="3"/>
        </w:numPr>
        <w:ind w:hanging="0" w:left="0"/>
        <w:rPr/>
      </w:pPr>
      <w:r>
        <w:rPr/>
        <w:t>1.5.3 Différenciation du suivi selon le mode d’entrée</w:t>
      </w:r>
    </w:p>
    <w:p>
      <w:pPr>
        <w:pStyle w:val="BodyText"/>
        <w:rPr/>
      </w:pPr>
      <w:r>
        <w:rPr/>
        <w:t>Les utilisateurs passés par le mode officiel rejoignent directement la gouvernance DAO.</w:t>
      </w:r>
    </w:p>
    <w:p>
      <w:pPr>
        <w:pStyle w:val="BodyText"/>
        <w:rPr/>
      </w:pPr>
      <w:r>
        <w:rPr/>
        <w:t>Les utilisateurs auto-intégratifs complètent leurs preuves selon un processus progressif de validation communautaire.</w:t>
      </w:r>
    </w:p>
    <w:p>
      <w:pPr>
        <w:pStyle w:val="Heading4"/>
        <w:numPr>
          <w:ilvl w:val="3"/>
          <w:numId w:val="3"/>
        </w:numPr>
        <w:ind w:hanging="0" w:left="0"/>
        <w:rPr/>
      </w:pPr>
      <w:r>
        <w:rPr>
          <w:rStyle w:val="Strong"/>
          <w:b/>
          <w:bCs/>
        </w:rPr>
        <w:t>Proposition 1.11. Validation communautaire.</w:t>
      </w:r>
    </w:p>
    <w:p>
      <w:pPr>
        <w:pStyle w:val="BodyText"/>
        <w:rPr/>
      </w:pPr>
      <w:r>
        <w:rPr/>
        <w:t>La vérification collective par les chambres DAO remplace les registres étatiques. Elle garantit la fiabilité du système sans autorité centrale.</w:t>
      </w:r>
    </w:p>
    <w:p>
      <w:pPr>
        <w:pStyle w:val="BodyText"/>
        <w:rPr/>
      </w:pPr>
      <w:r>
        <w:rPr/>
      </w:r>
    </w:p>
    <w:p>
      <w:pPr>
        <w:pStyle w:val="Heading3"/>
        <w:numPr>
          <w:ilvl w:val="2"/>
          <w:numId w:val="3"/>
        </w:numPr>
        <w:ind w:hanging="0" w:left="0"/>
        <w:rPr/>
      </w:pPr>
      <w:r>
        <w:rPr/>
        <w:t>1.5.4 Extinction définitive de l’Oracle</w:t>
      </w:r>
    </w:p>
    <w:p>
      <w:pPr>
        <w:pStyle w:val="BodyText"/>
        <w:rPr/>
      </w:pPr>
      <w:r>
        <w:rPr/>
        <w:t>Quand la migration est achevée, l’Oracle s’auto-désactive.</w:t>
      </w:r>
    </w:p>
    <w:p>
      <w:pPr>
        <w:pStyle w:val="BodyText"/>
        <w:rPr/>
      </w:pPr>
      <w:r>
        <w:rPr/>
        <w:t>Les critères sont : stabilité de ∑V₀ et ∑D₀ pendant douze cycles, taux de comptes provisoires inférieur à 0,5 %, et validation par les chambres concernées.</w:t>
      </w:r>
    </w:p>
    <w:p>
      <w:pPr>
        <w:pStyle w:val="Heading4"/>
        <w:numPr>
          <w:ilvl w:val="3"/>
          <w:numId w:val="3"/>
        </w:numPr>
        <w:ind w:hanging="0" w:left="0"/>
        <w:rPr/>
      </w:pPr>
      <w:r>
        <w:rPr>
          <w:rStyle w:val="Strong"/>
          <w:b/>
          <w:bCs/>
        </w:rPr>
        <w:t>Théorème 1.6. Irréversibilité de l’extinction.</w:t>
      </w:r>
    </w:p>
    <w:p>
      <w:pPr>
        <w:pStyle w:val="BodyText"/>
        <w:rPr/>
      </w:pPr>
      <w:r>
        <w:rPr/>
        <w:t>Une fois désactivé, l’Oracle ne peut être réouvert. Les nouveaux biens sont enregistrés via la Chambre mémorielle. Cette irréversibilité établit la temporalité fondatrice d’IRIS, analogue au bloc genesis d’une blockchain.</w:t>
      </w:r>
    </w:p>
    <w:p>
      <w:pPr>
        <w:pStyle w:val="BodyText"/>
        <w:rPr/>
      </w:pPr>
      <w:r>
        <w:rPr/>
      </w:r>
    </w:p>
    <w:p>
      <w:pPr>
        <w:pStyle w:val="Heading2"/>
        <w:numPr>
          <w:ilvl w:val="0"/>
          <w:numId w:val="0"/>
        </w:numPr>
        <w:ind w:hanging="0" w:left="0"/>
        <w:rPr/>
      </w:pPr>
      <w:r>
        <w:rPr/>
        <w:t>1.6 L’Oracle comme convertisseur de réalité</w:t>
      </w:r>
    </w:p>
    <w:p>
      <w:pPr>
        <w:pStyle w:val="BodyText"/>
        <w:rPr/>
      </w:pPr>
      <w:r>
        <w:rPr/>
      </w:r>
    </w:p>
    <w:p>
      <w:pPr>
        <w:pStyle w:val="BodyText"/>
        <w:rPr/>
      </w:pPr>
      <w:r>
        <w:rPr/>
        <w:t>L’Oracle d’initialisation agit comme un convertisseur de réalité.</w:t>
      </w:r>
    </w:p>
    <w:p>
      <w:pPr>
        <w:pStyle w:val="BodyText"/>
        <w:rPr/>
      </w:pPr>
      <w:r>
        <w:rPr/>
        <w:t>Il transfère les possessions physiques du monde conventionnel vers un réseau de preuves numériques vérifiables tout en assurant la neutralité énergétique et la cohérence comptable du système.</w:t>
      </w:r>
    </w:p>
    <w:p>
      <w:pPr>
        <w:pStyle w:val="BodyText"/>
        <w:rPr/>
      </w:pPr>
      <w:r>
        <w:rPr/>
        <w:t>Ses propriétés fondamentales sont :</w:t>
      </w:r>
    </w:p>
    <w:p>
      <w:pPr>
        <w:pStyle w:val="BodyText"/>
        <w:numPr>
          <w:ilvl w:val="0"/>
          <w:numId w:val="6"/>
        </w:numPr>
        <w:tabs>
          <w:tab w:val="clear" w:pos="709"/>
          <w:tab w:val="left" w:pos="0" w:leader="none"/>
        </w:tabs>
        <w:spacing w:lineRule="auto" w:line="276"/>
        <w:ind w:hanging="283" w:left="709"/>
        <w:rPr/>
      </w:pPr>
      <w:r>
        <w:rPr>
          <w:rStyle w:val="Strong"/>
        </w:rPr>
        <w:t>unicité cryptographique</w:t>
      </w:r>
      <w:r>
        <w:rPr/>
        <w:t>, aucun bien n’existe deux fois ;</w:t>
      </w:r>
    </w:p>
    <w:p>
      <w:pPr>
        <w:pStyle w:val="BodyText"/>
        <w:numPr>
          <w:ilvl w:val="0"/>
          <w:numId w:val="6"/>
        </w:numPr>
        <w:tabs>
          <w:tab w:val="clear" w:pos="709"/>
          <w:tab w:val="left" w:pos="0" w:leader="none"/>
        </w:tabs>
        <w:spacing w:lineRule="auto" w:line="276"/>
        <w:ind w:hanging="283" w:left="709"/>
        <w:rPr/>
      </w:pPr>
      <w:r>
        <w:rPr>
          <w:rStyle w:val="Strong"/>
        </w:rPr>
        <w:t>conservation énergétique</w:t>
      </w:r>
      <w:r>
        <w:rPr/>
        <w:t>, neutralité ∑V₀ = ∑D₀ ;</w:t>
      </w:r>
    </w:p>
    <w:p>
      <w:pPr>
        <w:pStyle w:val="BodyText"/>
        <w:numPr>
          <w:ilvl w:val="0"/>
          <w:numId w:val="6"/>
        </w:numPr>
        <w:tabs>
          <w:tab w:val="clear" w:pos="709"/>
          <w:tab w:val="left" w:pos="0" w:leader="none"/>
        </w:tabs>
        <w:spacing w:lineRule="auto" w:line="276"/>
        <w:ind w:hanging="283" w:left="709"/>
        <w:rPr/>
      </w:pPr>
      <w:r>
        <w:rPr>
          <w:rStyle w:val="Strong"/>
        </w:rPr>
        <w:t>résilience multimodale</w:t>
      </w:r>
      <w:r>
        <w:rPr/>
        <w:t>, coexistence des modes institutionnels et citoyens ;</w:t>
      </w:r>
    </w:p>
    <w:p>
      <w:pPr>
        <w:pStyle w:val="BodyText"/>
        <w:numPr>
          <w:ilvl w:val="0"/>
          <w:numId w:val="6"/>
        </w:numPr>
        <w:tabs>
          <w:tab w:val="clear" w:pos="709"/>
          <w:tab w:val="left" w:pos="0" w:leader="none"/>
        </w:tabs>
        <w:spacing w:lineRule="auto" w:line="276"/>
        <w:ind w:hanging="283" w:left="709"/>
        <w:rPr/>
      </w:pPr>
      <w:r>
        <w:rPr>
          <w:rStyle w:val="Strong"/>
        </w:rPr>
        <w:t>confidentialité par conception</w:t>
      </w:r>
      <w:r>
        <w:rPr/>
        <w:t>, séparation des données sensibles et des preuves publiques ;</w:t>
      </w:r>
    </w:p>
    <w:p>
      <w:pPr>
        <w:pStyle w:val="BodyText"/>
        <w:numPr>
          <w:ilvl w:val="0"/>
          <w:numId w:val="6"/>
        </w:numPr>
        <w:tabs>
          <w:tab w:val="clear" w:pos="709"/>
          <w:tab w:val="left" w:pos="0" w:leader="none"/>
        </w:tabs>
        <w:spacing w:lineRule="auto" w:line="276"/>
        <w:ind w:hanging="283" w:left="709"/>
        <w:rPr/>
      </w:pPr>
      <w:r>
        <w:rPr>
          <w:rStyle w:val="Strong"/>
        </w:rPr>
        <w:t>transition gouvernée</w:t>
      </w:r>
      <w:r>
        <w:rPr/>
        <w:t>, transfert de contrôle vers les chambres décentralisées.</w:t>
      </w:r>
    </w:p>
    <w:p>
      <w:pPr>
        <w:pStyle w:val="BodyText"/>
        <w:rPr/>
      </w:pPr>
      <w:r>
        <w:rPr/>
        <w:t>L’Oracle fonde la possibilité d’une économie régulée par la preuve du réel et non par la dette.</w:t>
      </w:r>
    </w:p>
    <w:p>
      <w:pPr>
        <w:pStyle w:val="BodyText"/>
        <w:rPr/>
      </w:pPr>
      <w:r>
        <w:rPr/>
        <w:t>Là où les systèmes monétaires traditionnels créent la valeur par endettement, IRIS l’établit par constatation cryptographique.</w:t>
      </w:r>
    </w:p>
    <w:p>
      <w:pPr>
        <w:pStyle w:val="BodyText"/>
        <w:rPr/>
      </w:pPr>
      <w:r>
        <w:rPr/>
        <w:t>L’Oracle transforme ainsi le patrimoine mondial en un graphe de preuves distribuées où chaque bien possède une identité unique, une généalogie traçable et une valeur thermodynamiquement cohérente.</w:t>
      </w:r>
    </w:p>
    <w:p>
      <w:pPr>
        <w:pStyle w:val="BodyText"/>
        <w:rPr/>
      </w:pPr>
      <w:r>
        <w:rPr/>
        <w:t>Dans IRIS, la richesse préexiste à la monnaie : l’argent naît de la richesse prouvée, et non l’inverse.</w:t>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Heading1"/>
        <w:numPr>
          <w:ilvl w:val="0"/>
          <w:numId w:val="3"/>
        </w:numPr>
        <w:ind w:hanging="0" w:left="0"/>
        <w:rPr/>
      </w:pPr>
      <w:r>
        <w:rPr/>
        <w:t>CHAPITRE II. LE COMPTE UTILISATEUR : ANCRAGE DU VIVANT DANS L’ÉCONOMIE RÉELLE</w:t>
      </w:r>
    </w:p>
    <w:p>
      <w:pPr>
        <w:pStyle w:val="BodyText"/>
        <w:rPr/>
      </w:pPr>
      <w:r>
        <w:rPr/>
      </w:r>
    </w:p>
    <w:p>
      <w:pPr>
        <w:pStyle w:val="Heading2"/>
        <w:numPr>
          <w:ilvl w:val="1"/>
          <w:numId w:val="3"/>
        </w:numPr>
        <w:ind w:hanging="0" w:left="0"/>
        <w:rPr/>
      </w:pPr>
      <w:r>
        <w:rPr/>
        <w:t>2.1. Architecture générale et principes fondateurs</w:t>
      </w:r>
    </w:p>
    <w:p>
      <w:pPr>
        <w:pStyle w:val="BodyText"/>
        <w:rPr/>
      </w:pPr>
      <w:r>
        <w:rPr/>
      </w:r>
    </w:p>
    <w:p>
      <w:pPr>
        <w:pStyle w:val="Heading3"/>
        <w:numPr>
          <w:ilvl w:val="2"/>
          <w:numId w:val="3"/>
        </w:numPr>
        <w:ind w:hanging="0" w:left="0"/>
        <w:rPr/>
      </w:pPr>
      <w:r>
        <w:rPr>
          <w:rStyle w:val="Strong"/>
          <w:b/>
          <w:bCs/>
        </w:rPr>
        <w:t>2.1.1. Définition et structure fonctionnelle</w:t>
      </w:r>
    </w:p>
    <w:p>
      <w:pPr>
        <w:pStyle w:val="Heading4"/>
        <w:numPr>
          <w:ilvl w:val="3"/>
          <w:numId w:val="3"/>
        </w:numPr>
        <w:ind w:hanging="0" w:left="0"/>
        <w:rPr/>
      </w:pPr>
      <w:r>
        <w:rPr>
          <w:rStyle w:val="Strong"/>
          <w:b/>
          <w:bCs/>
        </w:rPr>
        <w:t>Définition 2.1. (Compte Utilisateur).</w:t>
      </w:r>
    </w:p>
    <w:p>
      <w:pPr>
        <w:pStyle w:val="BodyText"/>
        <w:rPr/>
      </w:pPr>
      <w:r>
        <w:rPr/>
        <w:t>Le Compte Utilisateur (CU) constitue l’entité économique élémentaire du protocole IRIS. Il établit le lien cryptographique et fonctionnel entre un être humain vivant et l’ensemble des mécanismes du système : création de valeur, circulation monétaire, conservation patrimoniale et régulation thermodynamique.</w:t>
      </w:r>
    </w:p>
    <w:p>
      <w:pPr>
        <w:pStyle w:val="Heading4"/>
        <w:numPr>
          <w:ilvl w:val="3"/>
          <w:numId w:val="3"/>
        </w:numPr>
        <w:ind w:hanging="0" w:left="0"/>
        <w:rPr/>
      </w:pPr>
      <w:r>
        <w:rPr>
          <w:rStyle w:val="Strong"/>
          <w:b/>
          <w:bCs/>
        </w:rPr>
        <w:t>Axiome 2.1. (Preuve d’unicité obligatoire).</w:t>
      </w:r>
    </w:p>
    <w:p>
      <w:pPr>
        <w:pStyle w:val="BodyText"/>
        <w:rPr/>
      </w:pPr>
      <w:r>
        <w:rPr/>
        <w:t xml:space="preserve">Chaque Compte Utilisateur repose sur une preuve d’unicité vérifiée, composée d’un </w:t>
      </w:r>
      <w:r>
        <w:rPr>
          <w:rStyle w:val="Emphasis"/>
        </w:rPr>
        <w:t>Token d’Unicité</w:t>
      </w:r>
      <w:r>
        <w:rPr/>
        <w:t xml:space="preserve"> (TU) et d’une </w:t>
      </w:r>
      <w:r>
        <w:rPr>
          <w:rStyle w:val="Emphasis"/>
        </w:rPr>
        <w:t>Credential Vérifiable</w:t>
      </w:r>
      <w:r>
        <w:rPr/>
        <w:t xml:space="preserve"> (VC), garantissant qu’un seul et unique compte correspond à chaque être vivant actif dans le système.</w:t>
      </w:r>
    </w:p>
    <w:p>
      <w:pPr>
        <w:pStyle w:val="Heading4"/>
        <w:numPr>
          <w:ilvl w:val="3"/>
          <w:numId w:val="3"/>
        </w:numPr>
        <w:ind w:hanging="0" w:left="0"/>
        <w:rPr/>
      </w:pPr>
      <w:r>
        <w:rPr>
          <w:rStyle w:val="Strong"/>
          <w:b/>
          <w:bCs/>
        </w:rPr>
        <w:t>Théorème 2.1. (Architecture tripartite).</w:t>
      </w:r>
    </w:p>
    <w:p>
      <w:pPr>
        <w:pStyle w:val="BodyText"/>
        <w:rPr/>
      </w:pPr>
      <w:r>
        <w:rPr/>
        <w:t>Chaque Compte Utilisateur se décompose en trois branches fonctionnelles complémentaires :</w:t>
      </w:r>
    </w:p>
    <w:p>
      <w:pPr>
        <w:pStyle w:val="BodyText"/>
        <w:numPr>
          <w:ilvl w:val="0"/>
          <w:numId w:val="7"/>
        </w:numPr>
        <w:tabs>
          <w:tab w:val="clear" w:pos="709"/>
          <w:tab w:val="left" w:pos="0" w:leader="none"/>
        </w:tabs>
        <w:spacing w:lineRule="auto" w:line="276"/>
        <w:ind w:hanging="283" w:left="709"/>
        <w:rPr/>
      </w:pPr>
      <w:r>
        <w:rPr>
          <w:rStyle w:val="Strong"/>
        </w:rPr>
        <w:t>Wallet (branche vitale)</w:t>
      </w:r>
      <w:r>
        <w:rPr/>
        <w:t xml:space="preserve"> </w:t>
      </w:r>
    </w:p>
    <w:p>
      <w:pPr>
        <w:pStyle w:val="BodyText"/>
        <w:spacing w:lineRule="auto" w:line="276"/>
        <w:ind w:hanging="0" w:left="709"/>
        <w:rPr/>
      </w:pPr>
      <w:r>
        <w:rPr>
          <w:rStyle w:val="Strong"/>
        </w:rPr>
        <w:t>Fonction :</w:t>
      </w:r>
      <w:r>
        <w:rPr/>
        <w:t xml:space="preserve"> Respiration économique, circulation du revenu et des contrats.</w:t>
      </w:r>
    </w:p>
    <w:p>
      <w:pPr>
        <w:pStyle w:val="BodyText"/>
        <w:spacing w:lineRule="auto" w:line="276"/>
        <w:ind w:hanging="0" w:left="1418"/>
        <w:rPr/>
      </w:pPr>
      <w:r>
        <w:rPr>
          <w:rStyle w:val="Strong"/>
        </w:rPr>
        <w:t>Flux gérés :</w:t>
      </w:r>
    </w:p>
    <w:p>
      <w:pPr>
        <w:pStyle w:val="BodyText"/>
        <w:numPr>
          <w:ilvl w:val="1"/>
          <w:numId w:val="7"/>
        </w:numPr>
        <w:tabs>
          <w:tab w:val="clear" w:pos="709"/>
          <w:tab w:val="left" w:pos="0" w:leader="none"/>
        </w:tabs>
        <w:spacing w:lineRule="auto" w:line="276"/>
        <w:ind w:hanging="283" w:left="1418"/>
        <w:rPr/>
      </w:pPr>
      <w:r>
        <w:rPr/>
        <w:t>Réception du revenu universel Ut​ (redistribution périodique) ;</w:t>
      </w:r>
    </w:p>
    <w:p>
      <w:pPr>
        <w:pStyle w:val="BodyText"/>
        <w:numPr>
          <w:ilvl w:val="1"/>
          <w:numId w:val="7"/>
        </w:numPr>
        <w:tabs>
          <w:tab w:val="clear" w:pos="709"/>
          <w:tab w:val="left" w:pos="0" w:leader="none"/>
        </w:tabs>
        <w:spacing w:lineRule="auto" w:line="276"/>
        <w:ind w:hanging="283" w:left="1418"/>
        <w:rPr/>
      </w:pPr>
      <w:r>
        <w:rPr/>
        <w:t>Réception de valeur vivante (V) (rémunération productive) ;</w:t>
      </w:r>
    </w:p>
    <w:p>
      <w:pPr>
        <w:pStyle w:val="BodyText"/>
        <w:numPr>
          <w:ilvl w:val="1"/>
          <w:numId w:val="7"/>
        </w:numPr>
        <w:tabs>
          <w:tab w:val="clear" w:pos="709"/>
          <w:tab w:val="left" w:pos="0" w:leader="none"/>
        </w:tabs>
        <w:spacing w:lineRule="auto" w:line="276"/>
        <w:ind w:hanging="283" w:left="1418"/>
        <w:rPr/>
      </w:pPr>
      <w:r>
        <w:rPr/>
        <w:t>Conversion dynamique V↔U selon le coefficient κt​ ;</w:t>
      </w:r>
    </w:p>
    <w:p>
      <w:pPr>
        <w:pStyle w:val="BodyText"/>
        <w:numPr>
          <w:ilvl w:val="1"/>
          <w:numId w:val="7"/>
        </w:numPr>
        <w:tabs>
          <w:tab w:val="clear" w:pos="709"/>
          <w:tab w:val="left" w:pos="0" w:leader="none"/>
        </w:tabs>
        <w:spacing w:lineRule="auto" w:line="276"/>
        <w:ind w:hanging="283" w:left="1418"/>
        <w:rPr/>
      </w:pPr>
      <w:r>
        <w:rPr/>
        <w:t>Exécution des engagements (empilements, abonnements, NFT financiers).</w:t>
      </w:r>
    </w:p>
    <w:p>
      <w:pPr>
        <w:pStyle w:val="BodyText"/>
        <w:numPr>
          <w:ilvl w:val="1"/>
          <w:numId w:val="7"/>
        </w:numPr>
        <w:tabs>
          <w:tab w:val="clear" w:pos="709"/>
          <w:tab w:val="left" w:pos="0" w:leader="none"/>
        </w:tabs>
        <w:spacing w:lineRule="auto" w:line="276"/>
        <w:ind w:hanging="283" w:left="1418"/>
        <w:rPr/>
      </w:pPr>
      <w:r>
        <w:rPr>
          <w:rStyle w:val="Strong"/>
        </w:rPr>
        <w:t>Propriété distinctive :</w:t>
      </w:r>
      <w:r>
        <w:rPr/>
        <w:t xml:space="preserve"> Conservation locale des clés cryptographiques (TU/VC), sans délégation de transaction possible.</w:t>
      </w:r>
    </w:p>
    <w:p>
      <w:pPr>
        <w:pStyle w:val="BodyText"/>
        <w:numPr>
          <w:ilvl w:val="1"/>
          <w:numId w:val="7"/>
        </w:numPr>
        <w:tabs>
          <w:tab w:val="clear" w:pos="709"/>
          <w:tab w:val="left" w:pos="0" w:leader="none"/>
        </w:tabs>
        <w:spacing w:lineRule="auto" w:line="276"/>
        <w:ind w:hanging="283" w:left="1418"/>
        <w:rPr/>
      </w:pPr>
      <w:r>
        <w:rPr>
          <w:rStyle w:val="Strong"/>
        </w:rPr>
        <w:t>Persistance :</w:t>
      </w:r>
      <w:r>
        <w:rPr/>
        <w:t xml:space="preserve"> Active en permanence tant que le CU existe.</w:t>
      </w:r>
    </w:p>
    <w:p>
      <w:pPr>
        <w:pStyle w:val="BodyText"/>
        <w:numPr>
          <w:ilvl w:val="0"/>
          <w:numId w:val="7"/>
        </w:numPr>
        <w:tabs>
          <w:tab w:val="clear" w:pos="709"/>
          <w:tab w:val="left" w:pos="0" w:leader="none"/>
        </w:tabs>
        <w:spacing w:lineRule="auto" w:line="276"/>
        <w:ind w:hanging="283" w:left="709"/>
        <w:rPr/>
      </w:pPr>
      <w:r>
        <w:rPr>
          <w:rStyle w:val="Strong"/>
        </w:rPr>
        <w:t>Compte NFT Privé (CNP, branche patrimoniale)</w:t>
      </w:r>
    </w:p>
    <w:p>
      <w:pPr>
        <w:pStyle w:val="BodyText"/>
        <w:spacing w:lineRule="auto" w:line="276"/>
        <w:ind w:hanging="0" w:left="709"/>
        <w:rPr/>
      </w:pPr>
      <w:r>
        <w:rPr>
          <w:rStyle w:val="Strong"/>
        </w:rPr>
        <w:t>Fonction :</w:t>
      </w:r>
      <w:r>
        <w:rPr/>
        <w:t xml:space="preserve"> Mémoire patrimoniale et traçabilité des possessions.</w:t>
      </w:r>
    </w:p>
    <w:p>
      <w:pPr>
        <w:pStyle w:val="BodyText"/>
        <w:spacing w:lineRule="auto" w:line="276"/>
        <w:ind w:hanging="0" w:left="1418"/>
        <w:rPr/>
      </w:pPr>
      <w:r>
        <w:rPr>
          <w:rStyle w:val="Strong"/>
        </w:rPr>
        <w:t>Contenu :</w:t>
      </w:r>
    </w:p>
    <w:p>
      <w:pPr>
        <w:pStyle w:val="BodyText"/>
        <w:numPr>
          <w:ilvl w:val="1"/>
          <w:numId w:val="7"/>
        </w:numPr>
        <w:tabs>
          <w:tab w:val="clear" w:pos="709"/>
          <w:tab w:val="left" w:pos="0" w:leader="none"/>
        </w:tabs>
        <w:spacing w:lineRule="auto" w:line="276"/>
        <w:ind w:hanging="283" w:left="1418"/>
        <w:rPr/>
      </w:pPr>
      <w:r>
        <w:rPr/>
        <w:t>NFT patrimoniaux (biens durables : immobilier, véhicules, équipements) ;</w:t>
      </w:r>
    </w:p>
    <w:p>
      <w:pPr>
        <w:pStyle w:val="BodyText"/>
        <w:numPr>
          <w:ilvl w:val="1"/>
          <w:numId w:val="7"/>
        </w:numPr>
        <w:tabs>
          <w:tab w:val="clear" w:pos="709"/>
          <w:tab w:val="left" w:pos="0" w:leader="none"/>
        </w:tabs>
        <w:spacing w:lineRule="auto" w:line="276"/>
        <w:ind w:hanging="283" w:left="1418"/>
        <w:rPr/>
      </w:pPr>
      <w:r>
        <w:rPr/>
        <w:t>NFT consommables archivés (historique de consommation temporaire) ;</w:t>
      </w:r>
    </w:p>
    <w:p>
      <w:pPr>
        <w:pStyle w:val="BodyText"/>
        <w:numPr>
          <w:ilvl w:val="1"/>
          <w:numId w:val="7"/>
        </w:numPr>
        <w:tabs>
          <w:tab w:val="clear" w:pos="709"/>
          <w:tab w:val="left" w:pos="0" w:leader="none"/>
        </w:tabs>
        <w:spacing w:lineRule="auto" w:line="276"/>
        <w:ind w:hanging="283" w:left="1418"/>
        <w:rPr/>
      </w:pPr>
      <w:r>
        <w:rPr/>
        <w:t>Testament cryptographique (désignation des héritiers et succession programmée).</w:t>
      </w:r>
    </w:p>
    <w:p>
      <w:pPr>
        <w:pStyle w:val="BodyText"/>
        <w:numPr>
          <w:ilvl w:val="1"/>
          <w:numId w:val="7"/>
        </w:numPr>
        <w:tabs>
          <w:tab w:val="clear" w:pos="709"/>
          <w:tab w:val="left" w:pos="0" w:leader="none"/>
        </w:tabs>
        <w:spacing w:lineRule="auto" w:line="276"/>
        <w:ind w:hanging="283" w:left="1418"/>
        <w:rPr/>
      </w:pPr>
      <w:r>
        <w:rPr>
          <w:rStyle w:val="Strong"/>
        </w:rPr>
        <w:t>Propriété distinctive :</w:t>
      </w:r>
      <w:r>
        <w:rPr/>
        <w:t xml:space="preserve"> Modularité récursive (arborescence de valeur et généalogie des biens).</w:t>
      </w:r>
    </w:p>
    <w:p>
      <w:pPr>
        <w:pStyle w:val="BodyText"/>
        <w:numPr>
          <w:ilvl w:val="1"/>
          <w:numId w:val="7"/>
        </w:numPr>
        <w:tabs>
          <w:tab w:val="clear" w:pos="709"/>
          <w:tab w:val="left" w:pos="0" w:leader="none"/>
        </w:tabs>
        <w:spacing w:lineRule="auto" w:line="276"/>
        <w:ind w:hanging="283" w:left="1418"/>
        <w:rPr/>
      </w:pPr>
      <w:r>
        <w:rPr>
          <w:rStyle w:val="Strong"/>
        </w:rPr>
        <w:t>Persistance :</w:t>
      </w:r>
      <w:r>
        <w:rPr/>
        <w:t xml:space="preserve"> Active en permanence, avec survivance post-mortem pour la transmission.</w:t>
      </w:r>
    </w:p>
    <w:p>
      <w:pPr>
        <w:pStyle w:val="BodyText"/>
        <w:numPr>
          <w:ilvl w:val="0"/>
          <w:numId w:val="7"/>
        </w:numPr>
        <w:tabs>
          <w:tab w:val="clear" w:pos="709"/>
          <w:tab w:val="left" w:pos="0" w:leader="none"/>
        </w:tabs>
        <w:spacing w:lineRule="auto" w:line="276"/>
        <w:ind w:hanging="283" w:left="709"/>
        <w:rPr/>
      </w:pPr>
      <w:r>
        <w:rPr>
          <w:rStyle w:val="Strong"/>
        </w:rPr>
        <w:t>Compte Entreprise (CE, branche productive)</w:t>
      </w:r>
    </w:p>
    <w:p>
      <w:pPr>
        <w:pStyle w:val="BodyText"/>
        <w:spacing w:lineRule="auto" w:line="276"/>
        <w:ind w:hanging="0" w:left="709"/>
        <w:rPr/>
      </w:pPr>
      <w:r>
        <w:rPr>
          <w:rStyle w:val="Strong"/>
        </w:rPr>
        <w:t>Fonction :</w:t>
      </w:r>
      <w:r>
        <w:rPr/>
        <w:t xml:space="preserve"> Création de valeur par des actes productifs vérifiés.</w:t>
      </w:r>
    </w:p>
    <w:p>
      <w:pPr>
        <w:pStyle w:val="BodyText"/>
        <w:spacing w:lineRule="auto" w:line="276"/>
        <w:ind w:hanging="0" w:left="1418"/>
        <w:rPr/>
      </w:pPr>
      <w:r>
        <w:rPr>
          <w:rStyle w:val="Strong"/>
        </w:rPr>
        <w:t>Opérations :</w:t>
      </w:r>
    </w:p>
    <w:p>
      <w:pPr>
        <w:pStyle w:val="BodyText"/>
        <w:numPr>
          <w:ilvl w:val="1"/>
          <w:numId w:val="7"/>
        </w:numPr>
        <w:tabs>
          <w:tab w:val="clear" w:pos="709"/>
          <w:tab w:val="left" w:pos="0" w:leader="none"/>
        </w:tabs>
        <w:spacing w:lineRule="auto" w:line="276"/>
        <w:ind w:hanging="283" w:left="1418"/>
        <w:rPr/>
      </w:pPr>
      <w:r>
        <w:rPr/>
        <w:t>Émission de NFT productifs (biens et services) ;</w:t>
      </w:r>
    </w:p>
    <w:p>
      <w:pPr>
        <w:pStyle w:val="BodyText"/>
        <w:numPr>
          <w:ilvl w:val="1"/>
          <w:numId w:val="7"/>
        </w:numPr>
        <w:tabs>
          <w:tab w:val="clear" w:pos="709"/>
          <w:tab w:val="left" w:pos="0" w:leader="none"/>
        </w:tabs>
        <w:spacing w:lineRule="auto" w:line="276"/>
        <w:ind w:hanging="283" w:left="1418"/>
        <w:rPr/>
      </w:pPr>
      <w:r>
        <w:rPr/>
        <w:t>Réception de (V) par ventes validées (combustion U+S) ;</w:t>
      </w:r>
    </w:p>
    <w:p>
      <w:pPr>
        <w:pStyle w:val="BodyText"/>
        <w:numPr>
          <w:ilvl w:val="1"/>
          <w:numId w:val="7"/>
        </w:numPr>
        <w:tabs>
          <w:tab w:val="clear" w:pos="709"/>
          <w:tab w:val="left" w:pos="0" w:leader="none"/>
        </w:tabs>
        <w:spacing w:lineRule="auto" w:line="276"/>
        <w:ind w:hanging="283" w:left="1418"/>
        <w:rPr/>
      </w:pPr>
      <w:r>
        <w:rPr/>
        <w:t>Redistribution organique (40 % collaborateurs, 60 % trésorerie) ;</w:t>
      </w:r>
    </w:p>
    <w:p>
      <w:pPr>
        <w:pStyle w:val="BodyText"/>
        <w:numPr>
          <w:ilvl w:val="1"/>
          <w:numId w:val="7"/>
        </w:numPr>
        <w:tabs>
          <w:tab w:val="clear" w:pos="709"/>
          <w:tab w:val="left" w:pos="0" w:leader="none"/>
        </w:tabs>
        <w:spacing w:lineRule="auto" w:line="276"/>
        <w:ind w:hanging="283" w:left="1418"/>
        <w:rPr/>
      </w:pPr>
      <w:r>
        <w:rPr/>
        <w:t>Financement via TAP et NFT financiers.</w:t>
      </w:r>
    </w:p>
    <w:p>
      <w:pPr>
        <w:pStyle w:val="BodyText"/>
        <w:numPr>
          <w:ilvl w:val="1"/>
          <w:numId w:val="7"/>
        </w:numPr>
        <w:tabs>
          <w:tab w:val="clear" w:pos="709"/>
          <w:tab w:val="left" w:pos="0" w:leader="none"/>
        </w:tabs>
        <w:spacing w:lineRule="auto" w:line="276"/>
        <w:ind w:hanging="283" w:left="1418"/>
        <w:rPr/>
      </w:pPr>
      <w:r>
        <w:rPr>
          <w:rStyle w:val="Strong"/>
        </w:rPr>
        <w:t>Propriété distinctive :</w:t>
      </w:r>
      <w:r>
        <w:rPr/>
        <w:t xml:space="preserve"> Exclusion de la monnaie d’usage (U) (fonctionne uniquement en V).</w:t>
      </w:r>
    </w:p>
    <w:p>
      <w:pPr>
        <w:pStyle w:val="BodyText"/>
        <w:numPr>
          <w:ilvl w:val="1"/>
          <w:numId w:val="7"/>
        </w:numPr>
        <w:tabs>
          <w:tab w:val="clear" w:pos="709"/>
          <w:tab w:val="left" w:pos="0" w:leader="none"/>
        </w:tabs>
        <w:spacing w:lineRule="auto" w:line="276"/>
        <w:ind w:hanging="283" w:left="1418"/>
        <w:rPr/>
      </w:pPr>
      <w:r>
        <w:rPr>
          <w:rStyle w:val="Strong"/>
        </w:rPr>
        <w:t>Persistance :</w:t>
      </w:r>
      <w:r>
        <w:rPr/>
        <w:t xml:space="preserve"> Créé à la demande, il peut survivre à son fondateur via une branche-racine.</w:t>
      </w:r>
    </w:p>
    <w:p>
      <w:pPr>
        <w:pStyle w:val="Heading4"/>
        <w:numPr>
          <w:ilvl w:val="3"/>
          <w:numId w:val="3"/>
        </w:numPr>
        <w:ind w:hanging="0" w:left="0"/>
        <w:rPr/>
      </w:pPr>
      <w:r>
        <w:rPr>
          <w:rStyle w:val="Strong"/>
          <w:b/>
          <w:bCs/>
        </w:rPr>
        <w:t>Proposition 2.1. (Modularité fonctionnelle).</w:t>
      </w:r>
    </w:p>
    <w:p>
      <w:pPr>
        <w:pStyle w:val="BodyText"/>
        <w:rPr/>
      </w:pPr>
      <w:r>
        <w:rPr/>
        <w:t>L’architecture tripartite reflète la séparation des fonctions économiques :</w:t>
      </w:r>
    </w:p>
    <w:p>
      <w:pPr>
        <w:pStyle w:val="BodyText"/>
        <w:numPr>
          <w:ilvl w:val="0"/>
          <w:numId w:val="8"/>
        </w:numPr>
        <w:tabs>
          <w:tab w:val="clear" w:pos="709"/>
          <w:tab w:val="left" w:pos="0" w:leader="none"/>
        </w:tabs>
        <w:spacing w:lineRule="auto" w:line="276"/>
        <w:ind w:hanging="283" w:left="709"/>
        <w:rPr/>
      </w:pPr>
      <w:r>
        <w:rPr>
          <w:rStyle w:val="Emphasis"/>
        </w:rPr>
        <w:t>Wallet</w:t>
      </w:r>
      <w:r>
        <w:rPr/>
        <w:t xml:space="preserve"> : flux (respiration quotidienne, liquidité immédiate) ;</w:t>
      </w:r>
    </w:p>
    <w:p>
      <w:pPr>
        <w:pStyle w:val="BodyText"/>
        <w:numPr>
          <w:ilvl w:val="0"/>
          <w:numId w:val="8"/>
        </w:numPr>
        <w:tabs>
          <w:tab w:val="clear" w:pos="709"/>
          <w:tab w:val="left" w:pos="0" w:leader="none"/>
        </w:tabs>
        <w:spacing w:lineRule="auto" w:line="276"/>
        <w:ind w:hanging="283" w:left="709"/>
        <w:rPr/>
      </w:pPr>
      <w:r>
        <w:rPr>
          <w:rStyle w:val="Emphasis"/>
        </w:rPr>
        <w:t>CNP</w:t>
      </w:r>
      <w:r>
        <w:rPr/>
        <w:t xml:space="preserve"> : stock (patrimoine durable, mémoire transgénérationnelle) ;</w:t>
      </w:r>
    </w:p>
    <w:p>
      <w:pPr>
        <w:pStyle w:val="BodyText"/>
        <w:numPr>
          <w:ilvl w:val="0"/>
          <w:numId w:val="8"/>
        </w:numPr>
        <w:tabs>
          <w:tab w:val="clear" w:pos="709"/>
          <w:tab w:val="left" w:pos="0" w:leader="none"/>
        </w:tabs>
        <w:spacing w:lineRule="auto" w:line="276"/>
        <w:ind w:hanging="283" w:left="709"/>
        <w:rPr/>
      </w:pPr>
      <w:r>
        <w:rPr>
          <w:rStyle w:val="Emphasis"/>
        </w:rPr>
        <w:t>CE</w:t>
      </w:r>
      <w:r>
        <w:rPr/>
        <w:t xml:space="preserve"> : transformation (effort en valeur, production en richesse).</w:t>
      </w:r>
    </w:p>
    <w:p>
      <w:pPr>
        <w:pStyle w:val="BodyText"/>
        <w:rPr/>
      </w:pPr>
      <w:r>
        <w:rPr/>
        <w:t>Cette séparation évite les confusions conceptuelles des systèmes classiques où un même compte bancaire mélange épargne, consommation et investissement sans distinction structurelle.</w:t>
      </w:r>
    </w:p>
    <w:p>
      <w:pPr>
        <w:pStyle w:val="BodyText"/>
        <w:rPr/>
      </w:pPr>
      <w:r>
        <w:rPr/>
      </w:r>
    </w:p>
    <w:p>
      <w:pPr>
        <w:pStyle w:val="Heading3"/>
        <w:numPr>
          <w:ilvl w:val="2"/>
          <w:numId w:val="3"/>
        </w:numPr>
        <w:ind w:hanging="0" w:left="0"/>
        <w:rPr/>
      </w:pPr>
      <w:r>
        <w:rPr>
          <w:rStyle w:val="Strong"/>
          <w:b/>
          <w:bCs/>
        </w:rPr>
        <w:t>2.1.2. Principes constitutifs</w:t>
      </w:r>
    </w:p>
    <w:p>
      <w:pPr>
        <w:pStyle w:val="Heading4"/>
        <w:numPr>
          <w:ilvl w:val="3"/>
          <w:numId w:val="3"/>
        </w:numPr>
        <w:ind w:hanging="0" w:left="0"/>
        <w:rPr/>
      </w:pPr>
      <w:r>
        <w:rPr>
          <w:rStyle w:val="Strong"/>
          <w:b/>
          <w:bCs/>
        </w:rPr>
        <w:t>Axiome 2.2. (Unicité cryptographique).</w:t>
      </w:r>
    </w:p>
    <w:p>
      <w:pPr>
        <w:pStyle w:val="BodyText"/>
        <w:rPr/>
      </w:pPr>
      <w:r>
        <w:rPr/>
        <w:t>Chaque être vivant ne peut détenir qu’un seul Compte Utilisateur, garanti par le couple (TU, VC), vérifié lors de l’initialisation par l’Oracle (cf. Chapitre I) ou lors d’une création ultérieure validée par la Chambre législative.</w:t>
      </w:r>
    </w:p>
    <w:p>
      <w:pPr>
        <w:pStyle w:val="Heading4"/>
        <w:numPr>
          <w:ilvl w:val="3"/>
          <w:numId w:val="3"/>
        </w:numPr>
        <w:ind w:hanging="0" w:left="0"/>
        <w:rPr/>
      </w:pPr>
      <w:r>
        <w:rPr>
          <w:rStyle w:val="Strong"/>
          <w:b/>
          <w:bCs/>
        </w:rPr>
        <w:t>Corollaire 2.1.</w:t>
      </w:r>
    </w:p>
    <w:p>
      <w:pPr>
        <w:pStyle w:val="BodyText"/>
        <w:rPr/>
      </w:pPr>
      <w:r>
        <w:rPr/>
        <w:t>L’impossibilité de créer plusieurs Comptes Utilisateurs pour un même individu élimine structurellement :</w:t>
      </w:r>
    </w:p>
    <w:p>
      <w:pPr>
        <w:pStyle w:val="BodyText"/>
        <w:numPr>
          <w:ilvl w:val="0"/>
          <w:numId w:val="9"/>
        </w:numPr>
        <w:tabs>
          <w:tab w:val="clear" w:pos="709"/>
          <w:tab w:val="left" w:pos="0" w:leader="none"/>
        </w:tabs>
        <w:spacing w:lineRule="auto" w:line="276"/>
        <w:ind w:hanging="283" w:left="709"/>
        <w:rPr/>
      </w:pPr>
      <w:r>
        <w:rPr/>
        <w:t>les comptes fantômes (attaques Sybil) ;</w:t>
      </w:r>
    </w:p>
    <w:p>
      <w:pPr>
        <w:pStyle w:val="BodyText"/>
        <w:numPr>
          <w:ilvl w:val="0"/>
          <w:numId w:val="9"/>
        </w:numPr>
        <w:tabs>
          <w:tab w:val="clear" w:pos="709"/>
          <w:tab w:val="left" w:pos="0" w:leader="none"/>
        </w:tabs>
        <w:spacing w:lineRule="auto" w:line="276"/>
        <w:ind w:hanging="283" w:left="709"/>
        <w:rPr/>
      </w:pPr>
      <w:r>
        <w:rPr/>
        <w:t>la duplication frauduleuse du revenu universel ;</w:t>
      </w:r>
    </w:p>
    <w:p>
      <w:pPr>
        <w:pStyle w:val="BodyText"/>
        <w:numPr>
          <w:ilvl w:val="0"/>
          <w:numId w:val="9"/>
        </w:numPr>
        <w:tabs>
          <w:tab w:val="clear" w:pos="709"/>
          <w:tab w:val="left" w:pos="0" w:leader="none"/>
        </w:tabs>
        <w:spacing w:lineRule="auto" w:line="276"/>
        <w:ind w:hanging="283" w:left="709"/>
        <w:rPr/>
      </w:pPr>
      <w:r>
        <w:rPr/>
        <w:t>l’accumulation spéculative par identités multiples.</w:t>
      </w:r>
    </w:p>
    <w:p>
      <w:pPr>
        <w:pStyle w:val="Heading4"/>
        <w:numPr>
          <w:ilvl w:val="3"/>
          <w:numId w:val="3"/>
        </w:numPr>
        <w:ind w:hanging="0" w:left="0"/>
        <w:rPr/>
      </w:pPr>
      <w:r>
        <w:rPr>
          <w:rStyle w:val="Strong"/>
          <w:b/>
          <w:bCs/>
        </w:rPr>
        <w:t>Axiome 2.3. (Inviolabilité des transactions).</w:t>
      </w:r>
    </w:p>
    <w:p>
      <w:pPr>
        <w:pStyle w:val="BodyText"/>
        <w:rPr/>
      </w:pPr>
      <w:r>
        <w:rPr/>
        <w:t xml:space="preserve">Toute opération effectuée depuis un Compte Utilisateur requiert une signature cryptographique </w:t>
      </w:r>
      <w:r>
        <w:rPr>
          <w:rStyle w:val="Emphasis"/>
        </w:rPr>
        <w:t>EX</w:t>
      </w:r>
      <w:r>
        <w:rPr/>
        <w:t xml:space="preserve"> (validation d’échange) attestant :</w:t>
      </w:r>
    </w:p>
    <w:p>
      <w:pPr>
        <w:pStyle w:val="BodyText"/>
        <w:numPr>
          <w:ilvl w:val="0"/>
          <w:numId w:val="10"/>
        </w:numPr>
        <w:tabs>
          <w:tab w:val="clear" w:pos="709"/>
          <w:tab w:val="left" w:pos="0" w:leader="none"/>
        </w:tabs>
        <w:spacing w:lineRule="auto" w:line="276"/>
        <w:ind w:hanging="283" w:left="709"/>
        <w:rPr/>
      </w:pPr>
      <w:r>
        <w:rPr/>
        <w:t>la présence vérifiable d’un être vivant (TU/VC valide) ;</w:t>
      </w:r>
    </w:p>
    <w:p>
      <w:pPr>
        <w:pStyle w:val="BodyText"/>
        <w:numPr>
          <w:ilvl w:val="0"/>
          <w:numId w:val="10"/>
        </w:numPr>
        <w:tabs>
          <w:tab w:val="clear" w:pos="709"/>
          <w:tab w:val="left" w:pos="0" w:leader="none"/>
        </w:tabs>
        <w:spacing w:lineRule="auto" w:line="276"/>
        <w:ind w:hanging="283" w:left="709"/>
        <w:rPr/>
      </w:pPr>
      <w:r>
        <w:rPr/>
        <w:t>le consentement explicite à l’opération (signature par clé privée) ;</w:t>
      </w:r>
    </w:p>
    <w:p>
      <w:pPr>
        <w:pStyle w:val="BodyText"/>
        <w:numPr>
          <w:ilvl w:val="0"/>
          <w:numId w:val="10"/>
        </w:numPr>
        <w:tabs>
          <w:tab w:val="clear" w:pos="709"/>
          <w:tab w:val="left" w:pos="0" w:leader="none"/>
        </w:tabs>
        <w:spacing w:lineRule="auto" w:line="276"/>
        <w:ind w:hanging="283" w:left="709"/>
        <w:rPr/>
      </w:pPr>
      <w:r>
        <w:rPr/>
        <w:t>l’horodatage immuable sur la DHT.</w:t>
      </w:r>
    </w:p>
    <w:p>
      <w:pPr>
        <w:pStyle w:val="Heading4"/>
        <w:numPr>
          <w:ilvl w:val="3"/>
          <w:numId w:val="3"/>
        </w:numPr>
        <w:ind w:hanging="0" w:left="0"/>
        <w:rPr/>
      </w:pPr>
      <w:r>
        <w:rPr>
          <w:rStyle w:val="Strong"/>
          <w:b/>
          <w:bCs/>
        </w:rPr>
        <w:t>Proposition 2.2. (Traçabilité sans surveillance).</w:t>
      </w:r>
    </w:p>
    <w:p>
      <w:pPr>
        <w:pStyle w:val="BodyText"/>
        <w:rPr/>
      </w:pPr>
      <w:r>
        <w:rPr/>
        <w:t>Chaque action laisse une empreinte cryptographique (hachage SHA-256 et horodatage) sur la DHT publique, garantissant :</w:t>
      </w:r>
    </w:p>
    <w:p>
      <w:pPr>
        <w:pStyle w:val="BodyText"/>
        <w:numPr>
          <w:ilvl w:val="0"/>
          <w:numId w:val="11"/>
        </w:numPr>
        <w:tabs>
          <w:tab w:val="clear" w:pos="709"/>
          <w:tab w:val="left" w:pos="0" w:leader="none"/>
        </w:tabs>
        <w:spacing w:lineRule="auto" w:line="276"/>
        <w:ind w:hanging="283" w:left="709"/>
        <w:rPr/>
      </w:pPr>
      <w:r>
        <w:rPr/>
        <w:t>la transparence systémique : les flux globaux (∑V, ∑U, ∑D) sont auditables publiquement ;</w:t>
      </w:r>
    </w:p>
    <w:p>
      <w:pPr>
        <w:pStyle w:val="BodyText"/>
        <w:numPr>
          <w:ilvl w:val="0"/>
          <w:numId w:val="11"/>
        </w:numPr>
        <w:tabs>
          <w:tab w:val="clear" w:pos="709"/>
          <w:tab w:val="left" w:pos="0" w:leader="none"/>
        </w:tabs>
        <w:spacing w:lineRule="auto" w:line="276"/>
        <w:ind w:hanging="283" w:left="709"/>
        <w:rPr/>
      </w:pPr>
      <w:r>
        <w:rPr/>
        <w:t>la confidentialité individuelle : les montants précis et les contreparties demeurent chiffrés localement.</w:t>
      </w:r>
    </w:p>
    <w:p>
      <w:pPr>
        <w:pStyle w:val="BodyText"/>
        <w:rPr/>
      </w:pPr>
      <w:r>
        <w:rPr/>
        <w:t>Ce compromis résout le dilemme classique entre l’auditabilité démocratique, nécessaire à la confiance collective, et la protection de la vie privée, droit fondamental.</w:t>
      </w:r>
    </w:p>
    <w:p>
      <w:pPr>
        <w:pStyle w:val="Heading4"/>
        <w:numPr>
          <w:ilvl w:val="3"/>
          <w:numId w:val="3"/>
        </w:numPr>
        <w:ind w:hanging="0" w:left="0"/>
        <w:rPr/>
      </w:pPr>
      <w:r>
        <w:rPr>
          <w:rStyle w:val="Strong"/>
          <w:b/>
          <w:bCs/>
        </w:rPr>
        <w:t>Théorème 2.2. (Organisme économique autonome).</w:t>
      </w:r>
    </w:p>
    <w:p>
      <w:pPr>
        <w:pStyle w:val="BodyText"/>
        <w:rPr/>
      </w:pPr>
      <w:r>
        <w:rPr/>
        <w:t>Le Compte Utilisateur fonctionne comme une cellule vivante au sein du métabolisme IRIS :</w:t>
      </w:r>
    </w:p>
    <w:p>
      <w:pPr>
        <w:pStyle w:val="BodyText"/>
        <w:numPr>
          <w:ilvl w:val="0"/>
          <w:numId w:val="12"/>
        </w:numPr>
        <w:tabs>
          <w:tab w:val="clear" w:pos="709"/>
          <w:tab w:val="left" w:pos="0" w:leader="none"/>
        </w:tabs>
        <w:spacing w:lineRule="auto" w:line="276"/>
        <w:ind w:hanging="283" w:left="709"/>
        <w:rPr/>
      </w:pPr>
      <w:r>
        <w:rPr>
          <w:rStyle w:val="Strong"/>
        </w:rPr>
        <w:t>Métabolisme énergétique :</w:t>
      </w:r>
      <w:r>
        <w:rPr/>
        <w:t xml:space="preserve"> absorption du revenu universel périodique (U), transformation de S+U en (V) (production), et consommation de (U) ;</w:t>
      </w:r>
    </w:p>
    <w:p>
      <w:pPr>
        <w:pStyle w:val="BodyText"/>
        <w:numPr>
          <w:ilvl w:val="0"/>
          <w:numId w:val="12"/>
        </w:numPr>
        <w:tabs>
          <w:tab w:val="clear" w:pos="709"/>
          <w:tab w:val="left" w:pos="0" w:leader="none"/>
        </w:tabs>
        <w:spacing w:lineRule="auto" w:line="276"/>
        <w:ind w:hanging="283" w:left="709"/>
        <w:rPr/>
      </w:pPr>
      <w:r>
        <w:rPr>
          <w:rStyle w:val="Strong"/>
        </w:rPr>
        <w:t>Mémoire génétique :</w:t>
      </w:r>
      <w:r>
        <w:rPr/>
        <w:t xml:space="preserve"> conservation du patrimoine via le CNP, traçabilité de l’historique et généalogie des NFT ;</w:t>
      </w:r>
    </w:p>
    <w:p>
      <w:pPr>
        <w:pStyle w:val="BodyText"/>
        <w:numPr>
          <w:ilvl w:val="0"/>
          <w:numId w:val="12"/>
        </w:numPr>
        <w:tabs>
          <w:tab w:val="clear" w:pos="709"/>
          <w:tab w:val="left" w:pos="0" w:leader="none"/>
        </w:tabs>
        <w:spacing w:lineRule="auto" w:line="276"/>
        <w:ind w:hanging="283" w:left="709"/>
        <w:rPr/>
      </w:pPr>
      <w:r>
        <w:rPr>
          <w:rStyle w:val="Strong"/>
        </w:rPr>
        <w:t>Reproduction :</w:t>
      </w:r>
      <w:r>
        <w:rPr/>
        <w:t xml:space="preserve"> création éventuelle d’un Compte Entreprise (division productive) et transmission par héritage.</w:t>
      </w:r>
    </w:p>
    <w:p>
      <w:pPr>
        <w:pStyle w:val="BodyText"/>
        <w:rPr/>
      </w:pPr>
      <w:r>
        <w:rPr/>
        <w:t>Cette analogie biologique ne relève pas de la métaphore : elle traduit la nature organique du système, dans lequel chaque Compte Utilisateur respire, produit, mémorise et se reproduit selon des lois thermodynamiques cohérentes.</w:t>
      </w:r>
    </w:p>
    <w:p>
      <w:pPr>
        <w:pStyle w:val="BodyText"/>
        <w:rPr/>
      </w:pPr>
      <w:r>
        <w:rPr/>
      </w:r>
    </w:p>
    <w:p>
      <w:pPr>
        <w:pStyle w:val="Heading3"/>
        <w:numPr>
          <w:ilvl w:val="2"/>
          <w:numId w:val="3"/>
        </w:numPr>
        <w:ind w:hanging="0" w:left="0"/>
        <w:rPr/>
      </w:pPr>
      <w:r>
        <w:rPr>
          <w:rStyle w:val="Strong"/>
          <w:b/>
          <w:bCs/>
        </w:rPr>
        <w:t>2.1.3. Principe économique fondamental</w:t>
      </w:r>
    </w:p>
    <w:p>
      <w:pPr>
        <w:pStyle w:val="Heading4"/>
        <w:numPr>
          <w:ilvl w:val="3"/>
          <w:numId w:val="3"/>
        </w:numPr>
        <w:ind w:hanging="0" w:left="0"/>
        <w:rPr/>
      </w:pPr>
      <w:r>
        <w:rPr>
          <w:rStyle w:val="Strong"/>
          <w:b/>
          <w:bCs/>
        </w:rPr>
        <w:t>Définition 2.2 (Grandeurs économiques primitives).</w:t>
      </w:r>
    </w:p>
    <w:p>
      <w:pPr>
        <w:pStyle w:val="BodyText"/>
        <w:numPr>
          <w:ilvl w:val="0"/>
          <w:numId w:val="13"/>
        </w:numPr>
        <w:tabs>
          <w:tab w:val="clear" w:pos="709"/>
          <w:tab w:val="left" w:pos="0" w:leader="none"/>
        </w:tabs>
        <w:spacing w:lineRule="auto" w:line="276"/>
        <w:ind w:hanging="283" w:left="709"/>
        <w:rPr/>
      </w:pPr>
      <w:r>
        <w:rPr>
          <w:rStyle w:val="Strong"/>
        </w:rPr>
        <w:t>S (Stipulat)</w:t>
      </w:r>
      <w:r>
        <w:rPr/>
        <w:t xml:space="preserve"> : preuve cryptographique d’un effort réel investi dans la production d’un bien ou d’un service. Il représente le travail vivant, distinct de la monnaie.</w:t>
      </w:r>
    </w:p>
    <w:p>
      <w:pPr>
        <w:pStyle w:val="BodyText"/>
        <w:numPr>
          <w:ilvl w:val="1"/>
          <w:numId w:val="13"/>
        </w:numPr>
        <w:tabs>
          <w:tab w:val="clear" w:pos="709"/>
          <w:tab w:val="left" w:pos="0" w:leader="none"/>
        </w:tabs>
        <w:spacing w:lineRule="auto" w:line="276"/>
        <w:ind w:hanging="283" w:left="1418"/>
        <w:rPr/>
      </w:pPr>
      <w:r>
        <w:rPr>
          <w:rStyle w:val="Emphasis"/>
        </w:rPr>
        <w:t>Nature</w:t>
      </w:r>
      <w:r>
        <w:rPr/>
        <w:t xml:space="preserve"> : flux éphémère, créé puis détruit lors de la transaction.</w:t>
      </w:r>
    </w:p>
    <w:p>
      <w:pPr>
        <w:pStyle w:val="BodyText"/>
        <w:numPr>
          <w:ilvl w:val="1"/>
          <w:numId w:val="13"/>
        </w:numPr>
        <w:tabs>
          <w:tab w:val="clear" w:pos="709"/>
          <w:tab w:val="left" w:pos="0" w:leader="none"/>
        </w:tabs>
        <w:spacing w:lineRule="auto" w:line="276"/>
        <w:ind w:hanging="283" w:left="1418"/>
        <w:rPr/>
      </w:pPr>
      <w:r>
        <w:rPr>
          <w:rStyle w:val="Emphasis"/>
        </w:rPr>
        <w:t>Unité</w:t>
      </w:r>
      <w:r>
        <w:rPr/>
        <w:t xml:space="preserve"> : durée multipliée par la qualification (par exemple : 10 h × Φ_qual = 12 unités S).</w:t>
      </w:r>
    </w:p>
    <w:p>
      <w:pPr>
        <w:pStyle w:val="BodyText"/>
        <w:numPr>
          <w:ilvl w:val="1"/>
          <w:numId w:val="13"/>
        </w:numPr>
        <w:tabs>
          <w:tab w:val="clear" w:pos="709"/>
          <w:tab w:val="left" w:pos="0" w:leader="none"/>
        </w:tabs>
        <w:spacing w:lineRule="auto" w:line="276"/>
        <w:ind w:hanging="283" w:left="1418"/>
        <w:rPr/>
      </w:pPr>
      <w:r>
        <w:rPr>
          <w:rStyle w:val="Emphasis"/>
        </w:rPr>
        <w:t>Support</w:t>
      </w:r>
      <w:r>
        <w:rPr/>
        <w:t xml:space="preserve"> : NFT temporaire lié à un acte productif.</w:t>
      </w:r>
    </w:p>
    <w:p>
      <w:pPr>
        <w:pStyle w:val="BodyText"/>
        <w:numPr>
          <w:ilvl w:val="0"/>
          <w:numId w:val="13"/>
        </w:numPr>
        <w:tabs>
          <w:tab w:val="clear" w:pos="709"/>
          <w:tab w:val="left" w:pos="0" w:leader="none"/>
        </w:tabs>
        <w:spacing w:lineRule="auto" w:line="276"/>
        <w:ind w:hanging="283" w:left="709"/>
        <w:rPr/>
      </w:pPr>
      <w:r>
        <w:rPr>
          <w:rStyle w:val="Strong"/>
        </w:rPr>
        <w:t>U (Unum)</w:t>
      </w:r>
      <w:r>
        <w:rPr/>
        <w:t xml:space="preserve"> : monnaie d’usage périodique servant à la circulation économique immédiate.</w:t>
      </w:r>
    </w:p>
    <w:p>
      <w:pPr>
        <w:pStyle w:val="BodyText"/>
        <w:numPr>
          <w:ilvl w:val="1"/>
          <w:numId w:val="13"/>
        </w:numPr>
        <w:tabs>
          <w:tab w:val="clear" w:pos="709"/>
          <w:tab w:val="left" w:pos="0" w:leader="none"/>
        </w:tabs>
        <w:spacing w:lineRule="auto" w:line="276"/>
        <w:ind w:hanging="283" w:left="1418"/>
        <w:rPr/>
      </w:pPr>
      <w:r>
        <w:rPr>
          <w:rStyle w:val="Emphasis"/>
        </w:rPr>
        <w:t>Nature</w:t>
      </w:r>
      <w:r>
        <w:rPr/>
        <w:t xml:space="preserve"> : flux périssable, détruit en fin de cycle s’il n’est pas utilisé.</w:t>
      </w:r>
    </w:p>
    <w:p>
      <w:pPr>
        <w:pStyle w:val="BodyText"/>
        <w:numPr>
          <w:ilvl w:val="1"/>
          <w:numId w:val="13"/>
        </w:numPr>
        <w:tabs>
          <w:tab w:val="clear" w:pos="709"/>
          <w:tab w:val="left" w:pos="0" w:leader="none"/>
        </w:tabs>
        <w:spacing w:lineRule="auto" w:line="276"/>
        <w:ind w:hanging="283" w:left="1418"/>
        <w:rPr/>
      </w:pPr>
      <w:r>
        <w:rPr>
          <w:rStyle w:val="Emphasis"/>
        </w:rPr>
        <w:t>Origine</w:t>
      </w:r>
      <w:r>
        <w:rPr/>
        <w:t xml:space="preserve"> : redistribution du revenu universel ou conversion de (V) en U.</w:t>
      </w:r>
    </w:p>
    <w:p>
      <w:pPr>
        <w:pStyle w:val="BodyText"/>
        <w:numPr>
          <w:ilvl w:val="1"/>
          <w:numId w:val="13"/>
        </w:numPr>
        <w:tabs>
          <w:tab w:val="clear" w:pos="709"/>
          <w:tab w:val="left" w:pos="0" w:leader="none"/>
        </w:tabs>
        <w:spacing w:lineRule="auto" w:line="276"/>
        <w:ind w:hanging="283" w:left="1418"/>
        <w:rPr/>
      </w:pPr>
      <w:r>
        <w:rPr>
          <w:rStyle w:val="Emphasis"/>
        </w:rPr>
        <w:t>Fonction</w:t>
      </w:r>
      <w:r>
        <w:rPr/>
        <w:t xml:space="preserve"> : paiement de biens et de services, financement d’engagements.</w:t>
      </w:r>
    </w:p>
    <w:p>
      <w:pPr>
        <w:pStyle w:val="BodyText"/>
        <w:numPr>
          <w:ilvl w:val="0"/>
          <w:numId w:val="13"/>
        </w:numPr>
        <w:tabs>
          <w:tab w:val="clear" w:pos="709"/>
          <w:tab w:val="left" w:pos="0" w:leader="none"/>
        </w:tabs>
        <w:spacing w:lineRule="auto" w:line="276"/>
        <w:ind w:hanging="283" w:left="709"/>
        <w:rPr/>
      </w:pPr>
      <w:r>
        <w:rPr>
          <w:rStyle w:val="Strong"/>
        </w:rPr>
        <w:t>V (Verum)</w:t>
      </w:r>
      <w:r>
        <w:rPr/>
        <w:t xml:space="preserve"> : valeur vivante, durable et traçable, représentant la richesse vérifiée.</w:t>
      </w:r>
    </w:p>
    <w:p>
      <w:pPr>
        <w:pStyle w:val="BodyText"/>
        <w:numPr>
          <w:ilvl w:val="1"/>
          <w:numId w:val="13"/>
        </w:numPr>
        <w:tabs>
          <w:tab w:val="clear" w:pos="709"/>
          <w:tab w:val="left" w:pos="0" w:leader="none"/>
        </w:tabs>
        <w:spacing w:lineRule="auto" w:line="276"/>
        <w:ind w:hanging="283" w:left="1418"/>
        <w:rPr/>
      </w:pPr>
      <w:r>
        <w:rPr>
          <w:rStyle w:val="Emphasis"/>
        </w:rPr>
        <w:t>Nature</w:t>
      </w:r>
      <w:r>
        <w:rPr/>
        <w:t xml:space="preserve"> : stock évolutif, mémoire économique.</w:t>
      </w:r>
    </w:p>
    <w:p>
      <w:pPr>
        <w:pStyle w:val="BodyText"/>
        <w:numPr>
          <w:ilvl w:val="1"/>
          <w:numId w:val="13"/>
        </w:numPr>
        <w:tabs>
          <w:tab w:val="clear" w:pos="709"/>
          <w:tab w:val="left" w:pos="0" w:leader="none"/>
        </w:tabs>
        <w:spacing w:lineRule="auto" w:line="276"/>
        <w:ind w:hanging="283" w:left="1418"/>
        <w:rPr/>
      </w:pPr>
      <w:r>
        <w:rPr>
          <w:rStyle w:val="Emphasis"/>
        </w:rPr>
        <w:t>Création</w:t>
      </w:r>
      <w:r>
        <w:rPr/>
        <w:t xml:space="preserve"> : combustion simultanée de U+S lors d’un acte productif validé.</w:t>
      </w:r>
    </w:p>
    <w:p>
      <w:pPr>
        <w:pStyle w:val="BodyText"/>
        <w:numPr>
          <w:ilvl w:val="1"/>
          <w:numId w:val="13"/>
        </w:numPr>
        <w:tabs>
          <w:tab w:val="clear" w:pos="709"/>
          <w:tab w:val="left" w:pos="0" w:leader="none"/>
        </w:tabs>
        <w:spacing w:lineRule="auto" w:line="276"/>
        <w:ind w:hanging="283" w:left="1418"/>
        <w:rPr/>
      </w:pPr>
      <w:r>
        <w:rPr>
          <w:rStyle w:val="Emphasis"/>
        </w:rPr>
        <w:t>Évolution</w:t>
      </w:r>
      <w:r>
        <w:rPr/>
        <w:t xml:space="preserve"> : augmente par création, diminue par combustion, fluctue selon les immobilisations et désimmobilisations.</w:t>
      </w:r>
    </w:p>
    <w:p>
      <w:pPr>
        <w:pStyle w:val="BodyText"/>
        <w:numPr>
          <w:ilvl w:val="0"/>
          <w:numId w:val="13"/>
        </w:numPr>
        <w:tabs>
          <w:tab w:val="clear" w:pos="709"/>
          <w:tab w:val="left" w:pos="0" w:leader="none"/>
        </w:tabs>
        <w:spacing w:lineRule="auto" w:line="276"/>
        <w:ind w:hanging="283" w:left="709"/>
        <w:rPr/>
      </w:pPr>
      <w:r>
        <w:rPr>
          <w:rStyle w:val="Strong"/>
        </w:rPr>
        <w:t>D (Passif thermométrique)</w:t>
      </w:r>
      <w:r>
        <w:rPr/>
        <w:t xml:space="preserve"> : signal de régulation inscrit dans le Régulateur Automatique Décentralisé (RAD).</w:t>
      </w:r>
    </w:p>
    <w:p>
      <w:pPr>
        <w:pStyle w:val="BodyText"/>
        <w:numPr>
          <w:ilvl w:val="1"/>
          <w:numId w:val="13"/>
        </w:numPr>
        <w:tabs>
          <w:tab w:val="clear" w:pos="709"/>
          <w:tab w:val="left" w:pos="0" w:leader="none"/>
        </w:tabs>
        <w:spacing w:lineRule="auto" w:line="276"/>
        <w:ind w:hanging="283" w:left="1418"/>
        <w:rPr/>
      </w:pPr>
      <w:r>
        <w:rPr>
          <w:rStyle w:val="Emphasis"/>
        </w:rPr>
        <w:t>Nature</w:t>
      </w:r>
      <w:r>
        <w:rPr/>
        <w:t xml:space="preserve"> : indicateur non exigible.</w:t>
      </w:r>
    </w:p>
    <w:p>
      <w:pPr>
        <w:pStyle w:val="BodyText"/>
        <w:numPr>
          <w:ilvl w:val="1"/>
          <w:numId w:val="13"/>
        </w:numPr>
        <w:tabs>
          <w:tab w:val="clear" w:pos="709"/>
          <w:tab w:val="left" w:pos="0" w:leader="none"/>
        </w:tabs>
        <w:spacing w:lineRule="auto" w:line="276"/>
        <w:ind w:hanging="283" w:left="1418"/>
        <w:rPr/>
      </w:pPr>
      <w:r>
        <w:rPr>
          <w:rStyle w:val="Emphasis"/>
        </w:rPr>
        <w:t>Fonction</w:t>
      </w:r>
      <w:r>
        <w:rPr/>
        <w:t xml:space="preserve"> : calcul du thermomètre global rt​=Dt​/Vt(on)​.</w:t>
      </w:r>
    </w:p>
    <w:p>
      <w:pPr>
        <w:pStyle w:val="BodyText"/>
        <w:numPr>
          <w:ilvl w:val="1"/>
          <w:numId w:val="13"/>
        </w:numPr>
        <w:tabs>
          <w:tab w:val="clear" w:pos="709"/>
          <w:tab w:val="left" w:pos="0" w:leader="none"/>
        </w:tabs>
        <w:spacing w:lineRule="auto" w:line="276"/>
        <w:ind w:hanging="283" w:left="1418"/>
        <w:rPr/>
      </w:pPr>
      <w:r>
        <w:rPr>
          <w:rStyle w:val="Emphasis"/>
        </w:rPr>
        <w:t>Sources</w:t>
      </w:r>
      <w:r>
        <w:rPr/>
        <w:t xml:space="preserve"> : calibrage initial, avances productives, actifs orphelins.</w:t>
      </w:r>
    </w:p>
    <w:p>
      <w:pPr>
        <w:pStyle w:val="Heading4"/>
        <w:numPr>
          <w:ilvl w:val="3"/>
          <w:numId w:val="3"/>
        </w:numPr>
        <w:ind w:hanging="0" w:left="0"/>
        <w:rPr/>
      </w:pPr>
      <w:r>
        <w:rPr>
          <w:rStyle w:val="Strong"/>
          <w:b/>
          <w:bCs/>
        </w:rPr>
        <w:t>Proposition 2.3 (Distinction fondamentale entre flux et stock).</w:t>
      </w:r>
    </w:p>
    <w:p>
      <w:pPr>
        <w:pStyle w:val="BodyText"/>
        <w:numPr>
          <w:ilvl w:val="0"/>
          <w:numId w:val="14"/>
        </w:numPr>
        <w:tabs>
          <w:tab w:val="clear" w:pos="709"/>
          <w:tab w:val="left" w:pos="0" w:leader="none"/>
        </w:tabs>
        <w:spacing w:lineRule="auto" w:line="276"/>
        <w:ind w:hanging="283" w:left="709"/>
        <w:rPr/>
      </w:pPr>
      <w:r>
        <w:rPr/>
        <w:t>Les flux (S et U) sont éphémères et disparaissent lors des transactions.</w:t>
      </w:r>
    </w:p>
    <w:p>
      <w:pPr>
        <w:pStyle w:val="BodyText"/>
        <w:numPr>
          <w:ilvl w:val="0"/>
          <w:numId w:val="14"/>
        </w:numPr>
        <w:tabs>
          <w:tab w:val="clear" w:pos="709"/>
          <w:tab w:val="left" w:pos="0" w:leader="none"/>
        </w:tabs>
        <w:spacing w:lineRule="auto" w:line="276"/>
        <w:ind w:hanging="283" w:left="709"/>
        <w:rPr/>
      </w:pPr>
      <w:r>
        <w:rPr/>
        <w:t>Les stocks (V et D) sont durables : le premier incarne la richesse, le second le signal régulateur.</w:t>
      </w:r>
    </w:p>
    <w:p>
      <w:pPr>
        <w:pStyle w:val="BodyText"/>
        <w:rPr/>
      </w:pPr>
      <w:r>
        <w:rPr/>
        <w:t>Cette distinction résout l’ambiguïté millénaire de la monnaie : dans IRIS, la circulation (U) et la conservation (V) sont structurellement séparées, évitant toute confusion entre liquidité et richesse.</w:t>
      </w:r>
    </w:p>
    <w:p>
      <w:pPr>
        <w:pStyle w:val="Heading4"/>
        <w:numPr>
          <w:ilvl w:val="3"/>
          <w:numId w:val="3"/>
        </w:numPr>
        <w:ind w:hanging="0" w:left="0"/>
        <w:rPr/>
      </w:pPr>
      <w:r>
        <w:rPr>
          <w:rStyle w:val="Strong"/>
          <w:b/>
          <w:bCs/>
        </w:rPr>
        <w:t>Théorème 2.3 (Loi de création de valeur).</w:t>
      </w:r>
    </w:p>
    <w:p>
      <w:pPr>
        <w:pStyle w:val="BodyText"/>
        <w:rPr/>
      </w:pPr>
      <w:r>
        <w:rPr/>
        <w:t>Toute création de valeur vivante (V) résulte d’un acte productif vérifié selon la relation :</w:t>
      </w:r>
    </w:p>
    <w:p>
      <w:pPr>
        <w:pStyle w:val="BodyText"/>
        <w:rPr/>
      </w:pPr>
      <w:r>
        <w:rPr/>
      </w:r>
    </w:p>
    <w:p>
      <w:pPr>
        <w:pStyle w:val="BodyText"/>
        <w:jc w:val="center"/>
        <w:rPr/>
      </w:pPr>
      <w:r>
        <w:rPr/>
        <w:t xml:space="preserve">ΔVt(creˊa)​=ηt​×Δt×Et​ </w:t>
      </w:r>
    </w:p>
    <w:p>
      <w:pPr>
        <w:pStyle w:val="BodyText"/>
        <w:jc w:val="center"/>
        <w:rPr/>
      </w:pPr>
      <w:r>
        <w:rPr/>
      </w:r>
    </w:p>
    <w:p>
      <w:pPr>
        <w:pStyle w:val="BodyText"/>
        <w:rPr/>
      </w:pPr>
      <w:r>
        <w:rPr/>
        <w:t>où :</w:t>
      </w:r>
    </w:p>
    <w:p>
      <w:pPr>
        <w:pStyle w:val="BodyText"/>
        <w:numPr>
          <w:ilvl w:val="0"/>
          <w:numId w:val="15"/>
        </w:numPr>
        <w:tabs>
          <w:tab w:val="clear" w:pos="709"/>
          <w:tab w:val="left" w:pos="0" w:leader="none"/>
        </w:tabs>
        <w:spacing w:lineRule="auto" w:line="276"/>
        <w:ind w:hanging="283" w:left="709"/>
        <w:rPr/>
      </w:pPr>
      <w:r>
        <w:rPr/>
        <w:t>η_t​ est le multiplicateur de création dynamique (compris entre 0,5 et 2,0) ;</w:t>
      </w:r>
    </w:p>
    <w:p>
      <w:pPr>
        <w:pStyle w:val="BodyText"/>
        <w:numPr>
          <w:ilvl w:val="0"/>
          <w:numId w:val="15"/>
        </w:numPr>
        <w:tabs>
          <w:tab w:val="clear" w:pos="709"/>
          <w:tab w:val="left" w:pos="0" w:leader="none"/>
        </w:tabs>
        <w:spacing w:lineRule="auto" w:line="276"/>
        <w:ind w:hanging="283" w:left="709"/>
        <w:rPr/>
      </w:pPr>
      <w:r>
        <w:rPr/>
        <w:t>Δ_t représente l’unité de temps de la transaction ;</w:t>
      </w:r>
    </w:p>
    <w:p>
      <w:pPr>
        <w:pStyle w:val="BodyText"/>
        <w:numPr>
          <w:ilvl w:val="0"/>
          <w:numId w:val="15"/>
        </w:numPr>
        <w:tabs>
          <w:tab w:val="clear" w:pos="709"/>
          <w:tab w:val="left" w:pos="0" w:leader="none"/>
        </w:tabs>
        <w:spacing w:lineRule="auto" w:line="276"/>
        <w:ind w:hanging="283" w:left="709"/>
        <w:rPr/>
      </w:pPr>
      <w:r>
        <w:rPr/>
        <w:t>E_t​ désigne l’énergie économique consommée, définie par :</w:t>
      </w:r>
    </w:p>
    <w:p>
      <w:pPr>
        <w:pStyle w:val="BodyText"/>
        <w:spacing w:lineRule="auto" w:line="276"/>
        <w:rPr/>
      </w:pPr>
      <w:r>
        <w:rPr/>
      </w:r>
    </w:p>
    <w:p>
      <w:pPr>
        <w:pStyle w:val="BodyText"/>
        <w:spacing w:lineRule="auto" w:line="276"/>
        <w:jc w:val="center"/>
        <w:rPr/>
      </w:pPr>
      <w:r>
        <w:rPr/>
        <w:t xml:space="preserve">Et​=wS​×sburn,t​+wU​×uburn,t​,wS​+wU​=1 </w:t>
      </w:r>
    </w:p>
    <w:p>
      <w:pPr>
        <w:pStyle w:val="BodyText"/>
        <w:spacing w:lineRule="auto" w:line="276"/>
        <w:jc w:val="left"/>
        <w:rPr/>
      </w:pPr>
      <w:r>
        <w:rPr/>
      </w:r>
    </w:p>
    <w:p>
      <w:pPr>
        <w:pStyle w:val="BodyText"/>
        <w:rPr/>
      </w:pPr>
      <w:r>
        <w:rPr/>
        <w:t xml:space="preserve">Cette formulation exprime que la valeur naît de la convergence entre l’effort réel (S), c’est-à-dire le travail humain investi, et la demande effective (U), c’est-à-dire le pouvoir d’achat mobilisé. L’un sans l’autre ne produit aucune valeur : un travail sans demande ou une demande sans offre ne créent pas de richesse. IRIS impose leur rencontre obligatoire lors de la validation </w:t>
      </w:r>
      <w:r>
        <w:rPr>
          <w:rStyle w:val="Emphasis"/>
        </w:rPr>
        <w:t>EX</w:t>
      </w:r>
      <w:r>
        <w:rPr/>
        <w:t>.</w:t>
      </w:r>
    </w:p>
    <w:p>
      <w:pPr>
        <w:pStyle w:val="Heading4"/>
        <w:numPr>
          <w:ilvl w:val="3"/>
          <w:numId w:val="3"/>
        </w:numPr>
        <w:ind w:hanging="0" w:left="0"/>
        <w:rPr/>
      </w:pPr>
      <w:r>
        <w:rPr>
          <w:rStyle w:val="Strong"/>
          <w:b/>
          <w:bCs/>
        </w:rPr>
        <w:t>Proposition 2.4 (Séquence complète de création).</w:t>
      </w:r>
    </w:p>
    <w:p>
      <w:pPr>
        <w:pStyle w:val="BodyText"/>
        <w:numPr>
          <w:ilvl w:val="0"/>
          <w:numId w:val="16"/>
        </w:numPr>
        <w:tabs>
          <w:tab w:val="clear" w:pos="709"/>
          <w:tab w:val="left" w:pos="0" w:leader="none"/>
        </w:tabs>
        <w:spacing w:lineRule="auto" w:line="276"/>
        <w:ind w:hanging="283" w:left="709"/>
        <w:rPr/>
      </w:pPr>
      <w:r>
        <w:rPr/>
        <w:t>Le producteur émet un NFT et un Stipulat S.</w:t>
      </w:r>
    </w:p>
    <w:p>
      <w:pPr>
        <w:pStyle w:val="BodyText"/>
        <w:numPr>
          <w:ilvl w:val="0"/>
          <w:numId w:val="16"/>
        </w:numPr>
        <w:tabs>
          <w:tab w:val="clear" w:pos="709"/>
          <w:tab w:val="left" w:pos="0" w:leader="none"/>
        </w:tabs>
        <w:spacing w:lineRule="auto" w:line="276"/>
        <w:ind w:hanging="283" w:left="709"/>
        <w:rPr/>
      </w:pPr>
      <w:r>
        <w:rPr/>
        <w:t>L’acheteur accepte et effectue le paiement en U.</w:t>
      </w:r>
    </w:p>
    <w:p>
      <w:pPr>
        <w:pStyle w:val="BodyText"/>
        <w:numPr>
          <w:ilvl w:val="0"/>
          <w:numId w:val="16"/>
        </w:numPr>
        <w:tabs>
          <w:tab w:val="clear" w:pos="709"/>
          <w:tab w:val="left" w:pos="0" w:leader="none"/>
        </w:tabs>
        <w:spacing w:lineRule="auto" w:line="276"/>
        <w:ind w:hanging="283" w:left="709"/>
        <w:rPr/>
      </w:pPr>
      <w:r>
        <w:rPr/>
        <w:t>L’échange est validé (</w:t>
      </w:r>
      <w:r>
        <w:rPr>
          <w:rStyle w:val="Emphasis"/>
        </w:rPr>
        <w:t>EX</w:t>
      </w:r>
      <w:r>
        <w:rPr/>
        <w:t>) et la combustion atomique (U + S) est opérée.</w:t>
      </w:r>
    </w:p>
    <w:p>
      <w:pPr>
        <w:pStyle w:val="BodyText"/>
        <w:numPr>
          <w:ilvl w:val="0"/>
          <w:numId w:val="16"/>
        </w:numPr>
        <w:tabs>
          <w:tab w:val="clear" w:pos="709"/>
          <w:tab w:val="left" w:pos="0" w:leader="none"/>
        </w:tabs>
        <w:spacing w:lineRule="auto" w:line="276"/>
        <w:ind w:hanging="283" w:left="709"/>
        <w:rPr/>
      </w:pPr>
      <w:r>
        <w:rPr/>
        <w:t>L’énergie économique est calculée selon Et​=wS​×S+wU​×U.</w:t>
      </w:r>
    </w:p>
    <w:p>
      <w:pPr>
        <w:pStyle w:val="BodyText"/>
        <w:numPr>
          <w:ilvl w:val="0"/>
          <w:numId w:val="16"/>
        </w:numPr>
        <w:tabs>
          <w:tab w:val="clear" w:pos="709"/>
          <w:tab w:val="left" w:pos="0" w:leader="none"/>
        </w:tabs>
        <w:spacing w:lineRule="auto" w:line="276"/>
        <w:ind w:hanging="283" w:left="709"/>
        <w:rPr/>
      </w:pPr>
      <w:r>
        <w:rPr/>
        <w:t>Le multiplicateur est appliqué : ΔV=ηt​×Et​.</w:t>
      </w:r>
    </w:p>
    <w:p>
      <w:pPr>
        <w:pStyle w:val="BodyText"/>
        <w:numPr>
          <w:ilvl w:val="0"/>
          <w:numId w:val="16"/>
        </w:numPr>
        <w:tabs>
          <w:tab w:val="clear" w:pos="709"/>
          <w:tab w:val="left" w:pos="0" w:leader="none"/>
        </w:tabs>
        <w:spacing w:lineRule="auto" w:line="276"/>
        <w:ind w:hanging="283" w:left="709"/>
        <w:rPr/>
      </w:pPr>
      <w:r>
        <w:rPr/>
        <w:t>Le vendeur est crédité en (V) et le NFT est transféré à l’acheteur.</w:t>
      </w:r>
    </w:p>
    <w:p>
      <w:pPr>
        <w:pStyle w:val="BodyText"/>
        <w:rPr/>
      </w:pPr>
      <w:r>
        <w:rPr/>
        <w:t>Cette séquence garantit la neutralité énergétique : chaque valeur créée correspond exactement à une combustion (U + S) vérifiée, sans création à partir de rien.</w:t>
      </w:r>
    </w:p>
    <w:p>
      <w:pPr>
        <w:pStyle w:val="BodyText"/>
        <w:rPr/>
      </w:pPr>
      <w:r>
        <w:rPr/>
      </w:r>
    </w:p>
    <w:p>
      <w:pPr>
        <w:pStyle w:val="Heading3"/>
        <w:numPr>
          <w:ilvl w:val="2"/>
          <w:numId w:val="3"/>
        </w:numPr>
        <w:ind w:hanging="0" w:left="0"/>
        <w:rPr/>
      </w:pPr>
      <w:r>
        <w:rPr>
          <w:rStyle w:val="Strong"/>
          <w:b/>
          <w:bCs/>
        </w:rPr>
        <w:t>2.1.4. Conséquences systémiques</w:t>
      </w:r>
    </w:p>
    <w:p>
      <w:pPr>
        <w:pStyle w:val="Heading4"/>
        <w:numPr>
          <w:ilvl w:val="3"/>
          <w:numId w:val="3"/>
        </w:numPr>
        <w:ind w:hanging="0" w:left="0"/>
        <w:rPr/>
      </w:pPr>
      <w:r>
        <w:rPr>
          <w:rStyle w:val="Strong"/>
          <w:b/>
          <w:bCs/>
        </w:rPr>
        <w:t>Corollaire 2.2 (Impossibilité d’émission arbitraire).</w:t>
      </w:r>
    </w:p>
    <w:p>
      <w:pPr>
        <w:pStyle w:val="BodyText"/>
        <w:rPr/>
      </w:pPr>
      <w:r>
        <w:rPr/>
        <w:t>Aucune valeur ne peut être créée sans la triple présence suivante :</w:t>
      </w:r>
    </w:p>
    <w:p>
      <w:pPr>
        <w:pStyle w:val="BodyText"/>
        <w:numPr>
          <w:ilvl w:val="0"/>
          <w:numId w:val="17"/>
        </w:numPr>
        <w:tabs>
          <w:tab w:val="clear" w:pos="709"/>
          <w:tab w:val="left" w:pos="0" w:leader="none"/>
        </w:tabs>
        <w:ind w:hanging="283" w:left="709"/>
        <w:rPr/>
      </w:pPr>
      <w:r>
        <w:rPr/>
        <w:t xml:space="preserve">un être vivant (validation </w:t>
      </w:r>
      <w:r>
        <w:rPr>
          <w:rStyle w:val="Emphasis"/>
        </w:rPr>
        <w:t>EX</w:t>
      </w:r>
      <w:r>
        <w:rPr/>
        <w:t xml:space="preserve"> par TU/VC) ;</w:t>
      </w:r>
    </w:p>
    <w:p>
      <w:pPr>
        <w:pStyle w:val="BodyText"/>
        <w:numPr>
          <w:ilvl w:val="0"/>
          <w:numId w:val="17"/>
        </w:numPr>
        <w:tabs>
          <w:tab w:val="clear" w:pos="709"/>
          <w:tab w:val="left" w:pos="0" w:leader="none"/>
        </w:tabs>
        <w:ind w:hanging="283" w:left="709"/>
        <w:rPr/>
      </w:pPr>
      <w:r>
        <w:rPr/>
        <w:t>une preuve d’effort (Stipulat (S) détruit) ;</w:t>
      </w:r>
    </w:p>
    <w:p>
      <w:pPr>
        <w:pStyle w:val="BodyText"/>
        <w:numPr>
          <w:ilvl w:val="0"/>
          <w:numId w:val="17"/>
        </w:numPr>
        <w:tabs>
          <w:tab w:val="clear" w:pos="709"/>
          <w:tab w:val="left" w:pos="0" w:leader="none"/>
        </w:tabs>
        <w:ind w:hanging="283" w:left="709"/>
        <w:rPr/>
      </w:pPr>
      <w:r>
        <w:rPr/>
        <w:t>une demande effective (U détruit).</w:t>
      </w:r>
    </w:p>
    <w:p>
      <w:pPr>
        <w:pStyle w:val="BodyText"/>
        <w:rPr/>
      </w:pPr>
      <w:r>
        <w:rPr/>
        <w:t>Cette contrainte élimine structurellement :</w:t>
      </w:r>
    </w:p>
    <w:p>
      <w:pPr>
        <w:pStyle w:val="BodyText"/>
        <w:numPr>
          <w:ilvl w:val="0"/>
          <w:numId w:val="18"/>
        </w:numPr>
        <w:tabs>
          <w:tab w:val="clear" w:pos="709"/>
          <w:tab w:val="left" w:pos="0" w:leader="none"/>
        </w:tabs>
        <w:ind w:hanging="283" w:left="709"/>
        <w:rPr/>
      </w:pPr>
      <w:r>
        <w:rPr/>
        <w:t>l’émission monétaire par la dette, propre aux systèmes bancaires fractionnaires ;</w:t>
      </w:r>
    </w:p>
    <w:p>
      <w:pPr>
        <w:pStyle w:val="BodyText"/>
        <w:numPr>
          <w:ilvl w:val="0"/>
          <w:numId w:val="18"/>
        </w:numPr>
        <w:tabs>
          <w:tab w:val="clear" w:pos="709"/>
          <w:tab w:val="left" w:pos="0" w:leader="none"/>
        </w:tabs>
        <w:ind w:hanging="283" w:left="709"/>
        <w:rPr/>
      </w:pPr>
      <w:r>
        <w:rPr/>
        <w:t>la création spéculative déconnectée du réel ;</w:t>
      </w:r>
    </w:p>
    <w:p>
      <w:pPr>
        <w:pStyle w:val="BodyText"/>
        <w:numPr>
          <w:ilvl w:val="0"/>
          <w:numId w:val="18"/>
        </w:numPr>
        <w:tabs>
          <w:tab w:val="clear" w:pos="709"/>
          <w:tab w:val="left" w:pos="0" w:leader="none"/>
        </w:tabs>
        <w:ind w:hanging="283" w:left="709"/>
        <w:rPr/>
      </w:pPr>
      <w:r>
        <w:rPr/>
        <w:t>le revenu passif sans contrepartie productive.</w:t>
      </w:r>
    </w:p>
    <w:p>
      <w:pPr>
        <w:pStyle w:val="Heading4"/>
        <w:numPr>
          <w:ilvl w:val="3"/>
          <w:numId w:val="3"/>
        </w:numPr>
        <w:ind w:hanging="0" w:left="0"/>
        <w:rPr/>
      </w:pPr>
      <w:r>
        <w:rPr>
          <w:rStyle w:val="Strong"/>
          <w:b/>
          <w:bCs/>
        </w:rPr>
        <w:t>Théorème 2.4 (Produit intérieur brut d’IRIS).</w:t>
      </w:r>
    </w:p>
    <w:p>
      <w:pPr>
        <w:pStyle w:val="BodyText"/>
        <w:rPr/>
      </w:pPr>
      <w:r>
        <w:rPr/>
        <w:t>Le produit intérieur brut du système IRIS est défini par :</w:t>
      </w:r>
    </w:p>
    <w:p>
      <w:pPr>
        <w:pStyle w:val="BodyText"/>
        <w:rPr/>
      </w:pPr>
      <w:r>
        <w:rPr/>
      </w:r>
    </w:p>
    <w:p>
      <w:pPr>
        <w:pStyle w:val="BodyText"/>
        <w:jc w:val="center"/>
        <w:rPr/>
      </w:pPr>
      <w:r>
        <w:rPr/>
        <w:t xml:space="preserve">PIBIRIS​(t)=i=1∑Ntransactions​​ΔVi(creˊa)​(t) </w:t>
      </w:r>
    </w:p>
    <w:p>
      <w:pPr>
        <w:pStyle w:val="BodyText"/>
        <w:rPr/>
      </w:pPr>
      <w:r>
        <w:rPr/>
      </w:r>
    </w:p>
    <w:p>
      <w:pPr>
        <w:pStyle w:val="BodyText"/>
        <w:rPr/>
      </w:pPr>
      <w:r>
        <w:rPr/>
        <w:t>où Ntransactions​ représente le nombre total de transactions productives validées durant le cycle t.</w:t>
      </w:r>
    </w:p>
    <w:p>
      <w:pPr>
        <w:pStyle w:val="BodyText"/>
        <w:rPr/>
      </w:pPr>
      <w:r>
        <w:rPr/>
        <w:t>Différence majeure avec le PIB conventionnel :</w:t>
      </w:r>
    </w:p>
    <w:p>
      <w:pPr>
        <w:pStyle w:val="BodyText"/>
        <w:numPr>
          <w:ilvl w:val="0"/>
          <w:numId w:val="19"/>
        </w:numPr>
        <w:tabs>
          <w:tab w:val="clear" w:pos="709"/>
          <w:tab w:val="left" w:pos="0" w:leader="none"/>
        </w:tabs>
        <w:ind w:hanging="283" w:left="709"/>
        <w:rPr/>
      </w:pPr>
      <w:r>
        <w:rPr/>
        <w:t>le PIB classique repose sur des estimations statistiques approximatives, incluant des activités fictives ;</w:t>
      </w:r>
    </w:p>
    <w:p>
      <w:pPr>
        <w:pStyle w:val="BodyText"/>
        <w:numPr>
          <w:ilvl w:val="0"/>
          <w:numId w:val="19"/>
        </w:numPr>
        <w:tabs>
          <w:tab w:val="clear" w:pos="709"/>
          <w:tab w:val="left" w:pos="0" w:leader="none"/>
        </w:tabs>
        <w:ind w:hanging="283" w:left="709"/>
        <w:rPr/>
      </w:pPr>
      <w:r>
        <w:rPr/>
        <w:t>le PIB d’IRIS constitue une mesure exacte et vérifiable, chaque ΔV correspondant à une combustion (U + S) tracée cryptographiquement.</w:t>
      </w:r>
    </w:p>
    <w:p>
      <w:pPr>
        <w:pStyle w:val="Heading4"/>
        <w:numPr>
          <w:ilvl w:val="3"/>
          <w:numId w:val="3"/>
        </w:numPr>
        <w:ind w:hanging="0" w:left="0"/>
        <w:rPr/>
      </w:pPr>
      <w:r>
        <w:rPr>
          <w:rStyle w:val="Strong"/>
          <w:b/>
          <w:bCs/>
        </w:rPr>
        <w:t>Proposition 2.5 (Régulation thermodynamique).</w:t>
      </w:r>
    </w:p>
    <w:p>
      <w:pPr>
        <w:pStyle w:val="BodyText"/>
        <w:rPr/>
      </w:pPr>
      <w:r>
        <w:rPr/>
        <w:t>Le passif (D) ne constitue pas une dette collective exigible, mais un signal de régulation permettant au système de mesurer la tension entre :</w:t>
      </w:r>
    </w:p>
    <w:p>
      <w:pPr>
        <w:pStyle w:val="BodyText"/>
        <w:numPr>
          <w:ilvl w:val="0"/>
          <w:numId w:val="20"/>
        </w:numPr>
        <w:tabs>
          <w:tab w:val="clear" w:pos="709"/>
          <w:tab w:val="left" w:pos="0" w:leader="none"/>
        </w:tabs>
        <w:spacing w:lineRule="auto" w:line="276"/>
        <w:ind w:hanging="283" w:left="709"/>
        <w:rPr/>
      </w:pPr>
      <w:r>
        <w:rPr/>
        <w:t>les engagements futurs (D des TAP et des empilements) ;</w:t>
      </w:r>
    </w:p>
    <w:p>
      <w:pPr>
        <w:pStyle w:val="BodyText"/>
        <w:numPr>
          <w:ilvl w:val="0"/>
          <w:numId w:val="20"/>
        </w:numPr>
        <w:tabs>
          <w:tab w:val="clear" w:pos="709"/>
          <w:tab w:val="left" w:pos="0" w:leader="none"/>
        </w:tabs>
        <w:spacing w:lineRule="auto" w:line="276"/>
        <w:ind w:hanging="283" w:left="709"/>
        <w:rPr/>
      </w:pPr>
      <w:r>
        <w:rPr/>
        <w:t>la richesse présente (V active).</w:t>
      </w:r>
    </w:p>
    <w:p>
      <w:pPr>
        <w:pStyle w:val="BodyText"/>
        <w:rPr/>
      </w:pPr>
      <w:r>
        <w:rPr/>
        <w:t>Le ratio rt​=Dt​/Vt(on)​ fonctionne comme un thermomètre économique :</w:t>
      </w:r>
    </w:p>
    <w:p>
      <w:pPr>
        <w:pStyle w:val="BodyText"/>
        <w:numPr>
          <w:ilvl w:val="0"/>
          <w:numId w:val="21"/>
        </w:numPr>
        <w:tabs>
          <w:tab w:val="clear" w:pos="709"/>
          <w:tab w:val="left" w:pos="0" w:leader="none"/>
        </w:tabs>
        <w:spacing w:lineRule="auto" w:line="276"/>
        <w:ind w:hanging="283" w:left="709"/>
        <w:rPr/>
      </w:pPr>
      <w:r>
        <w:rPr/>
        <w:t>rt​&lt;0,85 : système trop froid (sous-investissement) ;</w:t>
      </w:r>
    </w:p>
    <w:p>
      <w:pPr>
        <w:pStyle w:val="BodyText"/>
        <w:numPr>
          <w:ilvl w:val="0"/>
          <w:numId w:val="21"/>
        </w:numPr>
        <w:tabs>
          <w:tab w:val="clear" w:pos="709"/>
          <w:tab w:val="left" w:pos="0" w:leader="none"/>
        </w:tabs>
        <w:spacing w:lineRule="auto" w:line="276"/>
        <w:ind w:hanging="283" w:left="709"/>
        <w:rPr/>
      </w:pPr>
      <w:r>
        <w:rPr/>
        <w:t>0,85≤rt​≤1,15 : équilibre thermique sain ;</w:t>
      </w:r>
    </w:p>
    <w:p>
      <w:pPr>
        <w:pStyle w:val="BodyText"/>
        <w:numPr>
          <w:ilvl w:val="0"/>
          <w:numId w:val="21"/>
        </w:numPr>
        <w:tabs>
          <w:tab w:val="clear" w:pos="709"/>
          <w:tab w:val="left" w:pos="0" w:leader="none"/>
        </w:tabs>
        <w:spacing w:lineRule="auto" w:line="276"/>
        <w:ind w:hanging="283" w:left="709"/>
        <w:rPr/>
      </w:pPr>
      <w:r>
        <w:rPr/>
        <w:t>rt​&gt;1,15 : système surchauffé.</w:t>
      </w:r>
    </w:p>
    <w:p>
      <w:pPr>
        <w:pStyle w:val="BodyText"/>
        <w:rPr/>
      </w:pPr>
      <w:r>
        <w:rPr/>
        <w:t>Ce thermomètre pilote automatiquement les coefficients ηt​ et κt​, assurant une homéostasie sans intervention humaine directe.</w:t>
      </w:r>
    </w:p>
    <w:p>
      <w:pPr>
        <w:pStyle w:val="Heading4"/>
        <w:numPr>
          <w:ilvl w:val="3"/>
          <w:numId w:val="3"/>
        </w:numPr>
        <w:ind w:hanging="0" w:left="0"/>
        <w:rPr/>
      </w:pPr>
      <w:r>
        <w:rPr>
          <w:rStyle w:val="Strong"/>
          <w:b/>
          <w:bCs/>
        </w:rPr>
        <w:t>Corollaire 2.3 (Absence de croissance forcée).</w:t>
      </w:r>
    </w:p>
    <w:p>
      <w:pPr>
        <w:pStyle w:val="BodyText"/>
        <w:rPr/>
      </w:pPr>
      <w:r>
        <w:rPr/>
        <w:t>Contrairement aux systèmes adossés à la dette, où chaque unité monétaire implique un prêt et des intérêts, IRIS peut fonctionner en régime stationnaire.</w:t>
      </w:r>
    </w:p>
    <w:p>
      <w:pPr>
        <w:pStyle w:val="BodyText"/>
        <w:rPr/>
      </w:pPr>
      <w:r>
        <w:rPr/>
        <w:t>L’état d’équilibre E∗ se définit par :</w:t>
      </w:r>
    </w:p>
    <w:p>
      <w:pPr>
        <w:pStyle w:val="BodyText"/>
        <w:rPr/>
      </w:pPr>
      <w:r>
        <w:rPr/>
      </w:r>
    </w:p>
    <w:p>
      <w:pPr>
        <w:pStyle w:val="BodyText"/>
        <w:jc w:val="center"/>
        <w:rPr/>
      </w:pPr>
      <w:r>
        <w:rPr/>
        <w:t>∑</w:t>
      </w:r>
      <w:r>
        <w:rPr/>
        <w:t xml:space="preserve">ΔV(creˊa)=∑Vburn​+∑ΔV(immo)−∑ΔV(deˊsimmo) </w:t>
      </w:r>
    </w:p>
    <w:p>
      <w:pPr>
        <w:pStyle w:val="BodyText"/>
        <w:rPr/>
      </w:pPr>
      <w:r>
        <w:rPr/>
      </w:r>
    </w:p>
    <w:p>
      <w:pPr>
        <w:pStyle w:val="BodyText"/>
        <w:rPr/>
      </w:pPr>
      <w:r>
        <w:rPr/>
        <w:t>et</w:t>
      </w:r>
    </w:p>
    <w:p>
      <w:pPr>
        <w:pStyle w:val="BodyText"/>
        <w:rPr/>
      </w:pPr>
      <w:r>
        <w:rPr/>
      </w:r>
    </w:p>
    <w:p>
      <w:pPr>
        <w:pStyle w:val="BodyText"/>
        <w:jc w:val="center"/>
        <w:rPr/>
      </w:pPr>
      <w:r>
        <w:rPr/>
        <w:t xml:space="preserve">rt​=1,0 </w:t>
      </w:r>
    </w:p>
    <w:p>
      <w:pPr>
        <w:pStyle w:val="BodyText"/>
        <w:rPr/>
      </w:pPr>
      <w:r>
        <w:rPr/>
      </w:r>
    </w:p>
    <w:p>
      <w:pPr>
        <w:pStyle w:val="BodyText"/>
        <w:rPr/>
      </w:pPr>
      <w:r>
        <w:rPr/>
        <w:t>Dans cet état, l’économie respire sans croître : elle crée et détruit la valeur à un rythme équilibré, maintenant un métabolisme stable et compatible avec les limites planétaires.</w:t>
      </w:r>
    </w:p>
    <w:p>
      <w:pPr>
        <w:pStyle w:val="BodyText"/>
        <w:rPr/>
      </w:pPr>
      <w:r>
        <w:rPr/>
      </w:r>
    </w:p>
    <w:p>
      <w:pPr>
        <w:pStyle w:val="Heading3"/>
        <w:numPr>
          <w:ilvl w:val="2"/>
          <w:numId w:val="3"/>
        </w:numPr>
        <w:ind w:hanging="0" w:left="0"/>
        <w:rPr/>
      </w:pPr>
      <w:r>
        <w:rPr>
          <w:rStyle w:val="Strong"/>
          <w:b/>
          <w:bCs/>
        </w:rPr>
        <w:t>2.1.5. le Compte Utilisateur comme unité biologique</w:t>
      </w:r>
    </w:p>
    <w:p>
      <w:pPr>
        <w:pStyle w:val="BodyText"/>
        <w:rPr/>
      </w:pPr>
      <w:r>
        <w:rPr/>
        <w:t>Le Compte Utilisateur incarne l’unité élémentaire du métabolisme IRIS, combinant :</w:t>
      </w:r>
    </w:p>
    <w:p>
      <w:pPr>
        <w:pStyle w:val="BodyText"/>
        <w:numPr>
          <w:ilvl w:val="0"/>
          <w:numId w:val="22"/>
        </w:numPr>
        <w:tabs>
          <w:tab w:val="clear" w:pos="709"/>
          <w:tab w:val="left" w:pos="0" w:leader="none"/>
        </w:tabs>
        <w:spacing w:lineRule="auto" w:line="276"/>
        <w:ind w:hanging="283" w:left="709"/>
        <w:rPr/>
      </w:pPr>
      <w:r>
        <w:rPr>
          <w:rStyle w:val="Strong"/>
        </w:rPr>
        <w:t>Autonomie :</w:t>
      </w:r>
      <w:r>
        <w:rPr/>
        <w:t xml:space="preserve"> chaque CU fonctionne indépendamment, sans autorité centrale ;</w:t>
      </w:r>
    </w:p>
    <w:p>
      <w:pPr>
        <w:pStyle w:val="BodyText"/>
        <w:numPr>
          <w:ilvl w:val="0"/>
          <w:numId w:val="22"/>
        </w:numPr>
        <w:tabs>
          <w:tab w:val="clear" w:pos="709"/>
          <w:tab w:val="left" w:pos="0" w:leader="none"/>
        </w:tabs>
        <w:spacing w:lineRule="auto" w:line="276"/>
        <w:ind w:hanging="283" w:left="709"/>
        <w:rPr/>
      </w:pPr>
      <w:r>
        <w:rPr>
          <w:rStyle w:val="Strong"/>
        </w:rPr>
        <w:t>Cohérence :</w:t>
      </w:r>
      <w:r>
        <w:rPr/>
        <w:t xml:space="preserve"> les trois branches (Wallet, CNP, CE) forment un organisme intégré ;</w:t>
      </w:r>
    </w:p>
    <w:p>
      <w:pPr>
        <w:pStyle w:val="BodyText"/>
        <w:numPr>
          <w:ilvl w:val="0"/>
          <w:numId w:val="22"/>
        </w:numPr>
        <w:tabs>
          <w:tab w:val="clear" w:pos="709"/>
          <w:tab w:val="left" w:pos="0" w:leader="none"/>
        </w:tabs>
        <w:spacing w:lineRule="auto" w:line="276"/>
        <w:ind w:hanging="283" w:left="709"/>
        <w:rPr/>
      </w:pPr>
      <w:r>
        <w:rPr>
          <w:rStyle w:val="Strong"/>
        </w:rPr>
        <w:t>Vérifiabilité :</w:t>
      </w:r>
      <w:r>
        <w:rPr/>
        <w:t xml:space="preserve"> chaque opération laisse une preuve cryptographique immuable ;</w:t>
      </w:r>
    </w:p>
    <w:p>
      <w:pPr>
        <w:pStyle w:val="BodyText"/>
        <w:numPr>
          <w:ilvl w:val="0"/>
          <w:numId w:val="22"/>
        </w:numPr>
        <w:tabs>
          <w:tab w:val="clear" w:pos="709"/>
          <w:tab w:val="left" w:pos="0" w:leader="none"/>
        </w:tabs>
        <w:spacing w:lineRule="auto" w:line="276"/>
        <w:ind w:hanging="283" w:left="709"/>
        <w:rPr/>
      </w:pPr>
      <w:r>
        <w:rPr>
          <w:rStyle w:val="Strong"/>
        </w:rPr>
        <w:t>Résilience :</w:t>
      </w:r>
      <w:r>
        <w:rPr/>
        <w:t xml:space="preserve"> la survie du système ne dépend d’aucun CU individuel.</w:t>
      </w:r>
    </w:p>
    <w:p>
      <w:pPr>
        <w:pStyle w:val="BodyText"/>
        <w:rPr/>
      </w:pPr>
      <w:r>
        <w:rPr/>
        <w:t>Cette architecture transforme radicalement la nature de l’économie.</w:t>
      </w:r>
    </w:p>
    <w:p>
      <w:pPr>
        <w:pStyle w:val="BodyText"/>
        <w:rPr/>
      </w:pPr>
      <w:r>
        <w:rPr/>
        <w:t>Avant IRIS, l’économie se présentait comme une machine abstraite pilotée par des institutions centrales.</w:t>
      </w:r>
    </w:p>
    <w:p>
      <w:pPr>
        <w:pStyle w:val="BodyText"/>
        <w:rPr/>
      </w:pPr>
      <w:r>
        <w:rPr/>
        <w:t>Dans IRIS, elle devient un organisme vivant distribué, émergeant de la coordination de millions de Comptes Utilisateurs autonomes.</w:t>
      </w:r>
    </w:p>
    <w:p>
      <w:pPr>
        <w:pStyle w:val="BodyText"/>
        <w:rPr/>
      </w:pPr>
      <w:r>
        <w:rPr/>
        <w:t>Le Compte Utilisateur n’est donc pas un simple portefeuille, mais une cellule économique vivante capable de respirer (Wallet), de mémoriser (CNP), de produire (CE), de se reproduire (création d’un CE, transmission aux héritiers) et de mourir (clôture, recyclage via la Chambre de Relance).</w:t>
      </w:r>
    </w:p>
    <w:p>
      <w:pPr>
        <w:pStyle w:val="BodyText"/>
        <w:rPr/>
      </w:pPr>
      <w:r>
        <w:rPr/>
        <w:t>Les sections suivantes (2.2 à 2.4) détaillent le fonctionnement interne de chacune de ces branches, montrant comment cette architecture cellulaire engendre un système économique cohérent, régulé thermodynamiquement et fondé sur la preuve du réel.</w:t>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Heading2"/>
        <w:numPr>
          <w:ilvl w:val="1"/>
          <w:numId w:val="3"/>
        </w:numPr>
        <w:ind w:hanging="0" w:left="0"/>
        <w:rPr/>
      </w:pPr>
      <w:r>
        <w:rPr/>
        <w:t>2.2. Le Wallet : circulation du revenu et exécution des contrats</w:t>
      </w:r>
    </w:p>
    <w:p>
      <w:pPr>
        <w:pStyle w:val="BodyText"/>
        <w:rPr/>
      </w:pPr>
      <w:r>
        <w:rPr/>
      </w:r>
    </w:p>
    <w:p>
      <w:pPr>
        <w:pStyle w:val="Heading3"/>
        <w:numPr>
          <w:ilvl w:val="2"/>
          <w:numId w:val="3"/>
        </w:numPr>
        <w:ind w:hanging="0" w:left="0"/>
        <w:rPr/>
      </w:pPr>
      <w:r>
        <w:rPr/>
        <w:t>2.2.1. Définition et architecture fonctionnelle</w:t>
      </w:r>
    </w:p>
    <w:p>
      <w:pPr>
        <w:pStyle w:val="Heading4"/>
        <w:numPr>
          <w:ilvl w:val="3"/>
          <w:numId w:val="3"/>
        </w:numPr>
        <w:ind w:hanging="0" w:left="0"/>
        <w:rPr/>
      </w:pPr>
      <w:r>
        <w:rPr/>
        <w:t>Définition 2.1 (Wallet).</w:t>
      </w:r>
    </w:p>
    <w:p>
      <w:pPr>
        <w:pStyle w:val="BodyText"/>
        <w:rPr/>
      </w:pPr>
      <w:r>
        <w:rPr/>
        <w:t>Le Wallet constitue la branche vitale du Compte Utilisateur dans le protocole IRIS. Il assure trois fonctions essentielles. Premièrement, la réception et la gestion du revenu universel (U). Deuxièmement, la conversion dynamique entre la valeur vivante (V) et la monnaie d’usage (U). Troisièmement, l’exécution des engagements contractuels, notamment les contrats de stacking, les abonnements et les NFT financiers.</w:t>
      </w:r>
    </w:p>
    <w:p>
      <w:pPr>
        <w:pStyle w:val="Heading4"/>
        <w:numPr>
          <w:ilvl w:val="3"/>
          <w:numId w:val="3"/>
        </w:numPr>
        <w:ind w:hanging="0" w:left="0"/>
        <w:rPr/>
      </w:pPr>
      <w:r>
        <w:rPr/>
        <w:t>Axiome 2.1 (Présence vérifiée obligatoire).</w:t>
      </w:r>
    </w:p>
    <w:p>
      <w:pPr>
        <w:pStyle w:val="BodyText"/>
        <w:rPr/>
      </w:pPr>
      <w:r>
        <w:rPr/>
        <w:t>Aucune transaction ne peut être initiée depuis un Wallet sans validation EX, définie comme la signature cryptographique par le Token d’Unicité et la Credential Vérifiable du détenteur. Cette contrainte garantit qu’aucune opération automatisée ou déléguée ne peut intervenir sans le consentement explicite de l’utilisateur vivant. Le Wallet est strictement personnel et non transférable.</w:t>
      </w:r>
    </w:p>
    <w:p>
      <w:pPr>
        <w:pStyle w:val="Heading4"/>
        <w:numPr>
          <w:ilvl w:val="3"/>
          <w:numId w:val="3"/>
        </w:numPr>
        <w:ind w:hanging="0" w:left="0"/>
        <w:rPr/>
      </w:pPr>
      <w:r>
        <w:rPr/>
        <w:t>Proposition 2.1 (Conservation locale des clés).</w:t>
      </w:r>
    </w:p>
    <w:p>
      <w:pPr>
        <w:pStyle w:val="BodyText"/>
        <w:rPr/>
      </w:pPr>
      <w:r>
        <w:rPr/>
        <w:t>Les clés cryptographiques privées associées au Token d’Unicité et à la Credential Vérifiable ne quittent jamais le dispositif local de l’utilisateur, qu’il s’agisse d’un support matériel, d’une enclave sécurisée ou d’un environnement d’exécution de confiance.</w:t>
      </w:r>
    </w:p>
    <w:p>
      <w:pPr>
        <w:pStyle w:val="BodyText"/>
        <w:rPr>
          <w:b/>
          <w:bCs/>
        </w:rPr>
      </w:pPr>
      <w:r>
        <w:rPr>
          <w:b/>
          <w:bCs/>
        </w:rPr>
        <w:t>Corollaire.</w:t>
      </w:r>
    </w:p>
    <w:p>
      <w:pPr>
        <w:pStyle w:val="BodyText"/>
        <w:rPr/>
      </w:pPr>
      <w:r>
        <w:rPr/>
        <w:t>La compromission d’un noeud de la DHT ne permet pas l’usurpation d’identité, les clés privées n’étant jamais exposées au réseau.</w:t>
      </w:r>
    </w:p>
    <w:p>
      <w:pPr>
        <w:pStyle w:val="BodyText"/>
        <w:rPr/>
      </w:pPr>
      <w:r>
        <w:rPr/>
        <w:t>Architecture des flux. Le Wallet gère quatre catégories de flux distincts.</w:t>
      </w:r>
    </w:p>
    <w:p>
      <w:pPr>
        <w:pStyle w:val="BodyText"/>
        <w:numPr>
          <w:ilvl w:val="0"/>
          <w:numId w:val="23"/>
        </w:numPr>
        <w:tabs>
          <w:tab w:val="clear" w:pos="709"/>
          <w:tab w:val="left" w:pos="0" w:leader="none"/>
        </w:tabs>
        <w:ind w:hanging="283" w:left="709"/>
        <w:rPr/>
      </w:pPr>
      <w:r>
        <w:rPr/>
        <w:t>Flux entrants. Revenu universel U_t distribué à chaque cycle T. Valeur vivante (V) issue d’actes productifs vérifiés.</w:t>
      </w:r>
    </w:p>
    <w:p>
      <w:pPr>
        <w:pStyle w:val="BodyText"/>
        <w:numPr>
          <w:ilvl w:val="0"/>
          <w:numId w:val="23"/>
        </w:numPr>
        <w:tabs>
          <w:tab w:val="clear" w:pos="709"/>
          <w:tab w:val="left" w:pos="0" w:leader="none"/>
        </w:tabs>
        <w:ind w:hanging="283" w:left="709"/>
        <w:rPr/>
      </w:pPr>
      <w:r>
        <w:rPr/>
        <w:t>Flux sortants. Combustion de monnaie d’usage lors des transactions (U_burn). Combustion de Stipulats lors des créations de valeur (S_burn). Engagement de revenu futur au titre des contrats de stacking (U_stake).</w:t>
      </w:r>
    </w:p>
    <w:p>
      <w:pPr>
        <w:pStyle w:val="BodyText"/>
        <w:numPr>
          <w:ilvl w:val="0"/>
          <w:numId w:val="23"/>
        </w:numPr>
        <w:tabs>
          <w:tab w:val="clear" w:pos="709"/>
          <w:tab w:val="left" w:pos="0" w:leader="none"/>
        </w:tabs>
        <w:ind w:hanging="283" w:left="709"/>
        <w:rPr/>
      </w:pPr>
      <w:r>
        <w:rPr/>
        <w:t>Conversions. Conversion de (V) vers (U), c’est-à-dire transformation d’une valeur conservée en monnaie circulante. Création de (V) par la combinaison (U) plus (S), dans le cadre d’un acte productif.</w:t>
      </w:r>
    </w:p>
    <w:p>
      <w:pPr>
        <w:pStyle w:val="BodyText"/>
        <w:numPr>
          <w:ilvl w:val="0"/>
          <w:numId w:val="23"/>
        </w:numPr>
        <w:tabs>
          <w:tab w:val="clear" w:pos="709"/>
          <w:tab w:val="left" w:pos="0" w:leader="none"/>
        </w:tabs>
        <w:ind w:hanging="283" w:left="709"/>
        <w:rPr/>
      </w:pPr>
      <w:r>
        <w:rPr/>
        <w:t>Engagements. Contrats de stacking à financement différé. Abonnements à des services structurels. Détention de NFT financiers correspondant à une immobilisation volontaire.</w:t>
      </w:r>
    </w:p>
    <w:p>
      <w:pPr>
        <w:pStyle w:val="Heading4"/>
        <w:numPr>
          <w:ilvl w:val="3"/>
          <w:numId w:val="3"/>
        </w:numPr>
        <w:ind w:hanging="0" w:left="0"/>
        <w:rPr/>
      </w:pPr>
      <w:r>
        <w:rPr/>
        <w:t>Théorème 2.1 (Traçabilité sans divulgation).</w:t>
      </w:r>
    </w:p>
    <w:p>
      <w:pPr>
        <w:pStyle w:val="BodyText"/>
        <w:rPr/>
      </w:pPr>
      <w:r>
        <w:rPr/>
        <w:t>Chaque flux est enregistré sous forme de preuve cryptographique, au moyen d’un hachage et d’un horodatage sur la DHT publique, tout en préservant la confidentialité des montants et des contreparties.</w:t>
      </w:r>
    </w:p>
    <w:p>
      <w:pPr>
        <w:pStyle w:val="BodyText"/>
        <w:rPr/>
      </w:pPr>
      <w:r>
        <w:rPr/>
        <w:t>Preuve. Par ségrégation informationnelle, telle que décrite au chapitre 1, paragraphe 1.4.3, seules les empreintes sont publiées. Un observateur peut vérifier l’existence et la validité d’une transaction, mais ne peut identifier les parties ni les montants sans accès aux chaînes source locales.</w:t>
      </w:r>
    </w:p>
    <w:p>
      <w:pPr>
        <w:pStyle w:val="BodyText"/>
        <w:rPr/>
      </w:pPr>
      <w:r>
        <w:rPr/>
      </w:r>
    </w:p>
    <w:p>
      <w:pPr>
        <w:pStyle w:val="Heading3"/>
        <w:numPr>
          <w:ilvl w:val="2"/>
          <w:numId w:val="3"/>
        </w:numPr>
        <w:ind w:hanging="0" w:left="0"/>
        <w:rPr/>
      </w:pPr>
      <w:r>
        <w:rPr/>
        <w:t>2.2.2. Calcul du revenu universel</w:t>
      </w:r>
    </w:p>
    <w:p>
      <w:pPr>
        <w:pStyle w:val="BodyText"/>
        <w:rPr/>
      </w:pPr>
      <w:r>
        <w:rPr/>
        <w:t>Fondements théoriques.</w:t>
      </w:r>
    </w:p>
    <w:p>
      <w:pPr>
        <w:pStyle w:val="Heading4"/>
        <w:numPr>
          <w:ilvl w:val="3"/>
          <w:numId w:val="3"/>
        </w:numPr>
        <w:ind w:hanging="0" w:left="0"/>
        <w:rPr/>
      </w:pPr>
      <w:r>
        <w:rPr/>
        <w:t>Axiome 2.2 (Absence d’émission par la dette).</w:t>
      </w:r>
    </w:p>
    <w:p>
      <w:pPr>
        <w:pStyle w:val="BodyText"/>
        <w:rPr/>
      </w:pPr>
      <w:r>
        <w:rPr/>
        <w:t>Dans IRIS, il n’existe aucun mécanisme d’émission monétaire adossé à un endettement. La monnaie d’usage (U) ne peut naître que d’une redistribution de la valeur vivante vérifiée V_on. Cette propriété distingue IRIS des systèmes monétaires conventionnels, dans lesquels chaque unité monétaire représente une dette bancaire remboursable avec intérêts.</w:t>
      </w:r>
    </w:p>
    <w:p>
      <w:pPr>
        <w:pStyle w:val="Heading4"/>
        <w:numPr>
          <w:ilvl w:val="3"/>
          <w:numId w:val="3"/>
        </w:numPr>
        <w:ind w:hanging="0" w:left="0"/>
        <w:rPr/>
      </w:pPr>
      <w:r>
        <w:rPr/>
        <w:t>Définition 2.2 (Revenu universel).</w:t>
      </w:r>
    </w:p>
    <w:p>
      <w:pPr>
        <w:pStyle w:val="BodyText"/>
        <w:rPr/>
      </w:pPr>
      <w:r>
        <w:rPr/>
        <w:t>Le revenu universel U_t correspond à la part de valeur commune attribuée à chaque être humain vivant et actif dans le système. Il traduit la reconnaissance d’un fait social et technique. Si les biens appartiennent individuellement, la structure qui rend ces biens possibles appartient au collectif.</w:t>
      </w:r>
    </w:p>
    <w:p>
      <w:pPr>
        <w:pStyle w:val="Heading4"/>
        <w:numPr>
          <w:ilvl w:val="3"/>
          <w:numId w:val="3"/>
        </w:numPr>
        <w:ind w:hanging="0" w:left="0"/>
        <w:rPr/>
      </w:pPr>
      <w:r>
        <w:rPr/>
        <w:t>Proposition 2.2 (Nature du revenu universel).</w:t>
      </w:r>
    </w:p>
    <w:p>
      <w:pPr>
        <w:pStyle w:val="BodyText"/>
        <w:rPr/>
      </w:pPr>
      <w:r>
        <w:rPr/>
        <w:t>Le revenu universel n’est pas une aide sociale conditionnelle. Il s’agit d’un mécanisme de rééquilibrage thermodynamique. C’est la redistribution automatique d’une fraction du produit intérieur brut vivant d’IRIS.</w:t>
      </w:r>
    </w:p>
    <w:p>
      <w:pPr>
        <w:pStyle w:val="BodyText"/>
        <w:rPr/>
      </w:pPr>
      <w:r>
        <w:rPr/>
        <w:t>Formulation mathématique.</w:t>
      </w:r>
    </w:p>
    <w:p>
      <w:pPr>
        <w:pStyle w:val="Heading4"/>
        <w:numPr>
          <w:ilvl w:val="3"/>
          <w:numId w:val="3"/>
        </w:numPr>
        <w:ind w:hanging="0" w:left="0"/>
        <w:rPr/>
      </w:pPr>
      <w:r>
        <w:rPr/>
        <w:t>Théorème 2.2 (Formule du revenu universel).</w:t>
      </w:r>
    </w:p>
    <w:p>
      <w:pPr>
        <w:pStyle w:val="BodyText"/>
        <w:rPr/>
      </w:pPr>
      <w:r>
        <w:rPr/>
        <w:t>U_t = (1 - rho_t) * V_on(t-1) / (T * N_t)</w:t>
      </w:r>
    </w:p>
    <w:p>
      <w:pPr>
        <w:pStyle w:val="BodyText"/>
        <w:rPr/>
      </w:pPr>
      <w:r>
        <w:rPr/>
        <w:t>Les termes sont définis ainsi.</w:t>
      </w:r>
    </w:p>
    <w:p>
      <w:pPr>
        <w:pStyle w:val="BodyText"/>
        <w:rPr/>
      </w:pPr>
      <w:r>
        <w:rPr/>
        <w:t>a) V_on(t-1) est la valeur vivante enregistrée sur registre à la fin du cycle précédent, ce qui évite la circularité.</w:t>
      </w:r>
    </w:p>
    <w:p>
      <w:pPr>
        <w:pStyle w:val="BodyText"/>
        <w:rPr/>
      </w:pPr>
      <w:r>
        <w:rPr/>
        <w:t>b) rho_t est le taux de conservation systémique, avec 0 &lt;= rho_t &lt;= 0,3.</w:t>
      </w:r>
    </w:p>
    <w:p>
      <w:pPr>
        <w:pStyle w:val="BodyText"/>
        <w:rPr/>
      </w:pPr>
      <w:r>
        <w:rPr/>
        <w:t>c) T est la périodicité des cycles. En régime normal, T est égal à 12 cycles par an et peut être ajusté en couche 3.</w:t>
      </w:r>
    </w:p>
    <w:p>
      <w:pPr>
        <w:pStyle w:val="BodyText"/>
        <w:rPr/>
      </w:pPr>
      <w:r>
        <w:rPr/>
        <w:t>d) N_t est le nombre d’utilisateurs vivants et actifs disposant d’un Token d’Unicité et d’une Credential Vérifiable valides.</w:t>
      </w:r>
    </w:p>
    <w:p>
      <w:pPr>
        <w:pStyle w:val="BodyText"/>
        <w:rPr/>
      </w:pPr>
      <w:r>
        <w:rPr/>
        <w:t>Définition 2.3 (Valeur vivante on-chain). La valeur V_on exclut les montants immobilisés dans des NFT financiers et ne conserve que la fraction circulante de la richesse.</w:t>
      </w:r>
    </w:p>
    <w:p>
      <w:pPr>
        <w:pStyle w:val="BodyText"/>
        <w:rPr/>
      </w:pPr>
      <w:r>
        <w:rPr/>
        <w:t>V_on(t) = V_on(t-1) + DeltaV_crea(t) - (V_t_vers_U + V_burn_TAP(t)) - DeltaV_immo(t) + DeltaV_desimmo(t) + R_t</w:t>
      </w:r>
    </w:p>
    <w:p>
      <w:pPr>
        <w:pStyle w:val="BodyText"/>
        <w:rPr/>
      </w:pPr>
      <w:r>
        <w:rPr/>
        <w:t>Les termes s’interprètent ainsi.</w:t>
      </w:r>
    </w:p>
    <w:p>
      <w:pPr>
        <w:pStyle w:val="BodyText"/>
        <w:numPr>
          <w:ilvl w:val="0"/>
          <w:numId w:val="24"/>
        </w:numPr>
        <w:tabs>
          <w:tab w:val="clear" w:pos="709"/>
          <w:tab w:val="left" w:pos="0" w:leader="none"/>
        </w:tabs>
        <w:ind w:hanging="283" w:left="709"/>
        <w:rPr/>
      </w:pPr>
      <w:r>
        <w:rPr/>
        <w:t>DeltaV_crea(t) est la création de valeur par actes productifs vérifiés durant le cycle t et satisfait DeltaV_crea(t) = eta_t * Delta_t * E_t avec E_t = w_S * s_burn(t) + w_U * u_burn(t), conformément au chapitre 3, paragraphe 3.2.3.</w:t>
      </w:r>
    </w:p>
    <w:p>
      <w:pPr>
        <w:pStyle w:val="BodyText"/>
        <w:numPr>
          <w:ilvl w:val="0"/>
          <w:numId w:val="24"/>
        </w:numPr>
        <w:tabs>
          <w:tab w:val="clear" w:pos="709"/>
          <w:tab w:val="left" w:pos="0" w:leader="none"/>
        </w:tabs>
        <w:ind w:hanging="283" w:left="709"/>
        <w:rPr/>
      </w:pPr>
      <w:r>
        <w:rPr/>
        <w:t>V_t_vers_U est la valeur convertie en monnaie d’usage.</w:t>
      </w:r>
    </w:p>
    <w:p>
      <w:pPr>
        <w:pStyle w:val="BodyText"/>
        <w:numPr>
          <w:ilvl w:val="0"/>
          <w:numId w:val="24"/>
        </w:numPr>
        <w:tabs>
          <w:tab w:val="clear" w:pos="709"/>
          <w:tab w:val="left" w:pos="0" w:leader="none"/>
        </w:tabs>
        <w:ind w:hanging="283" w:left="709"/>
        <w:rPr/>
      </w:pPr>
      <w:r>
        <w:rPr/>
        <w:t>V_burn_TAP(t) est la valeur détruite lors du remboursement des titres à promesse productive.</w:t>
      </w:r>
    </w:p>
    <w:p>
      <w:pPr>
        <w:pStyle w:val="BodyText"/>
        <w:numPr>
          <w:ilvl w:val="0"/>
          <w:numId w:val="24"/>
        </w:numPr>
        <w:tabs>
          <w:tab w:val="clear" w:pos="709"/>
          <w:tab w:val="left" w:pos="0" w:leader="none"/>
        </w:tabs>
        <w:ind w:hanging="283" w:left="709"/>
        <w:rPr/>
      </w:pPr>
      <w:r>
        <w:rPr/>
        <w:t>DeltaV_immo(t) est le flux d’immobilisation dans les NFT financiers. Il est positif ou nul.</w:t>
      </w:r>
    </w:p>
    <w:p>
      <w:pPr>
        <w:pStyle w:val="BodyText"/>
        <w:numPr>
          <w:ilvl w:val="0"/>
          <w:numId w:val="24"/>
        </w:numPr>
        <w:tabs>
          <w:tab w:val="clear" w:pos="709"/>
          <w:tab w:val="left" w:pos="0" w:leader="none"/>
        </w:tabs>
        <w:ind w:hanging="283" w:left="709"/>
        <w:rPr/>
      </w:pPr>
      <w:r>
        <w:rPr/>
        <w:t>DeltaV_desimmo(t) est le flux de désimmobilisation, positif ou nul.</w:t>
      </w:r>
    </w:p>
    <w:p>
      <w:pPr>
        <w:pStyle w:val="BodyText"/>
        <w:numPr>
          <w:ilvl w:val="0"/>
          <w:numId w:val="24"/>
        </w:numPr>
        <w:tabs>
          <w:tab w:val="clear" w:pos="709"/>
          <w:tab w:val="left" w:pos="0" w:leader="none"/>
        </w:tabs>
        <w:ind w:hanging="283" w:left="709"/>
        <w:rPr/>
      </w:pPr>
      <w:r>
        <w:rPr/>
        <w:t>R_t regroupe les apports de la chambre de relance, la maintenance et les investissements validés.</w:t>
      </w:r>
    </w:p>
    <w:p>
      <w:pPr>
        <w:pStyle w:val="Heading4"/>
        <w:numPr>
          <w:ilvl w:val="3"/>
          <w:numId w:val="3"/>
        </w:numPr>
        <w:ind w:hanging="0" w:left="0"/>
        <w:rPr/>
      </w:pPr>
      <w:r>
        <w:rPr/>
        <w:t>Proposition 2.3 (Exclusion des NFT financiers).</w:t>
      </w:r>
    </w:p>
    <w:p>
      <w:pPr>
        <w:pStyle w:val="BodyText"/>
        <w:rPr/>
      </w:pPr>
      <w:r>
        <w:rPr/>
        <w:t>Les NFT financiers représentent une capitalisation patrimoniale temporairement figée. Leur inclusion dans V_on gonflerait artificiellement le revenu universel sans correspondre à une richesse circulante disponible.</w:t>
      </w:r>
    </w:p>
    <w:p>
      <w:pPr>
        <w:pStyle w:val="BodyText"/>
        <w:rPr/>
      </w:pPr>
      <w:r>
        <w:rPr/>
        <w:t>Justification. Un actif immobilisé ne peut pas, simultanément, alimenter la circulation. L’exclusion préserve la cohérence entre le flux monétaire, c’est-à-dire (U) distribué, et la capacité productive réelle, c’est-à-dire (V) circulante.</w:t>
      </w:r>
    </w:p>
    <w:p>
      <w:pPr>
        <w:pStyle w:val="BodyText"/>
        <w:rPr/>
      </w:pPr>
      <w:r>
        <w:rPr/>
        <w:t>Mécanisme de lissage.</w:t>
      </w:r>
    </w:p>
    <w:p>
      <w:pPr>
        <w:pStyle w:val="Heading4"/>
        <w:numPr>
          <w:ilvl w:val="3"/>
          <w:numId w:val="3"/>
        </w:numPr>
        <w:ind w:hanging="0" w:left="0"/>
        <w:rPr/>
      </w:pPr>
      <w:r>
        <w:rPr/>
        <w:t>Proposition 2.4 (Contrainte de variation).</w:t>
      </w:r>
    </w:p>
    <w:p>
      <w:pPr>
        <w:pStyle w:val="BodyText"/>
        <w:rPr/>
      </w:pPr>
      <w:r>
        <w:rPr/>
        <w:t>Afin de préserver la stabilité sociale et d’éviter les chocs de pouvoir d’achat, le revenu universel est soumis à une contrainte de variation maximale par cycle.</w:t>
        <w:br/>
        <w:t>| U_t - U_(t-1) | &lt;= alpha * U_(t-1) avec alpha = 0,1</w:t>
      </w:r>
    </w:p>
    <w:p>
      <w:pPr>
        <w:pStyle w:val="Heading4"/>
        <w:numPr>
          <w:ilvl w:val="3"/>
          <w:numId w:val="3"/>
        </w:numPr>
        <w:ind w:hanging="0" w:left="0"/>
        <w:rPr/>
      </w:pPr>
      <w:r>
        <w:rPr/>
        <w:t>Corollaire 2.1.</w:t>
      </w:r>
    </w:p>
    <w:p>
      <w:pPr>
        <w:pStyle w:val="BodyText"/>
        <w:rPr/>
      </w:pPr>
      <w:r>
        <w:rPr/>
        <w:t>En cas de chute brutale de V_on, par exemple moins trente pour cent en un cycle, l’ajustement complet du revenu universel s’étale sur plusieurs cycles. Cela laisse aux mécanismes de régulation de l’Exchange, en particulier eta et kappa, le temps d’opérer.</w:t>
      </w:r>
    </w:p>
    <w:p>
      <w:pPr>
        <w:pStyle w:val="BodyText"/>
        <w:rPr/>
      </w:pPr>
      <w:r>
        <w:rPr/>
        <w:t>Exemple. Si V_on diminue de trente pour cent en un cycle, le revenu universel décroît de dix pour cent au cycle t, puis de dix pour cent au cycle t plus un, et de dix pour cent au cycle t plus deux, sous réserve d’un niveau bas persistant de V_on.</w:t>
      </w:r>
    </w:p>
    <w:p>
      <w:pPr>
        <w:pStyle w:val="BodyText"/>
        <w:rPr/>
      </w:pPr>
      <w:r>
        <w:rPr/>
        <w:t>Extinction périodique.</w:t>
      </w:r>
    </w:p>
    <w:p>
      <w:pPr>
        <w:pStyle w:val="Heading4"/>
        <w:numPr>
          <w:ilvl w:val="3"/>
          <w:numId w:val="3"/>
        </w:numPr>
        <w:ind w:hanging="0" w:left="0"/>
        <w:rPr/>
      </w:pPr>
      <w:r>
        <w:rPr/>
        <w:t>Proposition 2.5 (Non accumulabilité de U).</w:t>
      </w:r>
    </w:p>
    <w:p>
      <w:pPr>
        <w:pStyle w:val="BodyText"/>
        <w:rPr/>
      </w:pPr>
      <w:r>
        <w:rPr/>
        <w:t>Les unités (U) non dépensées à la fin du cycle t sont automatiquement détruites. Cette extinction prévient l’accumulation improductive et maintient la nature strictement circulante de la monnaie d’usage.</w:t>
      </w:r>
    </w:p>
    <w:p>
      <w:pPr>
        <w:pStyle w:val="Heading4"/>
        <w:numPr>
          <w:ilvl w:val="3"/>
          <w:numId w:val="3"/>
        </w:numPr>
        <w:ind w:hanging="0" w:left="0"/>
        <w:rPr/>
      </w:pPr>
      <w:r>
        <w:rPr/>
        <w:t>Corollaire 2.2.</w:t>
      </w:r>
    </w:p>
    <w:p>
      <w:pPr>
        <w:pStyle w:val="BodyText"/>
        <w:rPr/>
      </w:pPr>
      <w:r>
        <w:rPr/>
        <w:t>La masse monétaire totale (U) en circulation est strictement bornée à tout instant.</w:t>
        <w:br/>
        <w:t>Somme (U) &lt;= U_t * N_t</w:t>
      </w:r>
    </w:p>
    <w:p>
      <w:pPr>
        <w:pStyle w:val="BodyText"/>
        <w:rPr/>
      </w:pPr>
      <w:r>
        <w:rPr/>
        <w:t>Cette borne supérieure serait atteinte si aucun utilisateur ne dépensait durant le cycle. En pratique, la somme (U) est inférieure à environ soixante-dix pour cent de cette borne.</w:t>
      </w:r>
    </w:p>
    <w:p>
      <w:pPr>
        <w:pStyle w:val="BodyText"/>
        <w:rPr/>
      </w:pPr>
      <w:r>
        <w:rPr/>
      </w:r>
    </w:p>
    <w:p>
      <w:pPr>
        <w:pStyle w:val="Heading4"/>
        <w:numPr>
          <w:ilvl w:val="3"/>
          <w:numId w:val="3"/>
        </w:numPr>
        <w:ind w:hanging="0" w:left="0"/>
        <w:rPr/>
      </w:pPr>
      <w:r>
        <w:rPr/>
        <w:t>2.2.3. Mécanismes de conversion entre (V) et U</w:t>
      </w:r>
    </w:p>
    <w:p>
      <w:pPr>
        <w:pStyle w:val="BodyText"/>
        <w:rPr/>
      </w:pPr>
      <w:r>
        <w:rPr/>
        <w:t>Conversion de (V) vers (U), c’est-à-dire l’accès à la liquidité.</w:t>
      </w:r>
    </w:p>
    <w:p>
      <w:pPr>
        <w:pStyle w:val="Heading4"/>
        <w:numPr>
          <w:ilvl w:val="3"/>
          <w:numId w:val="3"/>
        </w:numPr>
        <w:ind w:hanging="0" w:left="0"/>
        <w:rPr/>
      </w:pPr>
      <w:r>
        <w:rPr/>
        <w:t>Définition 2.4 (Conversion descendante).</w:t>
      </w:r>
    </w:p>
    <w:p>
      <w:pPr>
        <w:pStyle w:val="BodyText"/>
        <w:rPr/>
      </w:pPr>
      <w:r>
        <w:rPr/>
        <w:t>La conversion (V) vers (U) transforme une fraction de la valeur conservée en monnaie d’usage selon le coefficient kappa_t établi par l’Exchange.</w:t>
      </w:r>
    </w:p>
    <w:p>
      <w:pPr>
        <w:pStyle w:val="Heading4"/>
        <w:numPr>
          <w:ilvl w:val="3"/>
          <w:numId w:val="3"/>
        </w:numPr>
        <w:ind w:hanging="0" w:left="0"/>
        <w:rPr/>
      </w:pPr>
      <w:r>
        <w:rPr/>
        <w:t>Proposition 2.6 (Formule de conversion).</w:t>
      </w:r>
    </w:p>
    <w:p>
      <w:pPr>
        <w:pStyle w:val="BodyText"/>
        <w:rPr/>
      </w:pPr>
      <w:r>
        <w:rPr/>
        <w:t>U_obtenu(t) = kappa_t * V_converti(t)</w:t>
      </w:r>
    </w:p>
    <w:p>
      <w:pPr>
        <w:pStyle w:val="BodyText"/>
        <w:rPr/>
      </w:pPr>
      <w:r>
        <w:rPr/>
        <w:t>Le coefficient kappa_t, appelé coefficient de liquidité dynamique, appartient à l’intervalle [0,5 ; 2,0], conformément au chapitre 3, paragraphe 3.3.1.</w:t>
      </w:r>
    </w:p>
    <w:p>
      <w:pPr>
        <w:pStyle w:val="BodyText"/>
        <w:rPr/>
      </w:pPr>
      <w:r>
        <w:rPr/>
        <w:t>Interprétation. Le coefficient kappa_t module l’accès à la liquidité selon l’état global du système. Un coefficient supérieur à un facilite la demande en période de léthargie. Un coefficient égal à un correspond à une conversion neutre. Un coefficient inférieur à un restreint la liquidité en période de surchauffe.</w:t>
      </w:r>
    </w:p>
    <w:p>
      <w:pPr>
        <w:pStyle w:val="Heading4"/>
        <w:numPr>
          <w:ilvl w:val="3"/>
          <w:numId w:val="3"/>
        </w:numPr>
        <w:ind w:hanging="0" w:left="0"/>
        <w:rPr/>
      </w:pPr>
      <w:r>
        <w:rPr/>
        <w:t>Proposition 2.7 (Combustion de V).</w:t>
      </w:r>
    </w:p>
    <w:p>
      <w:pPr>
        <w:pStyle w:val="BodyText"/>
        <w:rPr/>
      </w:pPr>
      <w:r>
        <w:rPr/>
        <w:t>La conversion de (V) vers (U) détruit définitivement la quantité de (V) convertie. Cette combustion est inscrite dans le registre de combustion et influence les indicateurs thermométriques du système, notamment la vitesse effective et le ratio r_t.</w:t>
      </w:r>
    </w:p>
    <w:p>
      <w:pPr>
        <w:pStyle w:val="BodyText"/>
        <w:rPr/>
      </w:pPr>
      <w:r>
        <w:rPr/>
        <w:t>Conversion de (U) plus (S) vers (V), c’est-à-dire la création de valeur.</w:t>
      </w:r>
    </w:p>
    <w:p>
      <w:pPr>
        <w:pStyle w:val="Heading4"/>
        <w:numPr>
          <w:ilvl w:val="3"/>
          <w:numId w:val="3"/>
        </w:numPr>
        <w:ind w:hanging="0" w:left="0"/>
        <w:rPr/>
      </w:pPr>
      <w:r>
        <w:rPr/>
        <w:t>Théorème 2.3 (Création par acte productif).</w:t>
      </w:r>
    </w:p>
    <w:p>
      <w:pPr>
        <w:pStyle w:val="BodyText"/>
        <w:rPr/>
      </w:pPr>
      <w:r>
        <w:rPr/>
        <w:t>La création de valeur vivante (V) nécessite la combustion simultanée de monnaie d’usage (U) et de Stipulat (S) selon la loi énergétique suivante.</w:t>
      </w:r>
    </w:p>
    <w:p>
      <w:pPr>
        <w:pStyle w:val="BodyText"/>
        <w:rPr/>
      </w:pPr>
      <w:r>
        <w:rPr/>
        <w:t>DeltaV_crea(t) = eta_t * Delta_t * E_t avec E_t = w_S * s_burn(t) + w_U * u_burn(t) et w_S + w_U = 1</w:t>
      </w:r>
    </w:p>
    <w:p>
      <w:pPr>
        <w:pStyle w:val="BodyText"/>
        <w:rPr/>
      </w:pPr>
      <w:r>
        <w:rPr/>
        <w:t>Cette formulation exprime la symétrie fondamentale du système IRIS. La valeur émerge de la rencontre entre l’effort humain, représenté par (S), et la circulation monétaire, représentée par U. Ni l’un ni l’autre ne suffit isolément.</w:t>
      </w:r>
    </w:p>
    <w:p>
      <w:pPr>
        <w:pStyle w:val="Heading4"/>
        <w:numPr>
          <w:ilvl w:val="3"/>
          <w:numId w:val="3"/>
        </w:numPr>
        <w:ind w:hanging="0" w:left="0"/>
        <w:rPr/>
      </w:pPr>
      <w:r>
        <w:rPr/>
        <w:t>Définition 2.5 (Stipulat).</w:t>
      </w:r>
    </w:p>
    <w:p>
      <w:pPr>
        <w:pStyle w:val="BodyText"/>
        <w:rPr/>
      </w:pPr>
      <w:r>
        <w:rPr/>
        <w:t>Le Stipulat (S) est la preuve cryptographique d’un effort réel investi dans la production d’un bien ou d’un service. Il matérialise le travail vivant et se distingue de la monnaie d’usage.</w:t>
      </w:r>
    </w:p>
    <w:p>
      <w:pPr>
        <w:pStyle w:val="Heading4"/>
        <w:numPr>
          <w:ilvl w:val="3"/>
          <w:numId w:val="3"/>
        </w:numPr>
        <w:ind w:hanging="0" w:left="0"/>
        <w:rPr/>
      </w:pPr>
      <w:r>
        <w:rPr/>
        <w:t>Proposition 2.8 (Validation EX obligatoire).</w:t>
      </w:r>
    </w:p>
    <w:p>
      <w:pPr>
        <w:pStyle w:val="BodyText"/>
        <w:rPr/>
      </w:pPr>
      <w:r>
        <w:rPr/>
        <w:t>Aucune création de (V) ne peut advenir sans validation EX, c’est-à-dire sans signature par le Token d’Unicité et la Credential Vérifiable authentifiant la présence d’un être vivant. Cette contrainte empêche toute automatisation frauduleuse de la création monétaire.</w:t>
      </w:r>
    </w:p>
    <w:p>
      <w:pPr>
        <w:pStyle w:val="BodyText"/>
        <w:rPr/>
      </w:pPr>
      <w:r>
        <w:rPr/>
      </w:r>
    </w:p>
    <w:p>
      <w:pPr>
        <w:pStyle w:val="Heading3"/>
        <w:numPr>
          <w:ilvl w:val="2"/>
          <w:numId w:val="3"/>
        </w:numPr>
        <w:ind w:hanging="0" w:left="0"/>
        <w:rPr/>
      </w:pPr>
      <w:r>
        <w:rPr/>
        <w:t>2.2.4. Contrats de stacking : crédit organique sans intérêt</w:t>
      </w:r>
    </w:p>
    <w:p>
      <w:pPr>
        <w:pStyle w:val="BodyText"/>
        <w:rPr/>
      </w:pPr>
      <w:r>
        <w:rPr/>
        <w:t>Principe et justification.</w:t>
      </w:r>
    </w:p>
    <w:p>
      <w:pPr>
        <w:pStyle w:val="Heading4"/>
        <w:numPr>
          <w:ilvl w:val="3"/>
          <w:numId w:val="3"/>
        </w:numPr>
        <w:ind w:hanging="0" w:left="0"/>
        <w:rPr/>
      </w:pPr>
      <w:r>
        <w:rPr/>
        <w:t>Définition 2.6 (Stacking).</w:t>
      </w:r>
    </w:p>
    <w:p>
      <w:pPr>
        <w:pStyle w:val="BodyText"/>
        <w:rPr/>
      </w:pPr>
      <w:r>
        <w:rPr/>
        <w:t>Le stacking est le mécanisme de crédit natif d’IRIS. Il permet à un utilisateur d’acquérir un bien dont la valeur excède ses avoirs immédiats en (U) en engageant une fraction de ses revenus universels futurs.</w:t>
      </w:r>
    </w:p>
    <w:p>
      <w:pPr>
        <w:pStyle w:val="Heading4"/>
        <w:numPr>
          <w:ilvl w:val="3"/>
          <w:numId w:val="3"/>
        </w:numPr>
        <w:ind w:hanging="0" w:left="0"/>
        <w:rPr/>
      </w:pPr>
      <w:r>
        <w:rPr/>
        <w:t>Axiome 2.3 (Absence d’intérêts).</w:t>
      </w:r>
    </w:p>
    <w:p>
      <w:pPr>
        <w:pStyle w:val="BodyText"/>
        <w:rPr/>
      </w:pPr>
      <w:r>
        <w:rPr/>
        <w:t>Les contrats de stacking ne génèrent aucun intérêt. Le montant remboursé est strictement égal au montant avancé, sans rémunération ni du temps ni du risque.</w:t>
      </w:r>
    </w:p>
    <w:p>
      <w:pPr>
        <w:pStyle w:val="BodyText"/>
        <w:rPr/>
      </w:pPr>
      <w:r>
        <w:rPr/>
        <w:t>Justification. Dans IRIS, la rémunération classique du capital n’a pas lieu d’être pour trois raisons. D’abord, le système ne crée pas de monnaie par la dette. Ensuite, le risque de défaut est nul, car le stacking suit l’actif tel qu’expliqué au paragraphe 2.2.4.4. Enfin, le revenu universel garanti assure un flux de remboursement continu.</w:t>
      </w:r>
    </w:p>
    <w:p>
      <w:pPr>
        <w:pStyle w:val="BodyText"/>
        <w:rPr/>
      </w:pPr>
      <w:r>
        <w:rPr/>
        <w:t>Mécanisme d’avance.</w:t>
      </w:r>
    </w:p>
    <w:p>
      <w:pPr>
        <w:pStyle w:val="Heading4"/>
        <w:numPr>
          <w:ilvl w:val="3"/>
          <w:numId w:val="3"/>
        </w:numPr>
        <w:ind w:hanging="0" w:left="0"/>
        <w:rPr/>
      </w:pPr>
      <w:r>
        <w:rPr/>
        <w:t>Proposition 2.9 (Egalité énergétique).</w:t>
      </w:r>
    </w:p>
    <w:p>
      <w:pPr>
        <w:pStyle w:val="BodyText"/>
        <w:rPr/>
      </w:pPr>
      <w:r>
        <w:rPr/>
        <w:t>Au moment de la transaction, l’Exchange crédite le vendeur en (V) et enregistre simultanément un passif thermométrique équivalent dans le régulateur automatique décentralisé.</w:t>
      </w:r>
    </w:p>
    <w:p>
      <w:pPr>
        <w:pStyle w:val="BodyText"/>
        <w:rPr/>
      </w:pPr>
      <w:r>
        <w:rPr/>
        <w:t>DeltaV_avance(t) = DeltaD_stack(t) = V_avance</w:t>
      </w:r>
    </w:p>
    <w:p>
      <w:pPr>
        <w:pStyle w:val="BodyText"/>
        <w:rPr/>
      </w:pPr>
      <w:r>
        <w:rPr/>
        <w:t>Cette égalité garantit la neutralité énergétique. Aucune création monétaire à partir de rien n’intervient. Le stacking réorganise temporellement des flux futurs certains, à savoir les revenus universels à venir.</w:t>
      </w:r>
    </w:p>
    <w:p>
      <w:pPr>
        <w:pStyle w:val="Heading4"/>
        <w:numPr>
          <w:ilvl w:val="3"/>
          <w:numId w:val="3"/>
        </w:numPr>
        <w:ind w:hanging="0" w:left="0"/>
        <w:rPr/>
      </w:pPr>
      <w:r>
        <w:rPr/>
        <w:t>Définition 2.7 (Nature de D_stack).</w:t>
      </w:r>
    </w:p>
    <w:p>
      <w:pPr>
        <w:pStyle w:val="BodyText"/>
        <w:rPr/>
      </w:pPr>
      <w:r>
        <w:rPr/>
        <w:t>Le passif D_stack n’est pas une créance privée exigible. Il s’agit d’un signal thermométrique pour le régulateur automatique décentralisé. Il sert uniquement au calcul du ratio r_t = D_t / V_on(t). D_stack ne possède ni porteur juridique, ni transférabilité, ni exigibilité contractuelle.</w:t>
      </w:r>
    </w:p>
    <w:p>
      <w:pPr>
        <w:pStyle w:val="BodyText"/>
        <w:rPr/>
      </w:pPr>
      <w:r>
        <w:rPr/>
        <w:t>Remboursement automatique.</w:t>
      </w:r>
    </w:p>
    <w:p>
      <w:pPr>
        <w:pStyle w:val="Heading4"/>
        <w:numPr>
          <w:ilvl w:val="3"/>
          <w:numId w:val="3"/>
        </w:numPr>
        <w:ind w:hanging="0" w:left="0"/>
        <w:rPr/>
      </w:pPr>
      <w:r>
        <w:rPr/>
        <w:t>Proposition 2.10 (Combustion périodique).</w:t>
      </w:r>
    </w:p>
    <w:p>
      <w:pPr>
        <w:pStyle w:val="BodyText"/>
        <w:rPr/>
      </w:pPr>
      <w:r>
        <w:rPr/>
        <w:t>A chaque cycle t, une fraction U_stake(t) du revenu universel de l’utilisateur est automatiquement prélevée et détruite dans le registre de combustion. Cette destruction réduit D_stack à due concurrence.</w:t>
      </w:r>
    </w:p>
    <w:p>
      <w:pPr>
        <w:pStyle w:val="BodyText"/>
        <w:rPr/>
      </w:pPr>
      <w:r>
        <w:rPr/>
        <w:t>D_stack(t) = D_stack(t-1) - U_burn_stack(t)</w:t>
      </w:r>
    </w:p>
    <w:p>
      <w:pPr>
        <w:pStyle w:val="BodyText"/>
        <w:rPr/>
      </w:pPr>
      <w:r>
        <w:rPr/>
        <w:t>Le Wallet applique automatiquement U_effectif(t) = U_t - U_stake(t), où U_effectif(t) est le montant réellement disponible pour la consommation courante.</w:t>
      </w:r>
    </w:p>
    <w:p>
      <w:pPr>
        <w:pStyle w:val="Heading4"/>
        <w:numPr>
          <w:ilvl w:val="3"/>
          <w:numId w:val="3"/>
        </w:numPr>
        <w:ind w:hanging="0" w:left="0"/>
        <w:rPr/>
      </w:pPr>
      <w:r>
        <w:rPr/>
        <w:t>Théorème 2.4 (Extinction garantie).</w:t>
      </w:r>
    </w:p>
    <w:p>
      <w:pPr>
        <w:pStyle w:val="BodyText"/>
        <w:rPr/>
      </w:pPr>
      <w:r>
        <w:rPr/>
        <w:t>Soit un contrat de stacking de montant V_0 et de durée n cycles. Le passif D_stack est intégralement éteint après n cycles.</w:t>
      </w:r>
    </w:p>
    <w:p>
      <w:pPr>
        <w:pStyle w:val="BodyText"/>
        <w:rPr/>
      </w:pPr>
      <w:r>
        <w:rPr/>
        <w:t>Somme de i = 1 à n de U_burn_stack(i) = V_0</w:t>
      </w:r>
    </w:p>
    <w:p>
      <w:pPr>
        <w:pStyle w:val="BodyText"/>
        <w:rPr/>
      </w:pPr>
      <w:r>
        <w:rPr/>
        <w:t>Preuve. Par construction, l’échéancier est calculé de telle sorte que U_burn_stack(i) = V_0 / n. La somme télescopique garantit l’extinction complète.</w:t>
      </w:r>
    </w:p>
    <w:p>
      <w:pPr>
        <w:pStyle w:val="BodyText"/>
        <w:rPr/>
      </w:pPr>
      <w:r>
        <w:rPr/>
        <w:t>Transférabilité de l’engagement.</w:t>
      </w:r>
    </w:p>
    <w:p>
      <w:pPr>
        <w:pStyle w:val="Heading4"/>
        <w:numPr>
          <w:ilvl w:val="3"/>
          <w:numId w:val="3"/>
        </w:numPr>
        <w:ind w:hanging="0" w:left="0"/>
        <w:rPr/>
      </w:pPr>
      <w:r>
        <w:rPr/>
        <w:t>Proposition 2.11 (Suivi par l’actif).</w:t>
      </w:r>
    </w:p>
    <w:p>
      <w:pPr>
        <w:pStyle w:val="BodyText"/>
        <w:rPr/>
      </w:pPr>
      <w:r>
        <w:rPr/>
        <w:t>Le contrat de stacking est lié cryptographiquement au NFT du bien financé. En cas de cession du NFT avant extinction de D_stack, l’engagement se transfère automatiquement au nouveau détenteur.</w:t>
      </w:r>
    </w:p>
    <w:p>
      <w:pPr>
        <w:pStyle w:val="Heading4"/>
        <w:numPr>
          <w:ilvl w:val="3"/>
          <w:numId w:val="3"/>
        </w:numPr>
        <w:ind w:hanging="0" w:left="0"/>
        <w:rPr/>
      </w:pPr>
      <w:r>
        <w:rPr/>
        <w:t>Corollaire 2.3.</w:t>
      </w:r>
    </w:p>
    <w:p>
      <w:pPr>
        <w:pStyle w:val="BodyText"/>
        <w:rPr/>
      </w:pPr>
      <w:r>
        <w:rPr/>
        <w:t>Cette transférabilité élimine le risque de défaut. Même si l’acquéreur initial ne peut plus honorer ses engagements, par exemple en cas de décès ou d’insolvabilité, le bien reste grevé du contrat jusqu’à extinction. Le nouveau propriétaire hérite simultanément du NFT et de ses droits d’usage, du solde D_stack restant et de l’obligation de remboursement futur.</w:t>
      </w:r>
    </w:p>
    <w:p>
      <w:pPr>
        <w:pStyle w:val="BodyText"/>
        <w:rPr/>
      </w:pPr>
      <w:r>
        <w:rPr/>
        <w:t>Invariants du système.</w:t>
      </w:r>
    </w:p>
    <w:p>
      <w:pPr>
        <w:pStyle w:val="Heading4"/>
        <w:numPr>
          <w:ilvl w:val="3"/>
          <w:numId w:val="3"/>
        </w:numPr>
        <w:ind w:hanging="0" w:left="0"/>
        <w:rPr/>
      </w:pPr>
      <w:r>
        <w:rPr/>
        <w:t>Théorème 2.5 (Conservation thermodynamique).</w:t>
      </w:r>
    </w:p>
    <w:p>
      <w:pPr>
        <w:pStyle w:val="BodyText"/>
        <w:rPr/>
      </w:pPr>
      <w:r>
        <w:rPr/>
        <w:t>Le mécanisme de stacking respecte strictement deux invariants.</w:t>
      </w:r>
    </w:p>
    <w:p>
      <w:pPr>
        <w:pStyle w:val="BodyText"/>
        <w:rPr/>
      </w:pPr>
      <w:r>
        <w:rPr/>
        <w:t>Premier invariant, dit invariant d’avance. Pour tout contrat, DeltaV_avance = DeltaD_stack au moment de la vente.</w:t>
      </w:r>
    </w:p>
    <w:p>
      <w:pPr>
        <w:pStyle w:val="BodyText"/>
        <w:rPr/>
      </w:pPr>
      <w:r>
        <w:rPr/>
        <w:t>Second invariant, dit invariant d’extinction. Pour tout contrat, la somme des U_burn_stack sur la durée totale est égale au passif initial D_stack,0.</w:t>
        <w:br/>
        <w:t>Ces invariants garantissent qu’aucune énergie économique n’est créée ni perdue du fait du stacking.</w:t>
      </w:r>
    </w:p>
    <w:p>
      <w:pPr>
        <w:pStyle w:val="BodyText"/>
        <w:rPr/>
      </w:pPr>
      <w:r>
        <w:rPr/>
      </w:r>
    </w:p>
    <w:p>
      <w:pPr>
        <w:pStyle w:val="Heading3"/>
        <w:numPr>
          <w:ilvl w:val="2"/>
          <w:numId w:val="3"/>
        </w:numPr>
        <w:ind w:hanging="0" w:left="0"/>
        <w:rPr/>
      </w:pPr>
      <w:r>
        <w:rPr/>
        <w:t>2.2.5. NFT financiers : capitalisation collective et financement productif</w:t>
      </w:r>
    </w:p>
    <w:p>
      <w:pPr>
        <w:pStyle w:val="BodyText"/>
        <w:rPr/>
      </w:pPr>
      <w:r>
        <w:rPr/>
        <w:t>Principe et architecture.</w:t>
      </w:r>
    </w:p>
    <w:p>
      <w:pPr>
        <w:pStyle w:val="Heading4"/>
        <w:numPr>
          <w:ilvl w:val="3"/>
          <w:numId w:val="3"/>
        </w:numPr>
        <w:ind w:hanging="0" w:left="0"/>
        <w:rPr/>
      </w:pPr>
      <w:r>
        <w:rPr/>
        <w:t>Définition 2.8 (NFT financiers).</w:t>
      </w:r>
    </w:p>
    <w:p>
      <w:pPr>
        <w:pStyle w:val="BodyText"/>
        <w:rPr/>
      </w:pPr>
      <w:r>
        <w:rPr/>
        <w:t>Les NFT financiers sont des instruments d’investissement adossés à des entreprises, c’est-à-dire à des Comptes Entreprise. Ils permettent aux détenteurs de (U) de transformer leur épargne périssable, destinée à être détruite en fin de cycle, en participation au capital productif.</w:t>
      </w:r>
    </w:p>
    <w:p>
      <w:pPr>
        <w:pStyle w:val="Heading4"/>
        <w:numPr>
          <w:ilvl w:val="3"/>
          <w:numId w:val="3"/>
        </w:numPr>
        <w:ind w:hanging="0" w:left="0"/>
        <w:rPr/>
      </w:pPr>
      <w:r>
        <w:rPr/>
        <w:t>Proposition 2.12(Transformation de (U) vers (V) par NFT financiers).</w:t>
      </w:r>
    </w:p>
    <w:p>
      <w:pPr>
        <w:pStyle w:val="BodyText"/>
        <w:rPr/>
      </w:pPr>
      <w:r>
        <w:rPr/>
        <w:t>L’achat d’un NFT financier suit la loi de création standard.</w:t>
      </w:r>
    </w:p>
    <w:p>
      <w:pPr>
        <w:pStyle w:val="BodyText"/>
        <w:rPr/>
      </w:pPr>
      <w:r>
        <w:rPr/>
        <w:t>U plus S_NFT_financier, validés par EX, produisent V</w:t>
      </w:r>
    </w:p>
    <w:p>
      <w:pPr>
        <w:pStyle w:val="BodyText"/>
        <w:rPr/>
      </w:pPr>
      <w:r>
        <w:rPr/>
        <w:t>Le Stipulat S_NFT_financier représente l’engagement d’investissement. La valeur (V) ainsi créée est immobilisée temporairement. Elle est exclue de V_on jusqu’à l’échéance du contrat.</w:t>
      </w:r>
    </w:p>
    <w:p>
      <w:pPr>
        <w:pStyle w:val="BodyText"/>
        <w:rPr/>
      </w:pPr>
      <w:r>
        <w:rPr/>
        <w:t>Financement par titres à promesse productive.</w:t>
      </w:r>
    </w:p>
    <w:p>
      <w:pPr>
        <w:pStyle w:val="Heading4"/>
        <w:numPr>
          <w:ilvl w:val="3"/>
          <w:numId w:val="3"/>
        </w:numPr>
        <w:ind w:hanging="0" w:left="0"/>
        <w:rPr/>
      </w:pPr>
      <w:r>
        <w:rPr/>
        <w:t>Définition 2.9</w:t>
      </w:r>
    </w:p>
    <w:p>
      <w:pPr>
        <w:pStyle w:val="BodyText"/>
        <w:rPr/>
      </w:pPr>
      <w:r>
        <w:rPr/>
        <w:t>(Titre à Promesse Productive, TAP). Un TAP est une avance de valeur (V) accordée à une entreprise pour financer un projet productif, tel qu’un équipement, une activité de recherche et développement ou une infrastructure. Il est garanti par la capitalisation des NFT financiers émis par l’entreprise.</w:t>
      </w:r>
    </w:p>
    <w:p>
      <w:pPr>
        <w:pStyle w:val="Heading4"/>
        <w:numPr>
          <w:ilvl w:val="3"/>
          <w:numId w:val="3"/>
        </w:numPr>
        <w:ind w:hanging="0" w:left="0"/>
        <w:rPr/>
      </w:pPr>
      <w:r>
        <w:rPr/>
        <w:t>Proposition 2.13 (Réserve bloquée).</w:t>
      </w:r>
    </w:p>
    <w:p>
      <w:pPr>
        <w:pStyle w:val="BodyText"/>
        <w:rPr/>
      </w:pPr>
      <w:r>
        <w:rPr/>
        <w:t>Chaque entreprise dispose d’une capacité d’émission de TAP strictement bornée par sa réserve.</w:t>
      </w:r>
    </w:p>
    <w:p>
      <w:pPr>
        <w:pStyle w:val="BodyText"/>
        <w:rPr/>
      </w:pPr>
      <w:r>
        <w:rPr/>
        <w:t>C_reserve = V_tresorerie + V_marche_financier</w:t>
      </w:r>
    </w:p>
    <w:p>
      <w:pPr>
        <w:pStyle w:val="BodyText"/>
        <w:rPr/>
      </w:pPr>
      <w:r>
        <w:rPr/>
        <w:t>La quantité V_marche_financier désigne la somme des NFT financiers vendus et non encore arrivés à échéance.</w:t>
      </w:r>
    </w:p>
    <w:p>
      <w:pPr>
        <w:pStyle w:val="Heading4"/>
        <w:numPr>
          <w:ilvl w:val="3"/>
          <w:numId w:val="3"/>
        </w:numPr>
        <w:ind w:hanging="0" w:left="0"/>
        <w:rPr/>
      </w:pPr>
      <w:r>
        <w:rPr/>
        <w:t>Théorème 2.6 (Garantie collective).</w:t>
      </w:r>
    </w:p>
    <w:p>
      <w:pPr>
        <w:pStyle w:val="BodyText"/>
        <w:rPr/>
      </w:pPr>
      <w:r>
        <w:rPr/>
        <w:t>En cas de défaillance d’une entreprise, c’est-à-dire d’une incapacité à rembourser un TAP à l’échéance, le remboursement est automatiquement assuré par prélèvement sur la réserve C_reserve. Ce mécanisme protège les créanciers détenteurs de TAP avant les actionnaires détenteurs de NFT financiers.</w:t>
      </w:r>
    </w:p>
    <w:p>
      <w:pPr>
        <w:pStyle w:val="BodyText"/>
        <w:rPr/>
      </w:pPr>
      <w:r>
        <w:rPr/>
        <w:t>L’ordre de priorité en cas de liquidation est le suivant.</w:t>
      </w:r>
    </w:p>
    <w:p>
      <w:pPr>
        <w:pStyle w:val="BodyText"/>
        <w:numPr>
          <w:ilvl w:val="0"/>
          <w:numId w:val="25"/>
        </w:numPr>
        <w:tabs>
          <w:tab w:val="clear" w:pos="709"/>
          <w:tab w:val="left" w:pos="0" w:leader="none"/>
        </w:tabs>
        <w:ind w:hanging="283" w:left="709"/>
        <w:rPr/>
      </w:pPr>
      <w:r>
        <w:rPr/>
        <w:t>Remboursement intégral des TAP en cours, de sorte que D_TAP tende vers zéro.</w:t>
      </w:r>
    </w:p>
    <w:p>
      <w:pPr>
        <w:pStyle w:val="BodyText"/>
        <w:numPr>
          <w:ilvl w:val="0"/>
          <w:numId w:val="25"/>
        </w:numPr>
        <w:tabs>
          <w:tab w:val="clear" w:pos="709"/>
          <w:tab w:val="left" w:pos="0" w:leader="none"/>
        </w:tabs>
        <w:ind w:hanging="283" w:left="709"/>
        <w:rPr/>
      </w:pPr>
      <w:r>
        <w:rPr/>
        <w:t>Remboursement partiel ou total des NFT financiers selon le reliquat de C_reserve.</w:t>
      </w:r>
    </w:p>
    <w:p>
      <w:pPr>
        <w:pStyle w:val="BodyText"/>
        <w:numPr>
          <w:ilvl w:val="0"/>
          <w:numId w:val="25"/>
        </w:numPr>
        <w:tabs>
          <w:tab w:val="clear" w:pos="709"/>
          <w:tab w:val="left" w:pos="0" w:leader="none"/>
        </w:tabs>
        <w:ind w:hanging="283" w:left="709"/>
        <w:rPr/>
      </w:pPr>
      <w:r>
        <w:rPr/>
        <w:t>Distribution des éventuels surplus.</w:t>
      </w:r>
    </w:p>
    <w:p>
      <w:pPr>
        <w:pStyle w:val="BodyText"/>
        <w:rPr/>
      </w:pPr>
      <w:r>
        <w:rPr/>
        <w:t>Dividendes vivants.</w:t>
      </w:r>
    </w:p>
    <w:p>
      <w:pPr>
        <w:pStyle w:val="Heading4"/>
        <w:numPr>
          <w:ilvl w:val="3"/>
          <w:numId w:val="3"/>
        </w:numPr>
        <w:ind w:hanging="0" w:left="0"/>
        <w:rPr/>
      </w:pPr>
      <w:r>
        <w:rPr/>
        <w:t>Définition 2.10 (Dividende vivant).</w:t>
      </w:r>
    </w:p>
    <w:p>
      <w:pPr>
        <w:pStyle w:val="BodyText"/>
        <w:rPr/>
      </w:pPr>
      <w:r>
        <w:rPr/>
        <w:t>Le dividende vivant V_div est une réinjection de valeur (V) depuis l’entreprise vers les détenteurs de NFT financiers. Il intervient après remboursement des TAP et en fonction de la rentabilité effective.</w:t>
      </w:r>
    </w:p>
    <w:p>
      <w:pPr>
        <w:pStyle w:val="Heading4"/>
        <w:numPr>
          <w:ilvl w:val="3"/>
          <w:numId w:val="3"/>
        </w:numPr>
        <w:ind w:hanging="0" w:left="0"/>
        <w:rPr/>
      </w:pPr>
      <w:r>
        <w:rPr/>
        <w:t>Proposition 2.14 (Formule du dividende).</w:t>
      </w:r>
    </w:p>
    <w:p>
      <w:pPr>
        <w:pStyle w:val="BodyText"/>
        <w:rPr/>
      </w:pPr>
      <w:r>
        <w:rPr/>
        <w:t>V_div(t) = lambda_div * (V_produit(t) - V_burn_TAP(t) - V_reserve(t))</w:t>
      </w:r>
    </w:p>
    <w:p>
      <w:pPr>
        <w:pStyle w:val="BodyText"/>
        <w:rPr/>
      </w:pPr>
      <w:r>
        <w:rPr/>
        <w:t>Les termes sont définis ainsi. V_produit(t) est la valeur créée par l’entreprise durant le cycle t. V_burn_TAP(t) correspond aux remboursements de TAP effectués. V_reserve(t) est la fraction mise en réserve pour la stabilité. Le coefficient lambda_div appartient à l’intervalle ouvert de zéro à zéro virgule trois et est plafonné à trente pour cent.</w:t>
      </w:r>
    </w:p>
    <w:p>
      <w:pPr>
        <w:pStyle w:val="Heading4"/>
        <w:numPr>
          <w:ilvl w:val="3"/>
          <w:numId w:val="3"/>
        </w:numPr>
        <w:ind w:hanging="0" w:left="0"/>
        <w:rPr/>
      </w:pPr>
      <w:r>
        <w:rPr/>
        <w:t>Corollaire 2.4.</w:t>
      </w:r>
    </w:p>
    <w:p>
      <w:pPr>
        <w:pStyle w:val="BodyText"/>
        <w:rPr/>
      </w:pPr>
      <w:r>
        <w:rPr/>
        <w:t>Le dividende vivant réduit le passif thermométrique global selon la relation DeltaD(t) = DeltaV_avance(t) - V_burn_TAP(t) - V_div_reinjecte(t). Cette réduction améliore le ratio r_t et contribue au refroidissement thermodynamique du système.</w:t>
      </w:r>
    </w:p>
    <w:p>
      <w:pPr>
        <w:pStyle w:val="BodyText"/>
        <w:rPr/>
      </w:pPr>
      <w:r>
        <w:rPr/>
        <w:t>Autorégulation par la confiance.</w:t>
      </w:r>
    </w:p>
    <w:p>
      <w:pPr>
        <w:pStyle w:val="Heading4"/>
        <w:numPr>
          <w:ilvl w:val="3"/>
          <w:numId w:val="3"/>
        </w:numPr>
        <w:ind w:hanging="0" w:left="0"/>
        <w:rPr/>
      </w:pPr>
      <w:r>
        <w:rPr/>
        <w:t>Proposition 2.15 (Coefficient de confiance).</w:t>
      </w:r>
    </w:p>
    <w:p>
      <w:pPr>
        <w:pStyle w:val="BodyText"/>
        <w:rPr/>
      </w:pPr>
      <w:r>
        <w:rPr/>
        <w:t>Chaque entreprise possède un coefficient de confiance noté phi_trust, qui évolue selon son historique.</w:t>
      </w:r>
    </w:p>
    <w:p>
      <w:pPr>
        <w:pStyle w:val="BodyText"/>
        <w:rPr/>
      </w:pPr>
      <w:r>
        <w:rPr/>
        <w:t>phi_trust(t) = phi_trust(t-1) * (1 + alpha_trust * taux_honneur_TAP - beta_trust * taux_defaut)</w:t>
        <w:br/>
        <w:t>Le taux d’honneur des TAP est la proportion de TAP remboursés à l’échéance sans recours à la réserve. Le taux de défaut est la proportion de TAP ayant nécessité un prélèvement sur la réserve.</w:t>
        <w:br/>
        <w:t>Conséquence. Une entreprise qui honore systématiquement ses engagements voit son coefficient de confiance augmenter, ce qui facilite l’émission de nouveaux NFT financiers et accroît leur attractivité. A l’inverse, des défauts répétés dégradent la confiance et limitent l’accès au financement. Ce mécanisme met en place une autorégulation organique. La réputation économique remplace les agences de notation et les taux d’intérêt.</w:t>
      </w:r>
    </w:p>
    <w:p>
      <w:pPr>
        <w:pStyle w:val="BodyText"/>
        <w:rPr/>
      </w:pPr>
      <w:r>
        <w:rPr/>
      </w:r>
    </w:p>
    <w:p>
      <w:pPr>
        <w:pStyle w:val="Heading2"/>
        <w:numPr>
          <w:ilvl w:val="1"/>
          <w:numId w:val="3"/>
        </w:numPr>
        <w:ind w:hanging="0" w:left="0"/>
        <w:rPr/>
      </w:pPr>
      <w:r>
        <w:rPr/>
        <w:t>2.2.6. Étude de cas : le Wallet d'Alice</w:t>
      </w:r>
    </w:p>
    <w:p>
      <w:pPr>
        <w:pStyle w:val="Normal"/>
        <w:numPr>
          <w:ilvl w:val="0"/>
          <w:numId w:val="3"/>
        </w:numPr>
        <w:spacing w:before="180" w:after="240"/>
        <w:rPr/>
      </w:pPr>
      <w:r>
        <w:rPr/>
        <w:t>Pour illustrer concrètement le fonctionnement d'IRIS au niveau individuel, suivons Alice, artisan-réparateur de 34 ans qui gère un atelier de vélos électriques et participe à plusieurs projets coopératifs. Son Wallet au cycle T révèle les mécanismes fondamentaux du système.</w:t>
      </w:r>
    </w:p>
    <w:p>
      <w:pPr>
        <w:pStyle w:val="Heading3"/>
        <w:numPr>
          <w:ilvl w:val="2"/>
          <w:numId w:val="3"/>
        </w:numPr>
        <w:ind w:hanging="0" w:left="0"/>
        <w:rPr/>
      </w:pPr>
      <w:r>
        <w:rPr/>
        <w:t>Structure du Wallet</w:t>
      </w:r>
    </w:p>
    <w:p>
      <w:pPr>
        <w:pStyle w:val="MonoTree"/>
        <w:numPr>
          <w:ilvl w:val="0"/>
          <w:numId w:val="3"/>
        </w:numPr>
        <w:rPr>
          <w:rFonts w:ascii="Liberation Serif" w:hAnsi="Liberation Serif"/>
          <w:b/>
          <w:bCs/>
          <w:sz w:val="24"/>
          <w:szCs w:val="24"/>
        </w:rPr>
      </w:pPr>
      <w:r>
        <w:rPr>
          <w:rFonts w:ascii="Liberation Serif" w:hAnsi="Liberation Serif"/>
          <w:b/>
          <w:bCs/>
          <w:sz w:val="24"/>
          <w:szCs w:val="24"/>
        </w:rPr>
        <w:t>WALLET D'ALICE (Cycle T)</w:t>
      </w:r>
    </w:p>
    <w:p>
      <w:pPr>
        <w:pStyle w:val="MonoTree"/>
        <w:numPr>
          <w:ilvl w:val="0"/>
          <w:numId w:val="3"/>
        </w:numPr>
        <w:rPr>
          <w:rFonts w:ascii="Liberation Serif" w:hAnsi="Liberation Serif"/>
          <w:b/>
          <w:bCs/>
          <w:sz w:val="24"/>
          <w:szCs w:val="24"/>
        </w:rPr>
      </w:pPr>
      <w:r>
        <w:rPr>
          <w:rFonts w:ascii="Liberation Serif" w:hAnsi="Liberation Serif"/>
          <w:b/>
          <w:bCs/>
          <w:sz w:val="24"/>
          <w:szCs w:val="24"/>
        </w:rPr>
        <w:t>│</w:t>
      </w:r>
    </w:p>
    <w:p>
      <w:pPr>
        <w:pStyle w:val="MonoTree"/>
        <w:numPr>
          <w:ilvl w:val="0"/>
          <w:numId w:val="3"/>
        </w:numPr>
        <w:rPr>
          <w:rFonts w:ascii="Liberation Serif" w:hAnsi="Liberation Serif"/>
          <w:b/>
          <w:bCs/>
          <w:sz w:val="24"/>
          <w:szCs w:val="24"/>
        </w:rPr>
      </w:pPr>
      <w:r>
        <w:rPr>
          <w:rFonts w:ascii="Liberation Serif" w:hAnsi="Liberation Serif"/>
          <w:b/>
          <w:bCs/>
          <w:sz w:val="24"/>
          <w:szCs w:val="24"/>
        </w:rPr>
        <w:t xml:space="preserve">├─ </w:t>
      </w:r>
      <w:r>
        <w:rPr>
          <w:rFonts w:ascii="Liberation Serif" w:hAnsi="Liberation Serif"/>
          <w:b/>
          <w:bCs/>
          <w:sz w:val="24"/>
          <w:szCs w:val="24"/>
        </w:rPr>
        <w:t>FLUX ENTRANTS</w:t>
      </w:r>
    </w:p>
    <w:p>
      <w:pPr>
        <w:pStyle w:val="MonoTree"/>
        <w:numPr>
          <w:ilvl w:val="0"/>
          <w:numId w:val="3"/>
        </w:numPr>
        <w:rPr>
          <w:rFonts w:ascii="Liberation Serif" w:hAnsi="Liberation Serif"/>
          <w:b/>
          <w:bCs/>
          <w:sz w:val="24"/>
          <w:szCs w:val="24"/>
        </w:rPr>
      </w:pPr>
      <w:r>
        <w:rPr>
          <w:rFonts w:ascii="Liberation Serif" w:hAnsi="Liberation Serif"/>
          <w:b/>
          <w:bCs/>
          <w:sz w:val="24"/>
          <w:szCs w:val="24"/>
        </w:rPr>
        <w:t xml:space="preserve">│  ├─ </w:t>
      </w:r>
      <w:r>
        <w:rPr>
          <w:rFonts w:ascii="Liberation Serif" w:hAnsi="Liberation Serif"/>
          <w:b/>
          <w:bCs/>
          <w:sz w:val="24"/>
          <w:szCs w:val="24"/>
        </w:rPr>
        <w:t>Revenu Universel : 120,5 U/mois</w:t>
      </w:r>
    </w:p>
    <w:p>
      <w:pPr>
        <w:pStyle w:val="MonoTree"/>
        <w:numPr>
          <w:ilvl w:val="0"/>
          <w:numId w:val="3"/>
        </w:numPr>
        <w:rPr>
          <w:rFonts w:ascii="Liberation Serif" w:hAnsi="Liberation Serif"/>
          <w:b/>
          <w:bCs/>
          <w:sz w:val="24"/>
          <w:szCs w:val="24"/>
        </w:rPr>
      </w:pPr>
      <w:r>
        <w:rPr>
          <w:rFonts w:ascii="Liberation Serif" w:hAnsi="Liberation Serif"/>
          <w:b/>
          <w:bCs/>
          <w:sz w:val="24"/>
          <w:szCs w:val="24"/>
        </w:rPr>
        <w:t xml:space="preserve">│  └─ </w:t>
      </w:r>
      <w:r>
        <w:rPr>
          <w:rFonts w:ascii="Liberation Serif" w:hAnsi="Liberation Serif"/>
          <w:b/>
          <w:bCs/>
          <w:sz w:val="24"/>
          <w:szCs w:val="24"/>
        </w:rPr>
        <w:t>Valeur créée par le travail : 67,3 (V) (8 actes productifs)</w:t>
      </w:r>
    </w:p>
    <w:p>
      <w:pPr>
        <w:pStyle w:val="MonoTree"/>
        <w:numPr>
          <w:ilvl w:val="0"/>
          <w:numId w:val="3"/>
        </w:numPr>
        <w:rPr>
          <w:rFonts w:ascii="Liberation Serif" w:hAnsi="Liberation Serif"/>
          <w:b/>
          <w:bCs/>
          <w:sz w:val="24"/>
          <w:szCs w:val="24"/>
        </w:rPr>
      </w:pPr>
      <w:r>
        <w:rPr>
          <w:rFonts w:ascii="Liberation Serif" w:hAnsi="Liberation Serif"/>
          <w:b/>
          <w:bCs/>
          <w:sz w:val="24"/>
          <w:szCs w:val="24"/>
        </w:rPr>
        <w:t>│</w:t>
      </w:r>
    </w:p>
    <w:p>
      <w:pPr>
        <w:pStyle w:val="MonoTree"/>
        <w:numPr>
          <w:ilvl w:val="0"/>
          <w:numId w:val="3"/>
        </w:numPr>
        <w:rPr>
          <w:rFonts w:ascii="Liberation Serif" w:hAnsi="Liberation Serif"/>
          <w:b/>
          <w:bCs/>
          <w:sz w:val="24"/>
          <w:szCs w:val="24"/>
        </w:rPr>
      </w:pPr>
      <w:r>
        <w:rPr>
          <w:rFonts w:ascii="Liberation Serif" w:hAnsi="Liberation Serif"/>
          <w:b/>
          <w:bCs/>
          <w:sz w:val="24"/>
          <w:szCs w:val="24"/>
        </w:rPr>
        <w:t xml:space="preserve">├─ </w:t>
      </w:r>
      <w:r>
        <w:rPr>
          <w:rFonts w:ascii="Liberation Serif" w:hAnsi="Liberation Serif"/>
          <w:b/>
          <w:bCs/>
          <w:sz w:val="24"/>
          <w:szCs w:val="24"/>
        </w:rPr>
        <w:t>ENGAGEMENTS</w:t>
      </w:r>
    </w:p>
    <w:p>
      <w:pPr>
        <w:pStyle w:val="MonoTree"/>
        <w:numPr>
          <w:ilvl w:val="0"/>
          <w:numId w:val="3"/>
        </w:numPr>
        <w:rPr>
          <w:rFonts w:ascii="Liberation Serif" w:hAnsi="Liberation Serif"/>
          <w:b/>
          <w:bCs/>
          <w:sz w:val="24"/>
          <w:szCs w:val="24"/>
        </w:rPr>
      </w:pPr>
      <w:r>
        <w:rPr>
          <w:rFonts w:ascii="Liberation Serif" w:hAnsi="Liberation Serif"/>
          <w:b/>
          <w:bCs/>
          <w:sz w:val="24"/>
          <w:szCs w:val="24"/>
        </w:rPr>
        <w:t xml:space="preserve">│  ├─ </w:t>
      </w:r>
      <w:r>
        <w:rPr>
          <w:rFonts w:ascii="Liberation Serif" w:hAnsi="Liberation Serif"/>
          <w:b/>
          <w:bCs/>
          <w:sz w:val="24"/>
          <w:szCs w:val="24"/>
        </w:rPr>
        <w:t>Stackings (financement différé, sans intérêt)</w:t>
      </w:r>
    </w:p>
    <w:p>
      <w:pPr>
        <w:pStyle w:val="MonoTree"/>
        <w:numPr>
          <w:ilvl w:val="0"/>
          <w:numId w:val="3"/>
        </w:numPr>
        <w:rPr>
          <w:rFonts w:ascii="Liberation Serif" w:hAnsi="Liberation Serif"/>
          <w:b/>
          <w:bCs/>
          <w:sz w:val="24"/>
          <w:szCs w:val="24"/>
        </w:rPr>
      </w:pPr>
      <w:r>
        <w:rPr>
          <w:rFonts w:ascii="Liberation Serif" w:hAnsi="Liberation Serif"/>
          <w:b/>
          <w:bCs/>
          <w:sz w:val="24"/>
          <w:szCs w:val="24"/>
        </w:rPr>
        <w:t xml:space="preserve">│  │  ├─ </w:t>
      </w:r>
      <w:r>
        <w:rPr>
          <w:rFonts w:ascii="Liberation Serif" w:hAnsi="Liberation Serif"/>
          <w:b/>
          <w:bCs/>
          <w:sz w:val="24"/>
          <w:szCs w:val="24"/>
        </w:rPr>
        <w:t>Habitat coopératif : 35 U/mois (6 cycles restants)</w:t>
      </w:r>
    </w:p>
    <w:p>
      <w:pPr>
        <w:pStyle w:val="MonoTree"/>
        <w:numPr>
          <w:ilvl w:val="0"/>
          <w:numId w:val="3"/>
        </w:numPr>
        <w:rPr>
          <w:rFonts w:ascii="Liberation Serif" w:hAnsi="Liberation Serif"/>
          <w:b/>
          <w:bCs/>
          <w:sz w:val="24"/>
          <w:szCs w:val="24"/>
        </w:rPr>
      </w:pPr>
      <w:r>
        <w:rPr>
          <w:rFonts w:ascii="Liberation Serif" w:hAnsi="Liberation Serif"/>
          <w:b/>
          <w:bCs/>
          <w:sz w:val="24"/>
          <w:szCs w:val="24"/>
        </w:rPr>
        <w:t xml:space="preserve">│  │  └─ </w:t>
      </w:r>
      <w:r>
        <w:rPr>
          <w:rFonts w:ascii="Liberation Serif" w:hAnsi="Liberation Serif"/>
          <w:b/>
          <w:bCs/>
          <w:sz w:val="24"/>
          <w:szCs w:val="24"/>
        </w:rPr>
        <w:t>Véhicule partagé : 18 U/mois (12 cycles restants)</w:t>
      </w:r>
    </w:p>
    <w:p>
      <w:pPr>
        <w:pStyle w:val="MonoTree"/>
        <w:numPr>
          <w:ilvl w:val="0"/>
          <w:numId w:val="3"/>
        </w:numPr>
        <w:rPr>
          <w:rFonts w:ascii="Liberation Serif" w:hAnsi="Liberation Serif"/>
          <w:b/>
          <w:bCs/>
          <w:sz w:val="24"/>
          <w:szCs w:val="24"/>
        </w:rPr>
      </w:pPr>
      <w:r>
        <w:rPr>
          <w:rFonts w:ascii="Liberation Serif" w:hAnsi="Liberation Serif"/>
          <w:b/>
          <w:bCs/>
          <w:sz w:val="24"/>
          <w:szCs w:val="24"/>
        </w:rPr>
        <w:t>│  │</w:t>
      </w:r>
    </w:p>
    <w:p>
      <w:pPr>
        <w:pStyle w:val="MonoTree"/>
        <w:numPr>
          <w:ilvl w:val="0"/>
          <w:numId w:val="3"/>
        </w:numPr>
        <w:rPr>
          <w:rFonts w:ascii="Liberation Serif" w:hAnsi="Liberation Serif"/>
          <w:b/>
          <w:bCs/>
          <w:sz w:val="24"/>
          <w:szCs w:val="24"/>
        </w:rPr>
      </w:pPr>
      <w:r>
        <w:rPr>
          <w:rFonts w:ascii="Liberation Serif" w:hAnsi="Liberation Serif"/>
          <w:b/>
          <w:bCs/>
          <w:sz w:val="24"/>
          <w:szCs w:val="24"/>
        </w:rPr>
        <w:t xml:space="preserve">│  ├─ </w:t>
      </w:r>
      <w:r>
        <w:rPr>
          <w:rFonts w:ascii="Liberation Serif" w:hAnsi="Liberation Serif"/>
          <w:b/>
          <w:bCs/>
          <w:sz w:val="24"/>
          <w:szCs w:val="24"/>
        </w:rPr>
        <w:t>Investissements productifs</w:t>
      </w:r>
    </w:p>
    <w:p>
      <w:pPr>
        <w:pStyle w:val="MonoTree"/>
        <w:numPr>
          <w:ilvl w:val="0"/>
          <w:numId w:val="3"/>
        </w:numPr>
        <w:rPr>
          <w:rFonts w:ascii="Liberation Serif" w:hAnsi="Liberation Serif"/>
          <w:b/>
          <w:bCs/>
          <w:sz w:val="24"/>
          <w:szCs w:val="24"/>
        </w:rPr>
      </w:pPr>
      <w:r>
        <w:rPr>
          <w:rFonts w:ascii="Liberation Serif" w:hAnsi="Liberation Serif"/>
          <w:b/>
          <w:bCs/>
          <w:sz w:val="24"/>
          <w:szCs w:val="24"/>
        </w:rPr>
        <w:t xml:space="preserve">│  │  ├─ </w:t>
      </w:r>
      <w:r>
        <w:rPr>
          <w:rFonts w:ascii="Liberation Serif" w:hAnsi="Liberation Serif"/>
          <w:b/>
          <w:bCs/>
          <w:sz w:val="24"/>
          <w:szCs w:val="24"/>
        </w:rPr>
        <w:t>SolarLoop (énergie) : 80 (V) immobilisés, ROI 8%</w:t>
      </w:r>
    </w:p>
    <w:p>
      <w:pPr>
        <w:pStyle w:val="MonoTree"/>
        <w:numPr>
          <w:ilvl w:val="0"/>
          <w:numId w:val="3"/>
        </w:numPr>
        <w:rPr>
          <w:rFonts w:ascii="Liberation Serif" w:hAnsi="Liberation Serif"/>
          <w:b/>
          <w:bCs/>
          <w:sz w:val="24"/>
          <w:szCs w:val="24"/>
        </w:rPr>
      </w:pPr>
      <w:r>
        <w:rPr>
          <w:rFonts w:ascii="Liberation Serif" w:hAnsi="Liberation Serif"/>
          <w:b/>
          <w:bCs/>
          <w:sz w:val="24"/>
          <w:szCs w:val="24"/>
        </w:rPr>
        <w:t xml:space="preserve">│  │  └─ </w:t>
      </w:r>
      <w:r>
        <w:rPr>
          <w:rFonts w:ascii="Liberation Serif" w:hAnsi="Liberation Serif"/>
          <w:b/>
          <w:bCs/>
          <w:sz w:val="24"/>
          <w:szCs w:val="24"/>
        </w:rPr>
        <w:t>CoopBois (filière bois) : 32 (V) immobilisés, ROI 6,5%</w:t>
      </w:r>
    </w:p>
    <w:p>
      <w:pPr>
        <w:pStyle w:val="MonoTree"/>
        <w:numPr>
          <w:ilvl w:val="0"/>
          <w:numId w:val="3"/>
        </w:numPr>
        <w:rPr>
          <w:rFonts w:ascii="Liberation Serif" w:hAnsi="Liberation Serif"/>
          <w:b/>
          <w:bCs/>
          <w:sz w:val="24"/>
          <w:szCs w:val="24"/>
        </w:rPr>
      </w:pPr>
      <w:r>
        <w:rPr>
          <w:rFonts w:ascii="Liberation Serif" w:hAnsi="Liberation Serif"/>
          <w:b/>
          <w:bCs/>
          <w:sz w:val="24"/>
          <w:szCs w:val="24"/>
        </w:rPr>
        <w:t>│  │</w:t>
      </w:r>
    </w:p>
    <w:p>
      <w:pPr>
        <w:pStyle w:val="MonoTree"/>
        <w:numPr>
          <w:ilvl w:val="0"/>
          <w:numId w:val="3"/>
        </w:numPr>
        <w:rPr>
          <w:rFonts w:ascii="Liberation Serif" w:hAnsi="Liberation Serif"/>
          <w:b/>
          <w:bCs/>
          <w:sz w:val="24"/>
          <w:szCs w:val="24"/>
        </w:rPr>
      </w:pPr>
      <w:r>
        <w:rPr>
          <w:rFonts w:ascii="Liberation Serif" w:hAnsi="Liberation Serif"/>
          <w:b/>
          <w:bCs/>
          <w:sz w:val="24"/>
          <w:szCs w:val="24"/>
        </w:rPr>
        <w:t xml:space="preserve">│  └─ </w:t>
      </w:r>
      <w:r>
        <w:rPr>
          <w:rFonts w:ascii="Liberation Serif" w:hAnsi="Liberation Serif"/>
          <w:b/>
          <w:bCs/>
          <w:sz w:val="24"/>
          <w:szCs w:val="24"/>
        </w:rPr>
        <w:t>Services (abonnements)</w:t>
      </w:r>
    </w:p>
    <w:p>
      <w:pPr>
        <w:pStyle w:val="MonoTree"/>
        <w:numPr>
          <w:ilvl w:val="0"/>
          <w:numId w:val="3"/>
        </w:numPr>
        <w:rPr>
          <w:rFonts w:ascii="Liberation Serif" w:hAnsi="Liberation Serif"/>
          <w:b/>
          <w:bCs/>
          <w:sz w:val="24"/>
          <w:szCs w:val="24"/>
        </w:rPr>
      </w:pPr>
      <w:r>
        <w:rPr>
          <w:rFonts w:ascii="Liberation Serif" w:hAnsi="Liberation Serif"/>
          <w:b/>
          <w:bCs/>
          <w:sz w:val="24"/>
          <w:szCs w:val="24"/>
        </w:rPr>
        <w:t xml:space="preserve">│     ├─ </w:t>
      </w:r>
      <w:r>
        <w:rPr>
          <w:rFonts w:ascii="Liberation Serif" w:hAnsi="Liberation Serif"/>
          <w:b/>
          <w:bCs/>
          <w:sz w:val="24"/>
          <w:szCs w:val="24"/>
        </w:rPr>
        <w:t>Énergie locale : 6 U/mois</w:t>
      </w:r>
    </w:p>
    <w:p>
      <w:pPr>
        <w:pStyle w:val="MonoTree"/>
        <w:numPr>
          <w:ilvl w:val="0"/>
          <w:numId w:val="3"/>
        </w:numPr>
        <w:rPr>
          <w:rFonts w:ascii="Liberation Serif" w:hAnsi="Liberation Serif"/>
          <w:b/>
          <w:bCs/>
          <w:sz w:val="24"/>
          <w:szCs w:val="24"/>
        </w:rPr>
      </w:pPr>
      <w:r>
        <w:rPr>
          <w:rFonts w:ascii="Liberation Serif" w:hAnsi="Liberation Serif"/>
          <w:b/>
          <w:bCs/>
          <w:sz w:val="24"/>
          <w:szCs w:val="24"/>
        </w:rPr>
        <w:t xml:space="preserve">│     └─ </w:t>
      </w:r>
      <w:r>
        <w:rPr>
          <w:rFonts w:ascii="Liberation Serif" w:hAnsi="Liberation Serif"/>
          <w:b/>
          <w:bCs/>
          <w:sz w:val="24"/>
          <w:szCs w:val="24"/>
        </w:rPr>
        <w:t>Atelier partagé : 9 U/mois</w:t>
      </w:r>
    </w:p>
    <w:p>
      <w:pPr>
        <w:pStyle w:val="MonoTree"/>
        <w:numPr>
          <w:ilvl w:val="0"/>
          <w:numId w:val="3"/>
        </w:numPr>
        <w:rPr>
          <w:rFonts w:ascii="Liberation Serif" w:hAnsi="Liberation Serif"/>
          <w:b/>
          <w:bCs/>
          <w:sz w:val="24"/>
          <w:szCs w:val="24"/>
        </w:rPr>
      </w:pPr>
      <w:r>
        <w:rPr>
          <w:rFonts w:ascii="Liberation Serif" w:hAnsi="Liberation Serif"/>
          <w:b/>
          <w:bCs/>
          <w:sz w:val="24"/>
          <w:szCs w:val="24"/>
        </w:rPr>
        <w:t>│</w:t>
      </w:r>
    </w:p>
    <w:p>
      <w:pPr>
        <w:pStyle w:val="MonoTree"/>
        <w:numPr>
          <w:ilvl w:val="0"/>
          <w:numId w:val="3"/>
        </w:numPr>
        <w:rPr>
          <w:rFonts w:ascii="Liberation Serif" w:hAnsi="Liberation Serif"/>
          <w:b/>
          <w:bCs/>
          <w:sz w:val="24"/>
          <w:szCs w:val="24"/>
        </w:rPr>
      </w:pPr>
      <w:r>
        <w:rPr>
          <w:rFonts w:ascii="Liberation Serif" w:hAnsi="Liberation Serif"/>
          <w:b/>
          <w:bCs/>
          <w:sz w:val="24"/>
          <w:szCs w:val="24"/>
        </w:rPr>
        <w:t xml:space="preserve">└─ </w:t>
      </w:r>
      <w:r>
        <w:rPr>
          <w:rFonts w:ascii="Liberation Serif" w:hAnsi="Liberation Serif"/>
          <w:b/>
          <w:bCs/>
          <w:sz w:val="24"/>
          <w:szCs w:val="24"/>
        </w:rPr>
        <w:t>PATRIMOINE &amp; INDICATEURS</w:t>
      </w:r>
    </w:p>
    <w:p>
      <w:pPr>
        <w:pStyle w:val="MonoTree"/>
        <w:numPr>
          <w:ilvl w:val="0"/>
          <w:numId w:val="3"/>
        </w:numPr>
        <w:rPr>
          <w:rFonts w:ascii="Liberation Serif" w:hAnsi="Liberation Serif"/>
          <w:b/>
          <w:bCs/>
          <w:sz w:val="24"/>
          <w:szCs w:val="24"/>
        </w:rPr>
      </w:pPr>
      <w:r>
        <w:rPr>
          <w:rFonts w:ascii="Liberation Serif" w:hAnsi="Liberation Serif"/>
          <w:b/>
          <w:bCs/>
          <w:sz w:val="24"/>
          <w:szCs w:val="24"/>
        </w:rPr>
        <w:t xml:space="preserve">   ├─ </w:t>
      </w:r>
      <w:r>
        <w:rPr>
          <w:rFonts w:ascii="Liberation Serif" w:hAnsi="Liberation Serif"/>
          <w:b/>
          <w:bCs/>
          <w:sz w:val="24"/>
          <w:szCs w:val="24"/>
        </w:rPr>
        <w:t>Valeur liquide : 525,6 V</w:t>
      </w:r>
    </w:p>
    <w:p>
      <w:pPr>
        <w:pStyle w:val="MonoTree"/>
        <w:numPr>
          <w:ilvl w:val="0"/>
          <w:numId w:val="3"/>
        </w:numPr>
        <w:rPr>
          <w:rFonts w:ascii="Liberation Serif" w:hAnsi="Liberation Serif"/>
          <w:b/>
          <w:bCs/>
          <w:sz w:val="24"/>
          <w:szCs w:val="24"/>
        </w:rPr>
      </w:pPr>
      <w:r>
        <w:rPr>
          <w:rFonts w:ascii="Liberation Serif" w:hAnsi="Liberation Serif"/>
          <w:b/>
          <w:bCs/>
          <w:sz w:val="24"/>
          <w:szCs w:val="24"/>
        </w:rPr>
        <w:t xml:space="preserve">   ├─ </w:t>
      </w:r>
      <w:r>
        <w:rPr>
          <w:rFonts w:ascii="Liberation Serif" w:hAnsi="Liberation Serif"/>
          <w:b/>
          <w:bCs/>
          <w:sz w:val="24"/>
          <w:szCs w:val="24"/>
        </w:rPr>
        <w:t>Valeur totale : 637,6 V</w:t>
      </w:r>
    </w:p>
    <w:p>
      <w:pPr>
        <w:pStyle w:val="MonoTree"/>
        <w:numPr>
          <w:ilvl w:val="0"/>
          <w:numId w:val="3"/>
        </w:numPr>
        <w:rPr>
          <w:rFonts w:ascii="Liberation Serif" w:hAnsi="Liberation Serif"/>
          <w:b/>
          <w:bCs/>
          <w:sz w:val="24"/>
          <w:szCs w:val="24"/>
        </w:rPr>
      </w:pPr>
      <w:r>
        <w:rPr>
          <w:rFonts w:ascii="Liberation Serif" w:hAnsi="Liberation Serif"/>
          <w:b/>
          <w:bCs/>
          <w:sz w:val="24"/>
          <w:szCs w:val="24"/>
        </w:rPr>
        <w:t xml:space="preserve">   ├─ </w:t>
      </w:r>
      <w:r>
        <w:rPr>
          <w:rFonts w:ascii="Liberation Serif" w:hAnsi="Liberation Serif"/>
          <w:b/>
          <w:bCs/>
          <w:sz w:val="24"/>
          <w:szCs w:val="24"/>
        </w:rPr>
        <w:t>Taux d'engagement : 44% (sain, &lt; 50%)</w:t>
      </w:r>
    </w:p>
    <w:p>
      <w:pPr>
        <w:pStyle w:val="MonoTree"/>
        <w:numPr>
          <w:ilvl w:val="0"/>
          <w:numId w:val="3"/>
        </w:numPr>
        <w:rPr>
          <w:rFonts w:ascii="Liberation Serif" w:hAnsi="Liberation Serif"/>
          <w:b/>
          <w:bCs/>
          <w:sz w:val="24"/>
          <w:szCs w:val="24"/>
        </w:rPr>
      </w:pPr>
      <w:r>
        <w:rPr>
          <w:rFonts w:ascii="Liberation Serif" w:hAnsi="Liberation Serif"/>
          <w:b/>
          <w:bCs/>
          <w:sz w:val="24"/>
          <w:szCs w:val="24"/>
        </w:rPr>
        <w:t xml:space="preserve">   ├─ </w:t>
      </w:r>
      <w:r>
        <w:rPr>
          <w:rFonts w:ascii="Liberation Serif" w:hAnsi="Liberation Serif"/>
          <w:b/>
          <w:bCs/>
          <w:sz w:val="24"/>
          <w:szCs w:val="24"/>
        </w:rPr>
        <w:t>Taux d'investissement : 17,6% (diversifié)</w:t>
      </w:r>
    </w:p>
    <w:p>
      <w:pPr>
        <w:pStyle w:val="MonoTree"/>
        <w:numPr>
          <w:ilvl w:val="0"/>
          <w:numId w:val="3"/>
        </w:numPr>
        <w:rPr>
          <w:rFonts w:ascii="Liberation Serif" w:hAnsi="Liberation Serif"/>
          <w:b/>
          <w:bCs/>
          <w:sz w:val="24"/>
          <w:szCs w:val="24"/>
        </w:rPr>
      </w:pPr>
      <w:r>
        <w:rPr>
          <w:rFonts w:ascii="Liberation Serif" w:hAnsi="Liberation Serif"/>
          <w:b/>
          <w:bCs/>
          <w:sz w:val="24"/>
          <w:szCs w:val="24"/>
        </w:rPr>
        <w:t xml:space="preserve">   └─ </w:t>
      </w:r>
      <w:r>
        <w:rPr>
          <w:rFonts w:ascii="Liberation Serif" w:hAnsi="Liberation Serif"/>
          <w:b/>
          <w:bCs/>
          <w:sz w:val="24"/>
          <w:szCs w:val="24"/>
        </w:rPr>
        <w:t>Productivité : Crée 54% de son RU en valeur</w:t>
      </w:r>
    </w:p>
    <w:p>
      <w:pPr>
        <w:pStyle w:val="Heading3"/>
        <w:numPr>
          <w:ilvl w:val="2"/>
          <w:numId w:val="3"/>
        </w:numPr>
        <w:spacing w:before="360" w:after="100"/>
        <w:ind w:hanging="0" w:left="0"/>
        <w:rPr/>
      </w:pPr>
      <w:r>
        <w:rPr/>
        <w:t>Vue d'ensemble chiffrée</w:t>
      </w:r>
    </w:p>
    <w:tbl>
      <w:tblPr>
        <w:tblW w:w="9360" w:type="dxa"/>
        <w:jc w:val="left"/>
        <w:tblInd w:w="181" w:type="dxa"/>
        <w:tblLayout w:type="fixed"/>
        <w:tblCellMar>
          <w:top w:w="100" w:type="dxa"/>
          <w:left w:w="180" w:type="dxa"/>
          <w:bottom w:w="100" w:type="dxa"/>
          <w:right w:w="180" w:type="dxa"/>
        </w:tblCellMar>
      </w:tblPr>
      <w:tblGrid>
        <w:gridCol w:w="3120"/>
        <w:gridCol w:w="3120"/>
        <w:gridCol w:w="3120"/>
      </w:tblGrid>
      <w:tr>
        <w:trPr>
          <w:tblHeader w:val="true"/>
        </w:trPr>
        <w:tc>
          <w:tcPr>
            <w:tcW w:w="3120" w:type="dxa"/>
            <w:tcBorders>
              <w:top w:val="single" w:sz="2" w:space="0" w:color="CCCCCC"/>
              <w:left w:val="single" w:sz="2" w:space="0" w:color="CCCCCC"/>
              <w:bottom w:val="single" w:sz="2" w:space="0" w:color="CCCCCC"/>
              <w:right w:val="single" w:sz="2" w:space="0" w:color="CCCCCC"/>
            </w:tcBorders>
            <w:shd w:fill="2C3E50" w:val="clear"/>
          </w:tcPr>
          <w:p>
            <w:pPr>
              <w:pStyle w:val="Normal"/>
              <w:numPr>
                <w:ilvl w:val="0"/>
                <w:numId w:val="3"/>
              </w:numPr>
              <w:jc w:val="center"/>
              <w:rPr/>
            </w:pPr>
            <w:r>
              <w:rPr>
                <w:b/>
                <w:bCs/>
                <w:color w:val="FFFFFF"/>
                <w:sz w:val="22"/>
                <w:szCs w:val="22"/>
              </w:rPr>
              <w:t>Catégorie</w:t>
            </w:r>
          </w:p>
        </w:tc>
        <w:tc>
          <w:tcPr>
            <w:tcW w:w="3120" w:type="dxa"/>
            <w:tcBorders>
              <w:top w:val="single" w:sz="2" w:space="0" w:color="CCCCCC"/>
              <w:left w:val="single" w:sz="2" w:space="0" w:color="CCCCCC"/>
              <w:bottom w:val="single" w:sz="2" w:space="0" w:color="CCCCCC"/>
              <w:right w:val="single" w:sz="2" w:space="0" w:color="CCCCCC"/>
            </w:tcBorders>
            <w:shd w:fill="2C3E50" w:val="clear"/>
          </w:tcPr>
          <w:p>
            <w:pPr>
              <w:pStyle w:val="Normal"/>
              <w:numPr>
                <w:ilvl w:val="0"/>
                <w:numId w:val="3"/>
              </w:numPr>
              <w:jc w:val="center"/>
              <w:rPr/>
            </w:pPr>
            <w:r>
              <w:rPr>
                <w:b/>
                <w:bCs/>
                <w:color w:val="FFFFFF"/>
                <w:sz w:val="22"/>
                <w:szCs w:val="22"/>
              </w:rPr>
              <w:t>Montant</w:t>
            </w:r>
          </w:p>
        </w:tc>
        <w:tc>
          <w:tcPr>
            <w:tcW w:w="3120" w:type="dxa"/>
            <w:tcBorders>
              <w:top w:val="single" w:sz="2" w:space="0" w:color="CCCCCC"/>
              <w:left w:val="single" w:sz="2" w:space="0" w:color="CCCCCC"/>
              <w:bottom w:val="single" w:sz="2" w:space="0" w:color="CCCCCC"/>
              <w:right w:val="single" w:sz="2" w:space="0" w:color="CCCCCC"/>
            </w:tcBorders>
            <w:shd w:fill="2C3E50" w:val="clear"/>
          </w:tcPr>
          <w:p>
            <w:pPr>
              <w:pStyle w:val="Normal"/>
              <w:numPr>
                <w:ilvl w:val="0"/>
                <w:numId w:val="3"/>
              </w:numPr>
              <w:jc w:val="center"/>
              <w:rPr/>
            </w:pPr>
            <w:r>
              <w:rPr>
                <w:b/>
                <w:bCs/>
                <w:color w:val="FFFFFF"/>
                <w:sz w:val="22"/>
                <w:szCs w:val="22"/>
              </w:rPr>
              <w:t>Signification</w:t>
            </w:r>
          </w:p>
        </w:tc>
      </w:tr>
      <w:tr>
        <w:trPr/>
        <w:tc>
          <w:tcPr>
            <w:tcW w:w="3120" w:type="dxa"/>
            <w:tcBorders>
              <w:top w:val="single" w:sz="2" w:space="0" w:color="CCCCCC"/>
              <w:left w:val="single" w:sz="2" w:space="0" w:color="CCCCCC"/>
              <w:bottom w:val="single" w:sz="2" w:space="0" w:color="CCCCCC"/>
              <w:right w:val="single" w:sz="2" w:space="0" w:color="CCCCCC"/>
            </w:tcBorders>
            <w:shd w:fill="E8F4F8" w:val="clear"/>
          </w:tcPr>
          <w:p>
            <w:pPr>
              <w:pStyle w:val="Normal"/>
              <w:numPr>
                <w:ilvl w:val="0"/>
                <w:numId w:val="3"/>
              </w:numPr>
              <w:rPr/>
            </w:pPr>
            <w:r>
              <w:rPr>
                <w:b/>
                <w:bCs/>
              </w:rPr>
              <w:t>Revenu Universel</w:t>
            </w:r>
          </w:p>
        </w:tc>
        <w:tc>
          <w:tcPr>
            <w:tcW w:w="3120" w:type="dxa"/>
            <w:tcBorders>
              <w:top w:val="single" w:sz="2" w:space="0" w:color="CCCCCC"/>
              <w:left w:val="single" w:sz="2" w:space="0" w:color="CCCCCC"/>
              <w:bottom w:val="single" w:sz="2" w:space="0" w:color="CCCCCC"/>
              <w:right w:val="single" w:sz="2" w:space="0" w:color="CCCCCC"/>
            </w:tcBorders>
          </w:tcPr>
          <w:p>
            <w:pPr>
              <w:pStyle w:val="Normal"/>
              <w:numPr>
                <w:ilvl w:val="0"/>
                <w:numId w:val="3"/>
              </w:numPr>
              <w:jc w:val="right"/>
              <w:rPr/>
            </w:pPr>
            <w:r>
              <w:rPr/>
              <w:t>120,5 U</w:t>
            </w:r>
          </w:p>
        </w:tc>
        <w:tc>
          <w:tcPr>
            <w:tcW w:w="3120" w:type="dxa"/>
            <w:tcBorders>
              <w:top w:val="single" w:sz="2" w:space="0" w:color="CCCCCC"/>
              <w:left w:val="single" w:sz="2" w:space="0" w:color="CCCCCC"/>
              <w:bottom w:val="single" w:sz="2" w:space="0" w:color="CCCCCC"/>
              <w:right w:val="single" w:sz="2" w:space="0" w:color="CCCCCC"/>
            </w:tcBorders>
          </w:tcPr>
          <w:p>
            <w:pPr>
              <w:pStyle w:val="Normal"/>
              <w:numPr>
                <w:ilvl w:val="0"/>
                <w:numId w:val="3"/>
              </w:numPr>
              <w:rPr/>
            </w:pPr>
            <w:r>
              <w:rPr/>
              <w:t>Base garantie mensuelle</w:t>
            </w:r>
          </w:p>
        </w:tc>
      </w:tr>
      <w:tr>
        <w:trPr/>
        <w:tc>
          <w:tcPr>
            <w:tcW w:w="3120" w:type="dxa"/>
            <w:tcBorders>
              <w:top w:val="single" w:sz="2" w:space="0" w:color="CCCCCC"/>
              <w:left w:val="single" w:sz="2" w:space="0" w:color="CCCCCC"/>
              <w:bottom w:val="single" w:sz="2" w:space="0" w:color="CCCCCC"/>
              <w:right w:val="single" w:sz="2" w:space="0" w:color="CCCCCC"/>
            </w:tcBorders>
            <w:shd w:fill="E8F4F8" w:val="clear"/>
          </w:tcPr>
          <w:p>
            <w:pPr>
              <w:pStyle w:val="Normal"/>
              <w:numPr>
                <w:ilvl w:val="0"/>
                <w:numId w:val="3"/>
              </w:numPr>
              <w:rPr/>
            </w:pPr>
            <w:r>
              <w:rPr>
                <w:b/>
                <w:bCs/>
              </w:rPr>
              <w:t>Valeur créée</w:t>
            </w:r>
          </w:p>
        </w:tc>
        <w:tc>
          <w:tcPr>
            <w:tcW w:w="3120" w:type="dxa"/>
            <w:tcBorders>
              <w:top w:val="single" w:sz="2" w:space="0" w:color="CCCCCC"/>
              <w:left w:val="single" w:sz="2" w:space="0" w:color="CCCCCC"/>
              <w:bottom w:val="single" w:sz="2" w:space="0" w:color="CCCCCC"/>
              <w:right w:val="single" w:sz="2" w:space="0" w:color="CCCCCC"/>
            </w:tcBorders>
          </w:tcPr>
          <w:p>
            <w:pPr>
              <w:pStyle w:val="Normal"/>
              <w:numPr>
                <w:ilvl w:val="0"/>
                <w:numId w:val="3"/>
              </w:numPr>
              <w:jc w:val="right"/>
              <w:rPr/>
            </w:pPr>
            <w:r>
              <w:rPr/>
              <w:t>67,3 V</w:t>
            </w:r>
          </w:p>
        </w:tc>
        <w:tc>
          <w:tcPr>
            <w:tcW w:w="3120" w:type="dxa"/>
            <w:tcBorders>
              <w:top w:val="single" w:sz="2" w:space="0" w:color="CCCCCC"/>
              <w:left w:val="single" w:sz="2" w:space="0" w:color="CCCCCC"/>
              <w:bottom w:val="single" w:sz="2" w:space="0" w:color="CCCCCC"/>
              <w:right w:val="single" w:sz="2" w:space="0" w:color="CCCCCC"/>
            </w:tcBorders>
          </w:tcPr>
          <w:p>
            <w:pPr>
              <w:pStyle w:val="Normal"/>
              <w:numPr>
                <w:ilvl w:val="0"/>
                <w:numId w:val="3"/>
              </w:numPr>
              <w:rPr/>
            </w:pPr>
            <w:r>
              <w:rPr/>
              <w:t>Activité productive (8 actes)</w:t>
            </w:r>
          </w:p>
        </w:tc>
      </w:tr>
      <w:tr>
        <w:trPr/>
        <w:tc>
          <w:tcPr>
            <w:tcW w:w="3120" w:type="dxa"/>
            <w:tcBorders>
              <w:top w:val="single" w:sz="2" w:space="0" w:color="CCCCCC"/>
              <w:left w:val="single" w:sz="2" w:space="0" w:color="CCCCCC"/>
              <w:bottom w:val="single" w:sz="2" w:space="0" w:color="CCCCCC"/>
              <w:right w:val="single" w:sz="2" w:space="0" w:color="CCCCCC"/>
            </w:tcBorders>
            <w:shd w:fill="FFF4E8" w:val="clear"/>
          </w:tcPr>
          <w:p>
            <w:pPr>
              <w:pStyle w:val="Normal"/>
              <w:numPr>
                <w:ilvl w:val="0"/>
                <w:numId w:val="3"/>
              </w:numPr>
              <w:rPr/>
            </w:pPr>
            <w:r>
              <w:rPr>
                <w:b/>
                <w:bCs/>
              </w:rPr>
              <w:t>Consommation</w:t>
            </w:r>
          </w:p>
        </w:tc>
        <w:tc>
          <w:tcPr>
            <w:tcW w:w="3120" w:type="dxa"/>
            <w:tcBorders>
              <w:top w:val="single" w:sz="2" w:space="0" w:color="CCCCCC"/>
              <w:left w:val="single" w:sz="2" w:space="0" w:color="CCCCCC"/>
              <w:bottom w:val="single" w:sz="2" w:space="0" w:color="CCCCCC"/>
              <w:right w:val="single" w:sz="2" w:space="0" w:color="CCCCCC"/>
            </w:tcBorders>
          </w:tcPr>
          <w:p>
            <w:pPr>
              <w:pStyle w:val="Normal"/>
              <w:numPr>
                <w:ilvl w:val="0"/>
                <w:numId w:val="3"/>
              </w:numPr>
              <w:jc w:val="right"/>
              <w:rPr/>
            </w:pPr>
            <w:r>
              <w:rPr/>
              <w:t>82,3 U</w:t>
            </w:r>
          </w:p>
        </w:tc>
        <w:tc>
          <w:tcPr>
            <w:tcW w:w="3120" w:type="dxa"/>
            <w:tcBorders>
              <w:top w:val="single" w:sz="2" w:space="0" w:color="CCCCCC"/>
              <w:left w:val="single" w:sz="2" w:space="0" w:color="CCCCCC"/>
              <w:bottom w:val="single" w:sz="2" w:space="0" w:color="CCCCCC"/>
              <w:right w:val="single" w:sz="2" w:space="0" w:color="CCCCCC"/>
            </w:tcBorders>
          </w:tcPr>
          <w:p>
            <w:pPr>
              <w:pStyle w:val="Normal"/>
              <w:numPr>
                <w:ilvl w:val="0"/>
                <w:numId w:val="3"/>
              </w:numPr>
              <w:rPr/>
            </w:pPr>
            <w:r>
              <w:rPr/>
              <w:t>Dépenses courantes</w:t>
            </w:r>
          </w:p>
        </w:tc>
      </w:tr>
      <w:tr>
        <w:trPr/>
        <w:tc>
          <w:tcPr>
            <w:tcW w:w="3120" w:type="dxa"/>
            <w:tcBorders>
              <w:top w:val="single" w:sz="2" w:space="0" w:color="CCCCCC"/>
              <w:left w:val="single" w:sz="2" w:space="0" w:color="CCCCCC"/>
              <w:bottom w:val="single" w:sz="2" w:space="0" w:color="CCCCCC"/>
              <w:right w:val="single" w:sz="2" w:space="0" w:color="CCCCCC"/>
            </w:tcBorders>
            <w:shd w:fill="FFF4E8" w:val="clear"/>
          </w:tcPr>
          <w:p>
            <w:pPr>
              <w:pStyle w:val="Normal"/>
              <w:numPr>
                <w:ilvl w:val="0"/>
                <w:numId w:val="3"/>
              </w:numPr>
              <w:rPr/>
            </w:pPr>
            <w:r>
              <w:rPr>
                <w:b/>
                <w:bCs/>
              </w:rPr>
              <w:t>Stackings</w:t>
            </w:r>
          </w:p>
        </w:tc>
        <w:tc>
          <w:tcPr>
            <w:tcW w:w="3120" w:type="dxa"/>
            <w:tcBorders>
              <w:top w:val="single" w:sz="2" w:space="0" w:color="CCCCCC"/>
              <w:left w:val="single" w:sz="2" w:space="0" w:color="CCCCCC"/>
              <w:bottom w:val="single" w:sz="2" w:space="0" w:color="CCCCCC"/>
              <w:right w:val="single" w:sz="2" w:space="0" w:color="CCCCCC"/>
            </w:tcBorders>
          </w:tcPr>
          <w:p>
            <w:pPr>
              <w:pStyle w:val="Normal"/>
              <w:numPr>
                <w:ilvl w:val="0"/>
                <w:numId w:val="3"/>
              </w:numPr>
              <w:jc w:val="right"/>
              <w:rPr/>
            </w:pPr>
            <w:r>
              <w:rPr/>
              <w:t>53 U</w:t>
            </w:r>
          </w:p>
        </w:tc>
        <w:tc>
          <w:tcPr>
            <w:tcW w:w="3120" w:type="dxa"/>
            <w:tcBorders>
              <w:top w:val="single" w:sz="2" w:space="0" w:color="CCCCCC"/>
              <w:left w:val="single" w:sz="2" w:space="0" w:color="CCCCCC"/>
              <w:bottom w:val="single" w:sz="2" w:space="0" w:color="CCCCCC"/>
              <w:right w:val="single" w:sz="2" w:space="0" w:color="CCCCCC"/>
            </w:tcBorders>
          </w:tcPr>
          <w:p>
            <w:pPr>
              <w:pStyle w:val="Normal"/>
              <w:numPr>
                <w:ilvl w:val="0"/>
                <w:numId w:val="3"/>
              </w:numPr>
              <w:rPr/>
            </w:pPr>
            <w:r>
              <w:rPr/>
              <w:t>Habitat (35) + Véhicule (18)</w:t>
            </w:r>
          </w:p>
        </w:tc>
      </w:tr>
      <w:tr>
        <w:trPr/>
        <w:tc>
          <w:tcPr>
            <w:tcW w:w="3120" w:type="dxa"/>
            <w:tcBorders>
              <w:top w:val="single" w:sz="2" w:space="0" w:color="CCCCCC"/>
              <w:left w:val="single" w:sz="2" w:space="0" w:color="CCCCCC"/>
              <w:bottom w:val="single" w:sz="2" w:space="0" w:color="CCCCCC"/>
              <w:right w:val="single" w:sz="2" w:space="0" w:color="CCCCCC"/>
            </w:tcBorders>
            <w:shd w:fill="FFF4E8" w:val="clear"/>
          </w:tcPr>
          <w:p>
            <w:pPr>
              <w:pStyle w:val="Normal"/>
              <w:numPr>
                <w:ilvl w:val="0"/>
                <w:numId w:val="3"/>
              </w:numPr>
              <w:rPr/>
            </w:pPr>
            <w:r>
              <w:rPr>
                <w:b/>
                <w:bCs/>
              </w:rPr>
              <w:t>Abonnements</w:t>
            </w:r>
          </w:p>
        </w:tc>
        <w:tc>
          <w:tcPr>
            <w:tcW w:w="3120" w:type="dxa"/>
            <w:tcBorders>
              <w:top w:val="single" w:sz="2" w:space="0" w:color="CCCCCC"/>
              <w:left w:val="single" w:sz="2" w:space="0" w:color="CCCCCC"/>
              <w:bottom w:val="single" w:sz="2" w:space="0" w:color="CCCCCC"/>
              <w:right w:val="single" w:sz="2" w:space="0" w:color="CCCCCC"/>
            </w:tcBorders>
          </w:tcPr>
          <w:p>
            <w:pPr>
              <w:pStyle w:val="Normal"/>
              <w:numPr>
                <w:ilvl w:val="0"/>
                <w:numId w:val="3"/>
              </w:numPr>
              <w:jc w:val="right"/>
              <w:rPr/>
            </w:pPr>
            <w:r>
              <w:rPr/>
              <w:t>15 U</w:t>
            </w:r>
          </w:p>
        </w:tc>
        <w:tc>
          <w:tcPr>
            <w:tcW w:w="3120" w:type="dxa"/>
            <w:tcBorders>
              <w:top w:val="single" w:sz="2" w:space="0" w:color="CCCCCC"/>
              <w:left w:val="single" w:sz="2" w:space="0" w:color="CCCCCC"/>
              <w:bottom w:val="single" w:sz="2" w:space="0" w:color="CCCCCC"/>
              <w:right w:val="single" w:sz="2" w:space="0" w:color="CCCCCC"/>
            </w:tcBorders>
          </w:tcPr>
          <w:p>
            <w:pPr>
              <w:pStyle w:val="Normal"/>
              <w:numPr>
                <w:ilvl w:val="0"/>
                <w:numId w:val="3"/>
              </w:numPr>
              <w:rPr/>
            </w:pPr>
            <w:r>
              <w:rPr/>
              <w:t>Énergie (6) + Atelier (9)</w:t>
            </w:r>
          </w:p>
        </w:tc>
      </w:tr>
      <w:tr>
        <w:trPr/>
        <w:tc>
          <w:tcPr>
            <w:tcW w:w="3120" w:type="dxa"/>
            <w:tcBorders>
              <w:top w:val="single" w:sz="2" w:space="0" w:color="CCCCCC"/>
              <w:left w:val="single" w:sz="2" w:space="0" w:color="CCCCCC"/>
              <w:bottom w:val="single" w:sz="2" w:space="0" w:color="CCCCCC"/>
              <w:right w:val="single" w:sz="2" w:space="0" w:color="CCCCCC"/>
            </w:tcBorders>
            <w:shd w:fill="E8F8E8" w:val="clear"/>
          </w:tcPr>
          <w:p>
            <w:pPr>
              <w:pStyle w:val="Normal"/>
              <w:numPr>
                <w:ilvl w:val="0"/>
                <w:numId w:val="3"/>
              </w:numPr>
              <w:rPr/>
            </w:pPr>
            <w:r>
              <w:rPr>
                <w:b/>
                <w:bCs/>
              </w:rPr>
              <w:t>Valeur liquide</w:t>
            </w:r>
          </w:p>
        </w:tc>
        <w:tc>
          <w:tcPr>
            <w:tcW w:w="3120" w:type="dxa"/>
            <w:tcBorders>
              <w:top w:val="single" w:sz="2" w:space="0" w:color="CCCCCC"/>
              <w:left w:val="single" w:sz="2" w:space="0" w:color="CCCCCC"/>
              <w:bottom w:val="single" w:sz="2" w:space="0" w:color="CCCCCC"/>
              <w:right w:val="single" w:sz="2" w:space="0" w:color="CCCCCC"/>
            </w:tcBorders>
          </w:tcPr>
          <w:p>
            <w:pPr>
              <w:pStyle w:val="Normal"/>
              <w:numPr>
                <w:ilvl w:val="0"/>
                <w:numId w:val="3"/>
              </w:numPr>
              <w:jc w:val="right"/>
              <w:rPr/>
            </w:pPr>
            <w:r>
              <w:rPr/>
              <w:t>525,6 V</w:t>
            </w:r>
          </w:p>
        </w:tc>
        <w:tc>
          <w:tcPr>
            <w:tcW w:w="3120" w:type="dxa"/>
            <w:tcBorders>
              <w:top w:val="single" w:sz="2" w:space="0" w:color="CCCCCC"/>
              <w:left w:val="single" w:sz="2" w:space="0" w:color="CCCCCC"/>
              <w:bottom w:val="single" w:sz="2" w:space="0" w:color="CCCCCC"/>
              <w:right w:val="single" w:sz="2" w:space="0" w:color="CCCCCC"/>
            </w:tcBorders>
          </w:tcPr>
          <w:p>
            <w:pPr>
              <w:pStyle w:val="Normal"/>
              <w:numPr>
                <w:ilvl w:val="0"/>
                <w:numId w:val="3"/>
              </w:numPr>
              <w:rPr/>
            </w:pPr>
            <w:r>
              <w:rPr/>
              <w:t>Convertible en (U) selon κ</w:t>
            </w:r>
          </w:p>
        </w:tc>
      </w:tr>
      <w:tr>
        <w:trPr/>
        <w:tc>
          <w:tcPr>
            <w:tcW w:w="3120" w:type="dxa"/>
            <w:tcBorders>
              <w:top w:val="single" w:sz="2" w:space="0" w:color="CCCCCC"/>
              <w:left w:val="single" w:sz="2" w:space="0" w:color="CCCCCC"/>
              <w:bottom w:val="single" w:sz="2" w:space="0" w:color="CCCCCC"/>
              <w:right w:val="single" w:sz="2" w:space="0" w:color="CCCCCC"/>
            </w:tcBorders>
            <w:shd w:fill="E8F8E8" w:val="clear"/>
          </w:tcPr>
          <w:p>
            <w:pPr>
              <w:pStyle w:val="Normal"/>
              <w:numPr>
                <w:ilvl w:val="0"/>
                <w:numId w:val="3"/>
              </w:numPr>
              <w:rPr/>
            </w:pPr>
            <w:r>
              <w:rPr>
                <w:b/>
                <w:bCs/>
              </w:rPr>
              <w:t>Investissements</w:t>
            </w:r>
          </w:p>
        </w:tc>
        <w:tc>
          <w:tcPr>
            <w:tcW w:w="3120" w:type="dxa"/>
            <w:tcBorders>
              <w:top w:val="single" w:sz="2" w:space="0" w:color="CCCCCC"/>
              <w:left w:val="single" w:sz="2" w:space="0" w:color="CCCCCC"/>
              <w:bottom w:val="single" w:sz="2" w:space="0" w:color="CCCCCC"/>
              <w:right w:val="single" w:sz="2" w:space="0" w:color="CCCCCC"/>
            </w:tcBorders>
          </w:tcPr>
          <w:p>
            <w:pPr>
              <w:pStyle w:val="Normal"/>
              <w:numPr>
                <w:ilvl w:val="0"/>
                <w:numId w:val="3"/>
              </w:numPr>
              <w:jc w:val="right"/>
              <w:rPr/>
            </w:pPr>
            <w:r>
              <w:rPr/>
              <w:t>112 V</w:t>
            </w:r>
          </w:p>
        </w:tc>
        <w:tc>
          <w:tcPr>
            <w:tcW w:w="3120" w:type="dxa"/>
            <w:tcBorders>
              <w:top w:val="single" w:sz="2" w:space="0" w:color="CCCCCC"/>
              <w:left w:val="single" w:sz="2" w:space="0" w:color="CCCCCC"/>
              <w:bottom w:val="single" w:sz="2" w:space="0" w:color="CCCCCC"/>
              <w:right w:val="single" w:sz="2" w:space="0" w:color="CCCCCC"/>
            </w:tcBorders>
          </w:tcPr>
          <w:p>
            <w:pPr>
              <w:pStyle w:val="Normal"/>
              <w:numPr>
                <w:ilvl w:val="0"/>
                <w:numId w:val="3"/>
              </w:numPr>
              <w:rPr/>
            </w:pPr>
            <w:r>
              <w:rPr/>
              <w:t>SolarLoop (80) + CoopBois (32)</w:t>
            </w:r>
          </w:p>
        </w:tc>
      </w:tr>
      <w:tr>
        <w:trPr/>
        <w:tc>
          <w:tcPr>
            <w:tcW w:w="3120" w:type="dxa"/>
            <w:tcBorders>
              <w:top w:val="single" w:sz="2" w:space="0" w:color="CCCCCC"/>
              <w:left w:val="single" w:sz="2" w:space="0" w:color="CCCCCC"/>
              <w:bottom w:val="single" w:sz="2" w:space="0" w:color="CCCCCC"/>
              <w:right w:val="single" w:sz="2" w:space="0" w:color="CCCCCC"/>
            </w:tcBorders>
            <w:shd w:fill="E8F8E8" w:val="clear"/>
          </w:tcPr>
          <w:p>
            <w:pPr>
              <w:pStyle w:val="Normal"/>
              <w:numPr>
                <w:ilvl w:val="0"/>
                <w:numId w:val="3"/>
              </w:numPr>
              <w:rPr/>
            </w:pPr>
            <w:r>
              <w:rPr>
                <w:b/>
                <w:bCs/>
              </w:rPr>
              <w:t>Patrimoine total</w:t>
            </w:r>
          </w:p>
        </w:tc>
        <w:tc>
          <w:tcPr>
            <w:tcW w:w="3120" w:type="dxa"/>
            <w:tcBorders>
              <w:top w:val="single" w:sz="2" w:space="0" w:color="CCCCCC"/>
              <w:left w:val="single" w:sz="2" w:space="0" w:color="CCCCCC"/>
              <w:bottom w:val="single" w:sz="2" w:space="0" w:color="CCCCCC"/>
              <w:right w:val="single" w:sz="2" w:space="0" w:color="CCCCCC"/>
            </w:tcBorders>
          </w:tcPr>
          <w:p>
            <w:pPr>
              <w:pStyle w:val="Normal"/>
              <w:numPr>
                <w:ilvl w:val="0"/>
                <w:numId w:val="3"/>
              </w:numPr>
              <w:jc w:val="right"/>
              <w:rPr/>
            </w:pPr>
            <w:r>
              <w:rPr>
                <w:b/>
                <w:bCs/>
              </w:rPr>
              <w:t>637,6 V</w:t>
            </w:r>
          </w:p>
        </w:tc>
        <w:tc>
          <w:tcPr>
            <w:tcW w:w="3120" w:type="dxa"/>
            <w:tcBorders>
              <w:top w:val="single" w:sz="2" w:space="0" w:color="CCCCCC"/>
              <w:left w:val="single" w:sz="2" w:space="0" w:color="CCCCCC"/>
              <w:bottom w:val="single" w:sz="2" w:space="0" w:color="CCCCCC"/>
              <w:right w:val="single" w:sz="2" w:space="0" w:color="CCCCCC"/>
            </w:tcBorders>
          </w:tcPr>
          <w:p>
            <w:pPr>
              <w:pStyle w:val="Normal"/>
              <w:numPr>
                <w:ilvl w:val="0"/>
                <w:numId w:val="3"/>
              </w:numPr>
              <w:rPr/>
            </w:pPr>
            <w:r>
              <w:rPr/>
              <w:t>Liquide + Immobilisé</w:t>
            </w:r>
          </w:p>
        </w:tc>
      </w:tr>
    </w:tbl>
    <w:p>
      <w:pPr>
        <w:pStyle w:val="Heading3"/>
        <w:numPr>
          <w:ilvl w:val="2"/>
          <w:numId w:val="3"/>
        </w:numPr>
        <w:spacing w:before="360" w:after="100"/>
        <w:ind w:hanging="0" w:left="0"/>
        <w:rPr>
          <w:sz w:val="24"/>
          <w:szCs w:val="24"/>
        </w:rPr>
      </w:pPr>
      <w:r>
        <w:rPr>
          <w:sz w:val="24"/>
          <w:szCs w:val="24"/>
        </w:rPr>
        <w:t>Lecture des indicateurs</w:t>
      </w:r>
    </w:p>
    <w:p>
      <w:pPr>
        <w:pStyle w:val="BodyText"/>
        <w:numPr>
          <w:ilvl w:val="0"/>
          <w:numId w:val="3"/>
        </w:numPr>
        <w:rPr/>
      </w:pPr>
      <w:r>
        <w:rPr/>
        <w:t>Trois indicateurs clés révèlent la santé économique d'Alice :</w:t>
      </w:r>
    </w:p>
    <w:p>
      <w:pPr>
        <w:pStyle w:val="BodyText"/>
        <w:numPr>
          <w:ilvl w:val="0"/>
          <w:numId w:val="51"/>
        </w:numPr>
        <w:rPr/>
      </w:pPr>
      <w:r>
        <w:rPr>
          <w:b/>
          <w:bCs/>
        </w:rPr>
        <w:t>Taux d'engagement : 44%.</w:t>
      </w:r>
      <w:r>
        <w:rPr/>
        <w:t xml:space="preserve"> Alice consacre moins de la moitié de son revenu universel aux stackings (53 (U) sur 120,5 U). Ce taux inférieur à 50% est considéré comme sain : Alice conserve une marge de manœuvre confortable pour sa consommation courante et peut absorber des variations imprévues. Un taux supérieur à 70% signalerait une fragilité.</w:t>
      </w:r>
    </w:p>
    <w:p>
      <w:pPr>
        <w:pStyle w:val="BodyText"/>
        <w:numPr>
          <w:ilvl w:val="0"/>
          <w:numId w:val="51"/>
        </w:numPr>
        <w:rPr/>
      </w:pPr>
      <w:r>
        <w:rPr>
          <w:b/>
          <w:bCs/>
        </w:rPr>
        <w:t>Taux d'investissement : 17,6%.</w:t>
      </w:r>
      <w:r>
        <w:rPr/>
        <w:t xml:space="preserve"> Alice immobilise environ un sixième de son patrimoine dans des projets productifs (112 (V) sur 637,6 V). Cette proportion est modérée et diversifiée entre l'énergie et le bois, deux secteurs essentiels à l'économie locale. Elle évite ainsi la dispersion excessive tout en mutualisant les risques.</w:t>
      </w:r>
    </w:p>
    <w:p>
      <w:pPr>
        <w:pStyle w:val="BodyText"/>
        <w:numPr>
          <w:ilvl w:val="0"/>
          <w:numId w:val="51"/>
        </w:numPr>
        <w:rPr/>
      </w:pPr>
      <w:r>
        <w:rPr>
          <w:b/>
          <w:bCs/>
        </w:rPr>
        <w:t>Productivité : 54%.</w:t>
      </w:r>
      <w:r>
        <w:rPr/>
        <w:t xml:space="preserve"> Alice crée par son travail 67,3 (V), soit 54% de son revenu universel de 120,5 U. Elle génère donc plus de la moitié de ses ressources par son activité productive. Cet indicateur traduit une contribution nette positive à l'économie collective : Alice n'est pas un simple consommateur passif, mais un producteur actif qui enrichit la masse monétaire vivante du système.</w:t>
      </w:r>
    </w:p>
    <w:p>
      <w:pPr>
        <w:pStyle w:val="BodyText"/>
        <w:spacing w:before="91" w:after="91"/>
        <w:rPr/>
      </w:pPr>
      <w:r>
        <w:rPr/>
      </w:r>
    </w:p>
    <w:p>
      <w:pPr>
        <w:pStyle w:val="Heading3"/>
        <w:numPr>
          <w:ilvl w:val="0"/>
          <w:numId w:val="0"/>
        </w:numPr>
        <w:ind w:hanging="0" w:left="0"/>
        <w:rPr/>
      </w:pPr>
      <w:r>
        <w:rPr/>
        <w:t>2.2.7. Le Wallet comme organe respiratoire.</w:t>
      </w:r>
    </w:p>
    <w:p>
      <w:pPr>
        <w:pStyle w:val="BodyText"/>
        <w:rPr/>
      </w:pPr>
      <w:r>
        <w:rPr/>
        <w:t>Le Wallet d’IRIS se distingue des portefeuilles numériques conventionnels par ses propriétés structurelles.</w:t>
      </w:r>
    </w:p>
    <w:p>
      <w:pPr>
        <w:pStyle w:val="BodyText"/>
        <w:numPr>
          <w:ilvl w:val="0"/>
          <w:numId w:val="26"/>
        </w:numPr>
        <w:tabs>
          <w:tab w:val="clear" w:pos="709"/>
          <w:tab w:val="left" w:pos="0" w:leader="none"/>
        </w:tabs>
        <w:ind w:hanging="283" w:left="709"/>
        <w:rPr/>
      </w:pPr>
      <w:r>
        <w:rPr/>
        <w:t>Flux périodique garanti. Le revenu universel assure une base indépendante de l’activité individuelle.</w:t>
      </w:r>
    </w:p>
    <w:p>
      <w:pPr>
        <w:pStyle w:val="BodyText"/>
        <w:numPr>
          <w:ilvl w:val="0"/>
          <w:numId w:val="26"/>
        </w:numPr>
        <w:tabs>
          <w:tab w:val="clear" w:pos="709"/>
          <w:tab w:val="left" w:pos="0" w:leader="none"/>
        </w:tabs>
        <w:ind w:hanging="283" w:left="709"/>
        <w:rPr/>
      </w:pPr>
      <w:r>
        <w:rPr/>
        <w:t>Extinction automatique. L’impossibilité d’accumuler (U) force la circulation permanente.</w:t>
      </w:r>
    </w:p>
    <w:p>
      <w:pPr>
        <w:pStyle w:val="BodyText"/>
        <w:numPr>
          <w:ilvl w:val="0"/>
          <w:numId w:val="26"/>
        </w:numPr>
        <w:tabs>
          <w:tab w:val="clear" w:pos="709"/>
          <w:tab w:val="left" w:pos="0" w:leader="none"/>
        </w:tabs>
        <w:ind w:hanging="283" w:left="709"/>
        <w:rPr/>
      </w:pPr>
      <w:r>
        <w:rPr/>
        <w:t>Crédit sans intérêt. Le stacking permet l’accès aux biens durables sans rémunération du capital.</w:t>
      </w:r>
    </w:p>
    <w:p>
      <w:pPr>
        <w:pStyle w:val="BodyText"/>
        <w:numPr>
          <w:ilvl w:val="0"/>
          <w:numId w:val="26"/>
        </w:numPr>
        <w:tabs>
          <w:tab w:val="clear" w:pos="709"/>
          <w:tab w:val="left" w:pos="0" w:leader="none"/>
        </w:tabs>
        <w:ind w:hanging="283" w:left="709"/>
        <w:rPr/>
      </w:pPr>
      <w:r>
        <w:rPr/>
        <w:t>Investissement productif. Les NFT financiers orientent l’épargne vers l’économie réelle et non vers la spéculation.</w:t>
      </w:r>
    </w:p>
    <w:p>
      <w:pPr>
        <w:pStyle w:val="BodyText"/>
        <w:numPr>
          <w:ilvl w:val="0"/>
          <w:numId w:val="26"/>
        </w:numPr>
        <w:tabs>
          <w:tab w:val="clear" w:pos="709"/>
          <w:tab w:val="left" w:pos="0" w:leader="none"/>
        </w:tabs>
        <w:ind w:hanging="283" w:left="709"/>
        <w:rPr/>
      </w:pPr>
      <w:r>
        <w:rPr/>
        <w:t>Traçabilité sans surveillance. Toutes les opérations sont vérifiables globalement sans permettre la surveillance individuelle.</w:t>
      </w:r>
    </w:p>
    <w:p>
      <w:pPr>
        <w:pStyle w:val="BodyText"/>
        <w:numPr>
          <w:ilvl w:val="0"/>
          <w:numId w:val="26"/>
        </w:numPr>
        <w:tabs>
          <w:tab w:val="clear" w:pos="709"/>
          <w:tab w:val="left" w:pos="0" w:leader="none"/>
        </w:tabs>
        <w:ind w:hanging="283" w:left="709"/>
        <w:rPr/>
      </w:pPr>
      <w:r>
        <w:rPr/>
        <w:t>Ainsi, le Wallet inspire, transforme et expire. Il reçoit (U) périodiquement, convertit (V) et (U) selon les besoins, et détruit l’U non utilisé en fin de cycle. Il maintient un flux continu qui évite l’asphyxie économique sans provoquer de surchauffe. Le Wallet incarne la philosophie d’IRIS. La valeur y circule comme le sang. La richesse n’y est pas un stock inerte, mais un flux vivant. Chaque être humain dispose d’un droit énergétique de base inaliénable.</w:t>
      </w:r>
    </w:p>
    <w:p>
      <w:pPr>
        <w:pStyle w:val="Normal"/>
        <w:numPr>
          <w:ilvl w:val="0"/>
          <w:numId w:val="0"/>
        </w:numPr>
        <w:spacing w:before="240" w:after="120"/>
        <w:ind w:hanging="0" w:left="0"/>
        <w:rPr/>
      </w:pPr>
      <w:r>
        <w:rPr/>
        <w:t>Le Wallet inspire, transforme et expire. Il maintient un flux continu qui évite l'asphyxie économique sans provoquer de surchauffe spéculative. La valeur y circule comme le sang dans un organisme vivant : la richesse n'est pas un stock inerte, mais un flux vital. Chaque être humain dispose d'un droit énergétique de base, inaliénable et inconditionnel.</w:t>
      </w:r>
    </w:p>
    <w:p>
      <w:pPr>
        <w:pStyle w:val="BodyText"/>
        <w:rPr/>
      </w:pPr>
      <w:r>
        <w:rPr/>
      </w:r>
    </w:p>
    <w:p>
      <w:pPr>
        <w:pStyle w:val="BodyText"/>
        <w:rPr/>
      </w:pPr>
      <w:r>
        <w:rPr/>
      </w:r>
    </w:p>
    <w:p>
      <w:pPr>
        <w:pStyle w:val="Heading2"/>
        <w:numPr>
          <w:ilvl w:val="0"/>
          <w:numId w:val="0"/>
        </w:numPr>
        <w:ind w:hanging="0" w:left="0"/>
        <w:rPr/>
      </w:pPr>
      <w:r>
        <w:rPr/>
        <w:t>2.3. Le Compte Entreprise : création, transformation et distribution de la valeur vivante</w:t>
      </w:r>
    </w:p>
    <w:p>
      <w:pPr>
        <w:pStyle w:val="BodyText"/>
        <w:rPr/>
      </w:pPr>
      <w:r>
        <w:rPr/>
      </w:r>
    </w:p>
    <w:p>
      <w:pPr>
        <w:pStyle w:val="Heading3"/>
        <w:numPr>
          <w:ilvl w:val="2"/>
          <w:numId w:val="3"/>
        </w:numPr>
        <w:ind w:hanging="0" w:left="0"/>
        <w:rPr/>
      </w:pPr>
      <w:r>
        <w:rPr/>
        <w:t>2.3.1. Définition générale et statut fonctionnel</w:t>
      </w:r>
    </w:p>
    <w:p>
      <w:pPr>
        <w:pStyle w:val="Heading4"/>
        <w:numPr>
          <w:ilvl w:val="3"/>
          <w:numId w:val="3"/>
        </w:numPr>
        <w:ind w:hanging="0" w:left="0"/>
        <w:rPr/>
      </w:pPr>
      <w:r>
        <w:rPr>
          <w:rStyle w:val="Strong"/>
          <w:b/>
          <w:bCs/>
        </w:rPr>
        <w:t>Définition 2.1 (Compte Entreprise).</w:t>
      </w:r>
    </w:p>
    <w:p>
      <w:pPr>
        <w:pStyle w:val="BodyText"/>
        <w:rPr/>
      </w:pPr>
      <w:r>
        <w:rPr/>
        <w:t>Le Compte Entreprise (CE) constitue la branche productive du Compte Utilisateur dans le protocole IRIS. Il permet à un individu, à un collectif ou à une organisation d’exercer une activité économique créatrice de valeur vivante vérifiée. Le CE relie la sphère individuelle à la sphère collective en assurant la transformation des efforts réels (S) et de la monnaie d’usage (U) en valeur durable (V).</w:t>
      </w:r>
    </w:p>
    <w:p>
      <w:pPr>
        <w:pStyle w:val="BodyText"/>
        <w:rPr/>
      </w:pPr>
      <w:r>
        <w:rPr/>
        <w:t>Chaque CE est obligatoirement rattaché à un Compte Utilisateur disposant d’un Token d’Unicité et d’une Credential Vérifiable valides. Ce rattachement établit la continuité biologique et juridique entre la personne physique et son extension économique.</w:t>
      </w:r>
    </w:p>
    <w:p>
      <w:pPr>
        <w:pStyle w:val="Heading4"/>
        <w:numPr>
          <w:ilvl w:val="3"/>
          <w:numId w:val="3"/>
        </w:numPr>
        <w:ind w:hanging="0" w:left="0"/>
        <w:rPr/>
      </w:pPr>
      <w:r>
        <w:rPr>
          <w:rStyle w:val="Strong"/>
          <w:b/>
          <w:bCs/>
        </w:rPr>
        <w:t>Axiome 2.1 (Autonomie productive).</w:t>
      </w:r>
    </w:p>
    <w:p>
      <w:pPr>
        <w:pStyle w:val="BodyText"/>
        <w:rPr/>
      </w:pPr>
      <w:r>
        <w:rPr/>
        <w:t>Le Compte Entreprise dispose d’une autonomie fonctionnelle complète. Il peut émettre, recevoir, détenir et détruire des NFT productifs, mais il ne peut ni recevoir ni conserver de monnaie d’usage (U). Ses opérations se font exclusivement en valeur vivante (V).</w:t>
      </w:r>
    </w:p>
    <w:p>
      <w:pPr>
        <w:pStyle w:val="BodyText"/>
        <w:rPr/>
      </w:pPr>
      <w:r>
        <w:rPr/>
        <w:t>Cette contrainte structurelle élimine toute spéculation monétaire interne : le CE ne manipule que des valeurs issues d’actes productifs vérifiés, excluant ainsi les transactions purement financières ou les flux improductifs.</w:t>
      </w:r>
    </w:p>
    <w:p>
      <w:pPr>
        <w:pStyle w:val="Heading4"/>
        <w:numPr>
          <w:ilvl w:val="3"/>
          <w:numId w:val="3"/>
        </w:numPr>
        <w:ind w:hanging="0" w:left="0"/>
        <w:rPr/>
      </w:pPr>
      <w:r>
        <w:rPr>
          <w:rStyle w:val="Strong"/>
          <w:b/>
          <w:bCs/>
        </w:rPr>
        <w:t>Proposition 2.1 (Triptyque fonctionnel).</w:t>
      </w:r>
    </w:p>
    <w:p>
      <w:pPr>
        <w:pStyle w:val="BodyText"/>
        <w:rPr/>
      </w:pPr>
      <w:r>
        <w:rPr/>
        <w:t>Le CE assure trois fonctions principales :</w:t>
      </w:r>
    </w:p>
    <w:p>
      <w:pPr>
        <w:pStyle w:val="BodyText"/>
        <w:numPr>
          <w:ilvl w:val="0"/>
          <w:numId w:val="27"/>
        </w:numPr>
        <w:tabs>
          <w:tab w:val="clear" w:pos="709"/>
          <w:tab w:val="left" w:pos="0" w:leader="none"/>
        </w:tabs>
        <w:spacing w:lineRule="auto" w:line="276"/>
        <w:ind w:hanging="283" w:left="709"/>
        <w:rPr/>
      </w:pPr>
      <w:r>
        <w:rPr>
          <w:rStyle w:val="Strong"/>
        </w:rPr>
        <w:t>Création de valeur</w:t>
      </w:r>
      <w:r>
        <w:rPr/>
        <w:t xml:space="preserve"> : émission de NFT productifs correspondant à des biens ou des services réels.</w:t>
      </w:r>
    </w:p>
    <w:p>
      <w:pPr>
        <w:pStyle w:val="BodyText"/>
        <w:numPr>
          <w:ilvl w:val="0"/>
          <w:numId w:val="27"/>
        </w:numPr>
        <w:tabs>
          <w:tab w:val="clear" w:pos="709"/>
          <w:tab w:val="left" w:pos="0" w:leader="none"/>
        </w:tabs>
        <w:spacing w:lineRule="auto" w:line="276"/>
        <w:ind w:hanging="283" w:left="709"/>
        <w:rPr/>
      </w:pPr>
      <w:r>
        <w:rPr>
          <w:rStyle w:val="Strong"/>
        </w:rPr>
        <w:t>Distribution</w:t>
      </w:r>
      <w:r>
        <w:rPr/>
        <w:t xml:space="preserve"> : répartition organique des valeurs reçues entre les collaborateurs, la trésorerie et les réserves.</w:t>
      </w:r>
    </w:p>
    <w:p>
      <w:pPr>
        <w:pStyle w:val="BodyText"/>
        <w:numPr>
          <w:ilvl w:val="0"/>
          <w:numId w:val="27"/>
        </w:numPr>
        <w:tabs>
          <w:tab w:val="clear" w:pos="709"/>
          <w:tab w:val="left" w:pos="0" w:leader="none"/>
        </w:tabs>
        <w:spacing w:lineRule="auto" w:line="276"/>
        <w:ind w:hanging="283" w:left="709"/>
        <w:rPr/>
      </w:pPr>
      <w:r>
        <w:rPr>
          <w:rStyle w:val="Strong"/>
        </w:rPr>
        <w:t>Financement</w:t>
      </w:r>
      <w:r>
        <w:rPr/>
        <w:t xml:space="preserve"> : réception de capitaux vivants par l’émission de NFT financiers ou de Titres à Promesse Productive (TAP).</w:t>
      </w:r>
    </w:p>
    <w:p>
      <w:pPr>
        <w:pStyle w:val="Heading4"/>
        <w:numPr>
          <w:ilvl w:val="3"/>
          <w:numId w:val="3"/>
        </w:numPr>
        <w:ind w:hanging="0" w:left="0"/>
        <w:rPr/>
      </w:pPr>
      <w:r>
        <w:rPr>
          <w:rStyle w:val="Strong"/>
          <w:b/>
          <w:bCs/>
        </w:rPr>
        <w:t>Corollaire 2.1.</w:t>
      </w:r>
    </w:p>
    <w:p>
      <w:pPr>
        <w:pStyle w:val="BodyText"/>
        <w:rPr/>
      </w:pPr>
      <w:r>
        <w:rPr/>
        <w:t>Toute entreprise dans IRIS fonctionne comme un organisme thermodynamique : elle absorbe des entrées énergétiques (S, U), transforme cette énergie en valeur (V), puis redistribue cette valeur dans le système sous forme de dividendes vivants, de rémunérations ou d’investissements.</w:t>
      </w:r>
    </w:p>
    <w:p>
      <w:pPr>
        <w:pStyle w:val="Heading4"/>
        <w:numPr>
          <w:ilvl w:val="3"/>
          <w:numId w:val="3"/>
        </w:numPr>
        <w:ind w:hanging="0" w:left="0"/>
        <w:rPr/>
      </w:pPr>
      <w:r>
        <w:rPr>
          <w:rStyle w:val="Strong"/>
          <w:b/>
          <w:bCs/>
        </w:rPr>
        <w:t>Théorème 2.1 (Autonomie énergétique).</w:t>
      </w:r>
    </w:p>
    <w:p>
      <w:pPr>
        <w:pStyle w:val="BodyText"/>
        <w:rPr/>
      </w:pPr>
      <w:r>
        <w:rPr/>
        <w:t xml:space="preserve">Le Compte Entreprise est thermodynamiquement clos. Il ne crée ni ne détruit de valeur sans validation d’un acte productif </w:t>
      </w:r>
      <w:r>
        <w:rPr>
          <w:rStyle w:val="Emphasis"/>
        </w:rPr>
        <w:t>EX</w:t>
      </w:r>
      <w:r>
        <w:rPr/>
        <w:t>. Ses entrées et sorties sont équilibrées selon la loi de conservation :</w:t>
      </w:r>
    </w:p>
    <w:p>
      <w:pPr>
        <w:pStyle w:val="BodyText"/>
        <w:rPr/>
      </w:pPr>
      <w:r>
        <w:rPr/>
      </w:r>
    </w:p>
    <w:p>
      <w:pPr>
        <w:pStyle w:val="BodyText"/>
        <w:jc w:val="center"/>
        <w:rPr/>
      </w:pPr>
      <w:r>
        <w:rPr/>
        <w:t>∑</w:t>
      </w:r>
      <w:r>
        <w:rPr/>
        <w:t xml:space="preserve">ΔVentreˊe​=∑ΔVsortie​ </w:t>
      </w:r>
    </w:p>
    <w:p>
      <w:pPr>
        <w:pStyle w:val="BodyText"/>
        <w:rPr/>
      </w:pPr>
      <w:r>
        <w:rPr/>
      </w:r>
    </w:p>
    <w:p>
      <w:pPr>
        <w:pStyle w:val="BodyText"/>
        <w:rPr/>
      </w:pPr>
      <w:r>
        <w:rPr/>
        <w:t>Cette symétrie garantit que toute valeur produite correspond à un travail réel et à une demande effective, excluant toute création ex nihilo.</w:t>
      </w:r>
    </w:p>
    <w:p>
      <w:pPr>
        <w:pStyle w:val="BodyText"/>
        <w:rPr/>
      </w:pPr>
      <w:r>
        <w:rPr/>
      </w:r>
    </w:p>
    <w:p>
      <w:pPr>
        <w:pStyle w:val="Heading3"/>
        <w:numPr>
          <w:ilvl w:val="0"/>
          <w:numId w:val="0"/>
        </w:numPr>
        <w:ind w:hanging="0" w:left="0"/>
        <w:rPr/>
      </w:pPr>
      <w:r>
        <w:rPr/>
        <w:t>2.3.2. Architecture fonctionnelle du Compte Entreprise</w:t>
      </w:r>
    </w:p>
    <w:p>
      <w:pPr>
        <w:pStyle w:val="Heading4"/>
        <w:numPr>
          <w:ilvl w:val="3"/>
          <w:numId w:val="3"/>
        </w:numPr>
        <w:ind w:hanging="0" w:left="0"/>
        <w:rPr/>
      </w:pPr>
      <w:r>
        <w:rPr>
          <w:rStyle w:val="Strong"/>
          <w:b/>
          <w:bCs/>
        </w:rPr>
        <w:t>Axiome 2.2 (Structure interne en trois couches).</w:t>
      </w:r>
    </w:p>
    <w:p>
      <w:pPr>
        <w:pStyle w:val="BodyText"/>
        <w:rPr/>
      </w:pPr>
      <w:r>
        <w:rPr/>
        <w:t>Chaque Compte Entreprise est organisé en trois couches fonctionnelles interdépendantes :</w:t>
      </w:r>
    </w:p>
    <w:p>
      <w:pPr>
        <w:pStyle w:val="BodyText"/>
        <w:numPr>
          <w:ilvl w:val="0"/>
          <w:numId w:val="28"/>
        </w:numPr>
        <w:tabs>
          <w:tab w:val="clear" w:pos="709"/>
          <w:tab w:val="left" w:pos="0" w:leader="none"/>
        </w:tabs>
        <w:spacing w:lineRule="auto" w:line="276"/>
        <w:ind w:hanging="283" w:left="709"/>
        <w:rPr/>
      </w:pPr>
      <w:r>
        <w:rPr>
          <w:rStyle w:val="Strong"/>
        </w:rPr>
        <w:t>Couche productive (C1)</w:t>
      </w:r>
      <w:r>
        <w:rPr/>
        <w:t xml:space="preserve"> : dédiée à l’émission, la vente et la validation des NFT productifs. Elle regroupe les activités concrètes de production de biens et services.</w:t>
      </w:r>
    </w:p>
    <w:p>
      <w:pPr>
        <w:pStyle w:val="BodyText"/>
        <w:numPr>
          <w:ilvl w:val="0"/>
          <w:numId w:val="28"/>
        </w:numPr>
        <w:tabs>
          <w:tab w:val="clear" w:pos="709"/>
          <w:tab w:val="left" w:pos="0" w:leader="none"/>
        </w:tabs>
        <w:spacing w:lineRule="auto" w:line="276"/>
        <w:ind w:hanging="283" w:left="709"/>
        <w:rPr/>
      </w:pPr>
      <w:r>
        <w:rPr>
          <w:rStyle w:val="Strong"/>
        </w:rPr>
        <w:t>Couche financière (C2)</w:t>
      </w:r>
      <w:r>
        <w:rPr/>
        <w:t xml:space="preserve"> : consacrée à la capitalisation vivante, à l’émission de NFT financiers, à la gestion des réserves et aux remboursements des TAP.</w:t>
      </w:r>
    </w:p>
    <w:p>
      <w:pPr>
        <w:pStyle w:val="BodyText"/>
        <w:numPr>
          <w:ilvl w:val="0"/>
          <w:numId w:val="28"/>
        </w:numPr>
        <w:tabs>
          <w:tab w:val="clear" w:pos="709"/>
          <w:tab w:val="left" w:pos="0" w:leader="none"/>
        </w:tabs>
        <w:spacing w:lineRule="auto" w:line="276"/>
        <w:ind w:hanging="283" w:left="709"/>
        <w:rPr/>
      </w:pPr>
      <w:r>
        <w:rPr>
          <w:rStyle w:val="Strong"/>
        </w:rPr>
        <w:t>Couche régulatrice (C3)</w:t>
      </w:r>
      <w:r>
        <w:rPr/>
        <w:t xml:space="preserve"> : interface avec le Régulateur Automatique Décentralisé (RAD). Elle transmet les signaux thermométriques (D, ν, η, κ) et ajuste automatiquement les coefficients internes de création et de distribution.</w:t>
      </w:r>
    </w:p>
    <w:p>
      <w:pPr>
        <w:pStyle w:val="Heading4"/>
        <w:numPr>
          <w:ilvl w:val="3"/>
          <w:numId w:val="3"/>
        </w:numPr>
        <w:ind w:hanging="0" w:left="0"/>
        <w:rPr/>
      </w:pPr>
      <w:r>
        <w:rPr>
          <w:rStyle w:val="Strong"/>
          <w:b/>
          <w:bCs/>
        </w:rPr>
        <w:t>Proposition 2.2 (Indépendance et communication des couches).</w:t>
      </w:r>
    </w:p>
    <w:p>
      <w:pPr>
        <w:pStyle w:val="BodyText"/>
        <w:rPr/>
      </w:pPr>
      <w:r>
        <w:rPr/>
        <w:t xml:space="preserve">Les trois couches sont autonomes sur le plan fonctionnel mais interconnectées par la DHT et par les validations </w:t>
      </w:r>
      <w:r>
        <w:rPr>
          <w:rStyle w:val="Emphasis"/>
        </w:rPr>
        <w:t>EX</w:t>
      </w:r>
      <w:r>
        <w:rPr/>
        <w:t>.</w:t>
      </w:r>
    </w:p>
    <w:p>
      <w:pPr>
        <w:pStyle w:val="BodyText"/>
        <w:numPr>
          <w:ilvl w:val="0"/>
          <w:numId w:val="29"/>
        </w:numPr>
        <w:tabs>
          <w:tab w:val="clear" w:pos="709"/>
          <w:tab w:val="left" w:pos="0" w:leader="none"/>
        </w:tabs>
        <w:spacing w:lineRule="auto" w:line="276"/>
        <w:ind w:hanging="283" w:left="709"/>
        <w:rPr/>
      </w:pPr>
      <w:r>
        <w:rPr/>
        <w:t xml:space="preserve">La </w:t>
      </w:r>
      <w:r>
        <w:rPr>
          <w:rStyle w:val="Strong"/>
        </w:rPr>
        <w:t>C1</w:t>
      </w:r>
      <w:r>
        <w:rPr/>
        <w:t xml:space="preserve"> gère les flux réels et la création de V.</w:t>
      </w:r>
    </w:p>
    <w:p>
      <w:pPr>
        <w:pStyle w:val="BodyText"/>
        <w:numPr>
          <w:ilvl w:val="0"/>
          <w:numId w:val="29"/>
        </w:numPr>
        <w:tabs>
          <w:tab w:val="clear" w:pos="709"/>
          <w:tab w:val="left" w:pos="0" w:leader="none"/>
        </w:tabs>
        <w:spacing w:lineRule="auto" w:line="276"/>
        <w:ind w:hanging="283" w:left="709"/>
        <w:rPr/>
      </w:pPr>
      <w:r>
        <w:rPr/>
        <w:t xml:space="preserve">La </w:t>
      </w:r>
      <w:r>
        <w:rPr>
          <w:rStyle w:val="Strong"/>
        </w:rPr>
        <w:t>C2</w:t>
      </w:r>
      <w:r>
        <w:rPr/>
        <w:t xml:space="preserve"> assure la mémoire patrimoniale et le financement organique.</w:t>
      </w:r>
    </w:p>
    <w:p>
      <w:pPr>
        <w:pStyle w:val="BodyText"/>
        <w:numPr>
          <w:ilvl w:val="0"/>
          <w:numId w:val="29"/>
        </w:numPr>
        <w:tabs>
          <w:tab w:val="clear" w:pos="709"/>
          <w:tab w:val="left" w:pos="0" w:leader="none"/>
        </w:tabs>
        <w:spacing w:lineRule="auto" w:line="276"/>
        <w:ind w:hanging="283" w:left="709"/>
        <w:rPr/>
      </w:pPr>
      <w:r>
        <w:rPr/>
        <w:t xml:space="preserve">La </w:t>
      </w:r>
      <w:r>
        <w:rPr>
          <w:rStyle w:val="Strong"/>
        </w:rPr>
        <w:t>C3</w:t>
      </w:r>
      <w:r>
        <w:rPr/>
        <w:t xml:space="preserve"> maintient l’équilibre énergétique et thermodynamique entre les deux premières.</w:t>
      </w:r>
    </w:p>
    <w:p>
      <w:pPr>
        <w:pStyle w:val="BodyText"/>
        <w:rPr/>
      </w:pPr>
      <w:r>
        <w:rPr/>
        <w:t>Cette organisation garantit la traçabilité des flux et l’intégrité du système sans recourir à une autorité centrale.</w:t>
      </w:r>
    </w:p>
    <w:p>
      <w:pPr>
        <w:pStyle w:val="Heading4"/>
        <w:numPr>
          <w:ilvl w:val="3"/>
          <w:numId w:val="3"/>
        </w:numPr>
        <w:ind w:hanging="0" w:left="0"/>
        <w:rPr/>
      </w:pPr>
      <w:r>
        <w:rPr>
          <w:rStyle w:val="Strong"/>
          <w:b/>
          <w:bCs/>
        </w:rPr>
        <w:t>Définition 2.2 (NFT productif).</w:t>
      </w:r>
    </w:p>
    <w:p>
      <w:pPr>
        <w:pStyle w:val="BodyText"/>
        <w:rPr/>
      </w:pPr>
      <w:r>
        <w:rPr/>
        <w:t xml:space="preserve">Un NFT productif est un jeton représentant un bien ou un service réel, associé à une preuve d’effort (Stipulat S) et à une validation </w:t>
      </w:r>
      <w:r>
        <w:rPr>
          <w:rStyle w:val="Emphasis"/>
        </w:rPr>
        <w:t>EX</w:t>
      </w:r>
      <w:r>
        <w:rPr/>
        <w:t xml:space="preserve"> certifiant la réalité de l’échange. Chaque NFT productif est unique, traçable et détruit lors de sa consommation.</w:t>
      </w:r>
    </w:p>
    <w:p>
      <w:pPr>
        <w:pStyle w:val="Heading4"/>
        <w:numPr>
          <w:ilvl w:val="3"/>
          <w:numId w:val="3"/>
        </w:numPr>
        <w:ind w:hanging="0" w:left="0"/>
        <w:rPr/>
      </w:pPr>
      <w:r>
        <w:rPr>
          <w:rStyle w:val="Strong"/>
          <w:b/>
          <w:bCs/>
        </w:rPr>
        <w:t>Théorème 2.2 (Cycle de vie d’un NFT productif).</w:t>
      </w:r>
    </w:p>
    <w:p>
      <w:pPr>
        <w:pStyle w:val="BodyText"/>
        <w:rPr/>
      </w:pPr>
      <w:r>
        <w:rPr/>
        <w:t>Le cycle de vie d’un NFT productif suit quatre étapes :</w:t>
      </w:r>
    </w:p>
    <w:p>
      <w:pPr>
        <w:pStyle w:val="BodyText"/>
        <w:numPr>
          <w:ilvl w:val="0"/>
          <w:numId w:val="30"/>
        </w:numPr>
        <w:tabs>
          <w:tab w:val="clear" w:pos="709"/>
          <w:tab w:val="left" w:pos="0" w:leader="none"/>
        </w:tabs>
        <w:spacing w:lineRule="auto" w:line="276"/>
        <w:ind w:hanging="283" w:left="709"/>
        <w:rPr/>
      </w:pPr>
      <w:r>
        <w:rPr>
          <w:rStyle w:val="Strong"/>
        </w:rPr>
        <w:t>Émission</w:t>
      </w:r>
      <w:r>
        <w:rPr/>
        <w:t xml:space="preserve"> : création du NFT par le CE émetteur, accompagné d’un Stipulat S.</w:t>
      </w:r>
    </w:p>
    <w:p>
      <w:pPr>
        <w:pStyle w:val="BodyText"/>
        <w:numPr>
          <w:ilvl w:val="0"/>
          <w:numId w:val="30"/>
        </w:numPr>
        <w:tabs>
          <w:tab w:val="clear" w:pos="709"/>
          <w:tab w:val="left" w:pos="0" w:leader="none"/>
        </w:tabs>
        <w:spacing w:lineRule="auto" w:line="276"/>
        <w:ind w:hanging="283" w:left="709"/>
        <w:rPr/>
      </w:pPr>
      <w:r>
        <w:rPr>
          <w:rStyle w:val="Strong"/>
        </w:rPr>
        <w:t>Validation</w:t>
      </w:r>
      <w:r>
        <w:rPr/>
        <w:t xml:space="preserve"> : achat ou échange validé par un </w:t>
      </w:r>
      <w:r>
        <w:rPr>
          <w:rStyle w:val="Emphasis"/>
        </w:rPr>
        <w:t>EX</w:t>
      </w:r>
      <w:r>
        <w:rPr/>
        <w:t xml:space="preserve"> entre le CE et un Wallet utilisateur.</w:t>
      </w:r>
    </w:p>
    <w:p>
      <w:pPr>
        <w:pStyle w:val="BodyText"/>
        <w:numPr>
          <w:ilvl w:val="0"/>
          <w:numId w:val="30"/>
        </w:numPr>
        <w:tabs>
          <w:tab w:val="clear" w:pos="709"/>
          <w:tab w:val="left" w:pos="0" w:leader="none"/>
        </w:tabs>
        <w:spacing w:lineRule="auto" w:line="276"/>
        <w:ind w:hanging="283" w:left="709"/>
        <w:rPr/>
      </w:pPr>
      <w:r>
        <w:rPr>
          <w:rStyle w:val="Strong"/>
        </w:rPr>
        <w:t>Combustion</w:t>
      </w:r>
      <w:r>
        <w:rPr/>
        <w:t xml:space="preserve"> : destruction simultanée de (U) et de (S), donnant lieu à la création de (V) selon la loi énergétique ΔV = η × Δt × E.</w:t>
      </w:r>
    </w:p>
    <w:p>
      <w:pPr>
        <w:pStyle w:val="BodyText"/>
        <w:numPr>
          <w:ilvl w:val="0"/>
          <w:numId w:val="30"/>
        </w:numPr>
        <w:tabs>
          <w:tab w:val="clear" w:pos="709"/>
          <w:tab w:val="left" w:pos="0" w:leader="none"/>
        </w:tabs>
        <w:spacing w:lineRule="auto" w:line="276"/>
        <w:ind w:hanging="283" w:left="709"/>
        <w:rPr/>
      </w:pPr>
      <w:r>
        <w:rPr>
          <w:rStyle w:val="Strong"/>
        </w:rPr>
        <w:t>Archivage</w:t>
      </w:r>
      <w:r>
        <w:rPr/>
        <w:t xml:space="preserve"> : enregistrement du NFT consommé dans le Compte NFT Privé (CNP) du client et dans la DHT du CE.</w:t>
      </w:r>
    </w:p>
    <w:p>
      <w:pPr>
        <w:pStyle w:val="BodyText"/>
        <w:rPr/>
      </w:pPr>
      <w:r>
        <w:rPr/>
        <w:t>Ainsi, chaque transaction est à la fois comptable, énergétique et thermodynamique : elle crée de la valeur vivante et laisse une trace infalsifiable dans le registre global.</w:t>
      </w:r>
    </w:p>
    <w:p>
      <w:pPr>
        <w:pStyle w:val="Heading4"/>
        <w:numPr>
          <w:ilvl w:val="3"/>
          <w:numId w:val="3"/>
        </w:numPr>
        <w:ind w:hanging="0" w:left="0"/>
        <w:rPr/>
      </w:pPr>
      <w:r>
        <w:rPr>
          <w:rStyle w:val="Strong"/>
          <w:b/>
          <w:bCs/>
        </w:rPr>
        <w:t>Proposition 2.3 (Double comptabilité énergétique).</w:t>
      </w:r>
    </w:p>
    <w:p>
      <w:pPr>
        <w:pStyle w:val="BodyText"/>
        <w:rPr/>
      </w:pPr>
      <w:r>
        <w:rPr/>
        <w:t>Le CE maintient deux bilans simultanés :</w:t>
      </w:r>
    </w:p>
    <w:p>
      <w:pPr>
        <w:pStyle w:val="BodyText"/>
        <w:numPr>
          <w:ilvl w:val="0"/>
          <w:numId w:val="31"/>
        </w:numPr>
        <w:tabs>
          <w:tab w:val="clear" w:pos="709"/>
          <w:tab w:val="left" w:pos="0" w:leader="none"/>
        </w:tabs>
        <w:spacing w:lineRule="auto" w:line="276"/>
        <w:ind w:hanging="283" w:left="709"/>
        <w:rPr/>
      </w:pPr>
      <w:r>
        <w:rPr/>
        <w:t xml:space="preserve">un </w:t>
      </w:r>
      <w:r>
        <w:rPr>
          <w:rStyle w:val="Strong"/>
        </w:rPr>
        <w:t>bilan de flux</w:t>
      </w:r>
      <w:r>
        <w:rPr/>
        <w:t>, exprimé en ΔV créés, consommés, ou redistribués ;</w:t>
      </w:r>
    </w:p>
    <w:p>
      <w:pPr>
        <w:pStyle w:val="BodyText"/>
        <w:numPr>
          <w:ilvl w:val="0"/>
          <w:numId w:val="31"/>
        </w:numPr>
        <w:tabs>
          <w:tab w:val="clear" w:pos="709"/>
          <w:tab w:val="left" w:pos="0" w:leader="none"/>
        </w:tabs>
        <w:spacing w:lineRule="auto" w:line="276"/>
        <w:ind w:hanging="283" w:left="709"/>
        <w:rPr/>
      </w:pPr>
      <w:r>
        <w:rPr/>
        <w:t xml:space="preserve">un </w:t>
      </w:r>
      <w:r>
        <w:rPr>
          <w:rStyle w:val="Strong"/>
        </w:rPr>
        <w:t>bilan thermodynamique</w:t>
      </w:r>
      <w:r>
        <w:rPr/>
        <w:t>, exprimé en ratios D/V et coefficients ν, η, κ.</w:t>
      </w:r>
    </w:p>
    <w:p>
      <w:pPr>
        <w:pStyle w:val="BodyText"/>
        <w:rPr/>
      </w:pPr>
      <w:r>
        <w:rPr/>
        <w:t>Cette double comptabilité assure une cohérence entre les performances économiques et l’équilibre énergétique du système.</w:t>
      </w:r>
    </w:p>
    <w:p>
      <w:pPr>
        <w:pStyle w:val="Heading4"/>
        <w:numPr>
          <w:ilvl w:val="3"/>
          <w:numId w:val="3"/>
        </w:numPr>
        <w:ind w:hanging="0" w:left="0"/>
        <w:rPr/>
      </w:pPr>
      <w:r>
        <w:rPr>
          <w:rStyle w:val="Strong"/>
          <w:b/>
          <w:bCs/>
        </w:rPr>
        <w:t>Axiome 2.3 (Inviolabilité interne).</w:t>
      </w:r>
    </w:p>
    <w:p>
      <w:pPr>
        <w:pStyle w:val="BodyText"/>
        <w:rPr/>
      </w:pPr>
      <w:r>
        <w:rPr/>
        <w:t xml:space="preserve">Les trois couches du CE sont isolées cryptographiquement. Aucune ne peut modifier les registres des deux autres sans validation </w:t>
      </w:r>
      <w:r>
        <w:rPr>
          <w:rStyle w:val="Emphasis"/>
        </w:rPr>
        <w:t>EX</w:t>
      </w:r>
      <w:r>
        <w:rPr/>
        <w:t>. Cette séparation empêche toute manipulation interne des comptes et garantit la transparence des opérations.</w:t>
      </w:r>
    </w:p>
    <w:p>
      <w:pPr>
        <w:pStyle w:val="BodyText"/>
        <w:rPr/>
      </w:pPr>
      <w:r>
        <w:rPr>
          <w:rStyle w:val="Strong"/>
        </w:rPr>
        <w:t>Corollaire 2.2.</w:t>
      </w:r>
    </w:p>
    <w:p>
      <w:pPr>
        <w:pStyle w:val="BodyText"/>
        <w:rPr/>
      </w:pPr>
      <w:r>
        <w:rPr/>
        <w:t>Une attaque sur la couche financière (C2) ne peut altérer ni les registres de production (C1), ni les signaux du régulateur (C3). Inversement, une erreur de calibration du RAD n’affecte pas rétroactivement les transactions déjà validées.</w:t>
      </w:r>
    </w:p>
    <w:p>
      <w:pPr>
        <w:pStyle w:val="BodyText"/>
        <w:rPr/>
      </w:pPr>
      <w:r>
        <w:rPr/>
      </w:r>
    </w:p>
    <w:p>
      <w:pPr>
        <w:pStyle w:val="Heading3"/>
        <w:numPr>
          <w:ilvl w:val="2"/>
          <w:numId w:val="3"/>
        </w:numPr>
        <w:ind w:hanging="0" w:left="0"/>
        <w:rPr/>
      </w:pPr>
      <w:r>
        <w:rPr/>
        <w:t>2.3.3. Mécanisme de création de valeur vivante</w:t>
      </w:r>
    </w:p>
    <w:p>
      <w:pPr>
        <w:pStyle w:val="Heading4"/>
        <w:numPr>
          <w:ilvl w:val="3"/>
          <w:numId w:val="3"/>
        </w:numPr>
        <w:ind w:hanging="0" w:left="0"/>
        <w:rPr/>
      </w:pPr>
      <w:r>
        <w:rPr>
          <w:rStyle w:val="Strong"/>
          <w:b/>
          <w:bCs/>
        </w:rPr>
        <w:t>Axiome 2.4 (Principe de la combustion productive).</w:t>
      </w:r>
    </w:p>
    <w:p>
      <w:pPr>
        <w:pStyle w:val="BodyText"/>
        <w:rPr/>
      </w:pPr>
      <w:r>
        <w:rPr/>
        <w:t>Toute création de valeur par un Compte Entreprise découle d’un processus de combustion contrôlée entre la monnaie d’usage (U) et le Stipulat (S).</w:t>
      </w:r>
    </w:p>
    <w:p>
      <w:pPr>
        <w:pStyle w:val="BodyText"/>
        <w:rPr/>
      </w:pPr>
      <w:r>
        <w:rPr/>
        <w:t>Lorsqu’un utilisateur acquiert un bien ou un service émis par un CE, il détruit simultanément une quantité (U) (pouvoir d’achat) et le CE détruit la quantité (S) correspondante (preuve de travail).</w:t>
      </w:r>
    </w:p>
    <w:p>
      <w:pPr>
        <w:pStyle w:val="BodyText"/>
        <w:rPr/>
      </w:pPr>
      <w:r>
        <w:rPr/>
        <w:t>La rencontre de ces deux flux produit de la valeur vivante (V), selon la loi énergétique générale :</w:t>
      </w:r>
    </w:p>
    <w:p>
      <w:pPr>
        <w:pStyle w:val="BodyText"/>
        <w:rPr/>
      </w:pPr>
      <w:r>
        <w:rPr/>
      </w:r>
    </w:p>
    <w:p>
      <w:pPr>
        <w:pStyle w:val="BodyText"/>
        <w:jc w:val="center"/>
        <w:rPr/>
      </w:pPr>
      <w:r>
        <w:rPr/>
        <w:t xml:space="preserve">ΔV=ηt​×Δt×Et​ </w:t>
      </w:r>
    </w:p>
    <w:p>
      <w:pPr>
        <w:pStyle w:val="BodyText"/>
        <w:rPr/>
      </w:pPr>
      <w:r>
        <w:rPr/>
      </w:r>
    </w:p>
    <w:p>
      <w:pPr>
        <w:pStyle w:val="BodyText"/>
        <w:rPr/>
      </w:pPr>
      <w:r>
        <w:rPr/>
        <w:t xml:space="preserve">où </w:t>
      </w:r>
    </w:p>
    <w:p>
      <w:pPr>
        <w:pStyle w:val="BodyText"/>
        <w:rPr/>
      </w:pPr>
      <w:r>
        <w:rPr/>
      </w:r>
    </w:p>
    <w:p>
      <w:pPr>
        <w:pStyle w:val="BodyText"/>
        <w:jc w:val="center"/>
        <w:rPr/>
      </w:pPr>
      <w:r>
        <w:rPr/>
        <w:t>Et​=wS​×sburn,t​+wU​×uburn,t​, avec wS​+wU​=1.</w:t>
      </w:r>
    </w:p>
    <w:p>
      <w:pPr>
        <w:pStyle w:val="BodyText"/>
        <w:rPr/>
      </w:pPr>
      <w:r>
        <w:rPr/>
      </w:r>
    </w:p>
    <w:p>
      <w:pPr>
        <w:pStyle w:val="Heading4"/>
        <w:numPr>
          <w:ilvl w:val="3"/>
          <w:numId w:val="3"/>
        </w:numPr>
        <w:ind w:hanging="0" w:left="0"/>
        <w:rPr/>
      </w:pPr>
      <w:r>
        <w:rPr>
          <w:rStyle w:val="Strong"/>
          <w:b/>
          <w:bCs/>
        </w:rPr>
        <w:t>Proposition 2.4 (Symétrie de la transaction).</w:t>
      </w:r>
    </w:p>
    <w:p>
      <w:pPr>
        <w:pStyle w:val="BodyText"/>
        <w:rPr/>
      </w:pPr>
      <w:r>
        <w:rPr/>
        <w:t xml:space="preserve">Chaque transaction validée </w:t>
      </w:r>
      <w:r>
        <w:rPr>
          <w:rStyle w:val="Emphasis"/>
        </w:rPr>
        <w:t>EX</w:t>
      </w:r>
      <w:r>
        <w:rPr/>
        <w:t xml:space="preserve"> associe trois entités indissociables :</w:t>
      </w:r>
    </w:p>
    <w:p>
      <w:pPr>
        <w:pStyle w:val="BodyText"/>
        <w:numPr>
          <w:ilvl w:val="0"/>
          <w:numId w:val="32"/>
        </w:numPr>
        <w:tabs>
          <w:tab w:val="clear" w:pos="709"/>
          <w:tab w:val="left" w:pos="0" w:leader="none"/>
        </w:tabs>
        <w:spacing w:lineRule="auto" w:line="276"/>
        <w:ind w:hanging="283" w:left="709"/>
        <w:rPr/>
      </w:pPr>
      <w:r>
        <w:rPr/>
        <w:t xml:space="preserve">Un </w:t>
      </w:r>
      <w:r>
        <w:rPr>
          <w:rStyle w:val="Strong"/>
        </w:rPr>
        <w:t>acheteur vivant</w:t>
      </w:r>
      <w:r>
        <w:rPr/>
        <w:t>, détenteur d’un Compte Utilisateur valide (preuve d’existence</w:t>
        <w:br/>
        <w:t>biologique).</w:t>
      </w:r>
    </w:p>
    <w:p>
      <w:pPr>
        <w:pStyle w:val="BodyText"/>
        <w:numPr>
          <w:ilvl w:val="0"/>
          <w:numId w:val="32"/>
        </w:numPr>
        <w:tabs>
          <w:tab w:val="clear" w:pos="709"/>
          <w:tab w:val="left" w:pos="0" w:leader="none"/>
        </w:tabs>
        <w:spacing w:lineRule="auto" w:line="276"/>
        <w:ind w:hanging="283" w:left="709"/>
        <w:rPr/>
      </w:pPr>
      <w:r>
        <w:rPr/>
        <w:t xml:space="preserve">Un </w:t>
      </w:r>
      <w:r>
        <w:rPr>
          <w:rStyle w:val="Strong"/>
        </w:rPr>
        <w:t>producteur vivant</w:t>
      </w:r>
      <w:r>
        <w:rPr/>
        <w:t>, détenteur d’un Compte Entreprise autorisé.</w:t>
      </w:r>
    </w:p>
    <w:p>
      <w:pPr>
        <w:pStyle w:val="BodyText"/>
        <w:numPr>
          <w:ilvl w:val="0"/>
          <w:numId w:val="32"/>
        </w:numPr>
        <w:tabs>
          <w:tab w:val="clear" w:pos="709"/>
          <w:tab w:val="left" w:pos="0" w:leader="none"/>
        </w:tabs>
        <w:spacing w:lineRule="auto" w:line="276"/>
        <w:ind w:hanging="283" w:left="709"/>
        <w:rPr/>
      </w:pPr>
      <w:r>
        <w:rPr/>
        <w:t xml:space="preserve">Une </w:t>
      </w:r>
      <w:r>
        <w:rPr>
          <w:rStyle w:val="Strong"/>
        </w:rPr>
        <w:t>preuve énergétique</w:t>
      </w:r>
      <w:r>
        <w:rPr/>
        <w:t>, résultant de la combustion simultanée de (U) et S.</w:t>
      </w:r>
    </w:p>
    <w:p>
      <w:pPr>
        <w:pStyle w:val="BodyText"/>
        <w:rPr/>
      </w:pPr>
      <w:r>
        <w:rPr/>
        <w:t>Cette triade confère à chaque échange une dimension thermodynamique mesurable.</w:t>
      </w:r>
    </w:p>
    <w:p>
      <w:pPr>
        <w:pStyle w:val="BodyText"/>
        <w:rPr/>
      </w:pPr>
      <w:r>
        <w:rPr/>
        <w:t>Ainsi, la valeur ne précède pas l’échange : elle en émerge.</w:t>
      </w:r>
    </w:p>
    <w:p>
      <w:pPr>
        <w:pStyle w:val="Heading4"/>
        <w:numPr>
          <w:ilvl w:val="3"/>
          <w:numId w:val="3"/>
        </w:numPr>
        <w:ind w:hanging="0" w:left="0"/>
        <w:rPr/>
      </w:pPr>
      <w:r>
        <w:rPr>
          <w:rStyle w:val="Strong"/>
          <w:b/>
          <w:bCs/>
        </w:rPr>
        <w:t>Théorème 2.3 (Loi de productivité vivante).</w:t>
      </w:r>
    </w:p>
    <w:p>
      <w:pPr>
        <w:pStyle w:val="BodyText"/>
        <w:rPr/>
      </w:pPr>
      <w:r>
        <w:rPr/>
        <w:t>La quantité de valeur créée par un Compte Entreprise durant un cycle T est donnée par :</w:t>
      </w:r>
    </w:p>
    <w:p>
      <w:pPr>
        <w:pStyle w:val="BodyText"/>
        <w:rPr/>
      </w:pPr>
      <w:r>
        <w:rPr/>
      </w:r>
    </w:p>
    <w:p>
      <w:pPr>
        <w:pStyle w:val="BodyText"/>
        <w:jc w:val="center"/>
        <w:rPr/>
      </w:pPr>
      <w:r>
        <w:rPr/>
        <w:t>∑</w:t>
      </w:r>
      <w:r>
        <w:rPr/>
        <w:t xml:space="preserve">ΔVCE​=ηT​×∫t0​t1​​E(t)dt </w:t>
      </w:r>
    </w:p>
    <w:p>
      <w:pPr>
        <w:pStyle w:val="BodyText"/>
        <w:rPr/>
      </w:pPr>
      <w:r>
        <w:rPr/>
      </w:r>
    </w:p>
    <w:p>
      <w:pPr>
        <w:pStyle w:val="BodyText"/>
        <w:rPr/>
      </w:pPr>
      <w:r>
        <w:rPr/>
        <w:t>où η_T représente le multiplicateur moyen du cycle.</w:t>
      </w:r>
    </w:p>
    <w:p>
      <w:pPr>
        <w:pStyle w:val="BodyText"/>
        <w:rPr/>
      </w:pPr>
      <w:r>
        <w:rPr/>
        <w:t>La productivité du CE ne dépend donc pas de son capital initial, mais de la densité et de la vérification des échanges réels qu’il génère.</w:t>
      </w:r>
    </w:p>
    <w:p>
      <w:pPr>
        <w:pStyle w:val="Heading4"/>
        <w:numPr>
          <w:ilvl w:val="3"/>
          <w:numId w:val="3"/>
        </w:numPr>
        <w:ind w:hanging="0" w:left="0"/>
        <w:rPr/>
      </w:pPr>
      <w:r>
        <w:rPr>
          <w:rStyle w:val="Strong"/>
          <w:b/>
          <w:bCs/>
        </w:rPr>
        <w:t>Corollaire 2.3 (Neutralité énergétique).</w:t>
      </w:r>
    </w:p>
    <w:p>
      <w:pPr>
        <w:pStyle w:val="BodyText"/>
        <w:rPr/>
      </w:pPr>
      <w:r>
        <w:rPr/>
        <w:t>La somme totale des combustions (U + S) est strictement égale à la valeur créée (V).</w:t>
      </w:r>
    </w:p>
    <w:p>
      <w:pPr>
        <w:pStyle w:val="BodyText"/>
        <w:rPr/>
      </w:pPr>
      <w:r>
        <w:rPr/>
        <w:t>Il ne subsiste aucune dette, aucune avance ni aucun résidu monétaire.</w:t>
      </w:r>
    </w:p>
    <w:p>
      <w:pPr>
        <w:pStyle w:val="BodyText"/>
        <w:rPr/>
      </w:pPr>
      <w:r>
        <w:rPr/>
        <w:t>Cette neutralité garantit que la croissance du système résulte exclusivement d’activités réelles et vérifiées.</w:t>
      </w:r>
    </w:p>
    <w:p>
      <w:pPr>
        <w:pStyle w:val="Heading4"/>
        <w:numPr>
          <w:ilvl w:val="3"/>
          <w:numId w:val="3"/>
        </w:numPr>
        <w:ind w:hanging="0" w:left="0"/>
        <w:rPr/>
      </w:pPr>
      <w:r>
        <w:rPr>
          <w:rStyle w:val="Strong"/>
          <w:b/>
          <w:bCs/>
        </w:rPr>
        <w:t>Proposition 2.5 (Mesure de l’efficacité thermodynamique).</w:t>
      </w:r>
    </w:p>
    <w:p>
      <w:pPr>
        <w:pStyle w:val="BodyText"/>
        <w:rPr/>
      </w:pPr>
      <w:r>
        <w:rPr/>
        <w:t>Le rendement énergétique d’un Compte Entreprise se mesure par le coefficient d’efficacité thermodynamique :</w:t>
      </w:r>
    </w:p>
    <w:p>
      <w:pPr>
        <w:pStyle w:val="BodyText"/>
        <w:rPr/>
      </w:pPr>
      <w:r>
        <w:rPr/>
      </w:r>
    </w:p>
    <w:p>
      <w:pPr>
        <w:pStyle w:val="BodyText"/>
        <w:jc w:val="center"/>
        <w:rPr/>
      </w:pPr>
      <w:r>
        <w:rPr/>
        <w:t xml:space="preserve">Φeff​=Uburn​+Sburn​ΔV​ </w:t>
      </w:r>
    </w:p>
    <w:p>
      <w:pPr>
        <w:pStyle w:val="BodyText"/>
        <w:rPr/>
      </w:pPr>
      <w:r>
        <w:rPr/>
      </w:r>
    </w:p>
    <w:p>
      <w:pPr>
        <w:pStyle w:val="BodyText"/>
        <w:rPr/>
      </w:pPr>
      <w:r>
        <w:rPr/>
        <w:t>Un coefficient supérieur à 1 indique une activité économiquement amplificatrice ; un coefficient inférieur à 1 traduit un déséquilibre ou une inefficacité du cycle productif.</w:t>
      </w:r>
    </w:p>
    <w:p>
      <w:pPr>
        <w:pStyle w:val="BodyText"/>
        <w:rPr/>
      </w:pPr>
      <w:r>
        <w:rPr/>
        <w:t>Le régulateur (C3) ajuste automatiquement le multiplicateur η_t en fonction de ce ratio, afin d’assurer la stabilité du métabolisme global.</w:t>
      </w:r>
    </w:p>
    <w:p>
      <w:pPr>
        <w:pStyle w:val="Heading4"/>
        <w:numPr>
          <w:ilvl w:val="3"/>
          <w:numId w:val="3"/>
        </w:numPr>
        <w:ind w:hanging="0" w:left="0"/>
        <w:rPr/>
      </w:pPr>
      <w:r>
        <w:rPr>
          <w:rStyle w:val="Strong"/>
          <w:b/>
          <w:bCs/>
        </w:rPr>
        <w:t>Axiome 2.5 (Absence d’émission monétaire interne).</w:t>
      </w:r>
    </w:p>
    <w:p>
      <w:pPr>
        <w:pStyle w:val="BodyText"/>
        <w:rPr/>
      </w:pPr>
      <w:r>
        <w:rPr/>
        <w:t>Le CE ne crée jamais de monnaie d’usage.</w:t>
      </w:r>
    </w:p>
    <w:p>
      <w:pPr>
        <w:pStyle w:val="BodyText"/>
        <w:rPr/>
      </w:pPr>
      <w:r>
        <w:rPr/>
        <w:t>Toutes ses transactions sont libellées en (V), et les conversions (U) → (V) sont effectuées exclusivement via l’Exchange.</w:t>
      </w:r>
    </w:p>
    <w:p>
      <w:pPr>
        <w:pStyle w:val="BodyText"/>
        <w:rPr/>
      </w:pPr>
      <w:r>
        <w:rPr/>
        <w:t>Ce principe prévient toute inflation interne et maintient la cohérence entre production réelle et circulation monétaire.</w:t>
      </w:r>
    </w:p>
    <w:p>
      <w:pPr>
        <w:pStyle w:val="BodyText"/>
        <w:rPr/>
      </w:pPr>
      <w:r>
        <w:rPr/>
      </w:r>
    </w:p>
    <w:p>
      <w:pPr>
        <w:pStyle w:val="Heading3"/>
        <w:numPr>
          <w:ilvl w:val="0"/>
          <w:numId w:val="0"/>
        </w:numPr>
        <w:ind w:hanging="0" w:left="0"/>
        <w:rPr/>
      </w:pPr>
      <w:r>
        <w:rPr/>
        <w:t>2.3.4. Gestion thermodynamique et répartition de la valeur</w:t>
      </w:r>
    </w:p>
    <w:p>
      <w:pPr>
        <w:pStyle w:val="Heading4"/>
        <w:numPr>
          <w:ilvl w:val="3"/>
          <w:numId w:val="3"/>
        </w:numPr>
        <w:ind w:hanging="0" w:left="0"/>
        <w:rPr/>
      </w:pPr>
      <w:r>
        <w:rPr>
          <w:rStyle w:val="Strong"/>
          <w:b/>
          <w:bCs/>
        </w:rPr>
        <w:t>Définition 2.3 (Distribution organique).</w:t>
      </w:r>
    </w:p>
    <w:p>
      <w:pPr>
        <w:pStyle w:val="BodyText"/>
        <w:rPr/>
      </w:pPr>
      <w:r>
        <w:rPr/>
        <w:t>La distribution organique désigne la répartition automatique des valeurs reçues (ΔV) entre trois sous-comptes du CE :</w:t>
      </w:r>
    </w:p>
    <w:p>
      <w:pPr>
        <w:pStyle w:val="BodyText"/>
        <w:numPr>
          <w:ilvl w:val="0"/>
          <w:numId w:val="33"/>
        </w:numPr>
        <w:tabs>
          <w:tab w:val="clear" w:pos="709"/>
          <w:tab w:val="left" w:pos="0" w:leader="none"/>
        </w:tabs>
        <w:spacing w:lineRule="auto" w:line="276"/>
        <w:ind w:hanging="283" w:left="709"/>
        <w:rPr/>
      </w:pPr>
      <w:r>
        <w:rPr>
          <w:rStyle w:val="Strong"/>
        </w:rPr>
        <w:t>Trésorerie (60 %)</w:t>
      </w:r>
      <w:r>
        <w:rPr/>
        <w:t xml:space="preserve"> : réserve de fonctionnement et de stabilité interne.</w:t>
      </w:r>
    </w:p>
    <w:p>
      <w:pPr>
        <w:pStyle w:val="BodyText"/>
        <w:numPr>
          <w:ilvl w:val="0"/>
          <w:numId w:val="33"/>
        </w:numPr>
        <w:tabs>
          <w:tab w:val="clear" w:pos="709"/>
          <w:tab w:val="left" w:pos="0" w:leader="none"/>
        </w:tabs>
        <w:spacing w:lineRule="auto" w:line="276"/>
        <w:ind w:hanging="283" w:left="709"/>
        <w:rPr/>
      </w:pPr>
      <w:r>
        <w:rPr>
          <w:rStyle w:val="Strong"/>
        </w:rPr>
        <w:t>Rémunération des collaborateurs (40 %)</w:t>
      </w:r>
      <w:r>
        <w:rPr/>
        <w:t xml:space="preserve"> : redistribution directe vers les Wallets des</w:t>
        <w:br/>
        <w:t>participants.</w:t>
      </w:r>
    </w:p>
    <w:p>
      <w:pPr>
        <w:pStyle w:val="BodyText"/>
        <w:numPr>
          <w:ilvl w:val="0"/>
          <w:numId w:val="33"/>
        </w:numPr>
        <w:tabs>
          <w:tab w:val="clear" w:pos="709"/>
          <w:tab w:val="left" w:pos="0" w:leader="none"/>
        </w:tabs>
        <w:spacing w:lineRule="auto" w:line="276"/>
        <w:ind w:hanging="283" w:left="709"/>
        <w:rPr/>
      </w:pPr>
      <w:r>
        <w:rPr>
          <w:rStyle w:val="Strong"/>
        </w:rPr>
        <w:t>Réserve régulatrice (facultative)</w:t>
      </w:r>
      <w:r>
        <w:rPr/>
        <w:t xml:space="preserve"> : fraction destinée à compenser les écarts de température</w:t>
        <w:br/>
        <w:t>économique (via le RAD).</w:t>
      </w:r>
    </w:p>
    <w:p>
      <w:pPr>
        <w:pStyle w:val="BodyText"/>
        <w:rPr/>
      </w:pPr>
      <w:r>
        <w:rPr/>
        <w:t>Cette règle universelle, notée (40/60), garantit la fluidité de la circulation et empêche l’accumulation spéculative.</w:t>
      </w:r>
    </w:p>
    <w:p>
      <w:pPr>
        <w:pStyle w:val="Heading4"/>
        <w:numPr>
          <w:ilvl w:val="3"/>
          <w:numId w:val="3"/>
        </w:numPr>
        <w:ind w:hanging="0" w:left="0"/>
        <w:rPr/>
      </w:pPr>
      <w:r>
        <w:rPr>
          <w:rStyle w:val="Strong"/>
          <w:b/>
          <w:bCs/>
        </w:rPr>
        <w:t>Proposition 2.6 (Cycle complet de distribution).</w:t>
      </w:r>
    </w:p>
    <w:p>
      <w:pPr>
        <w:pStyle w:val="BodyText"/>
        <w:rPr/>
      </w:pPr>
      <w:r>
        <w:rPr/>
        <w:t>Chaque Compte Entreprise exécute, à la fin de chaque cycle T, la séquence suivante :</w:t>
      </w:r>
    </w:p>
    <w:p>
      <w:pPr>
        <w:pStyle w:val="BodyText"/>
        <w:numPr>
          <w:ilvl w:val="0"/>
          <w:numId w:val="34"/>
        </w:numPr>
        <w:tabs>
          <w:tab w:val="clear" w:pos="709"/>
          <w:tab w:val="left" w:pos="0" w:leader="none"/>
        </w:tabs>
        <w:spacing w:lineRule="auto" w:line="276"/>
        <w:ind w:hanging="283" w:left="709"/>
        <w:rPr/>
      </w:pPr>
      <w:r>
        <w:rPr/>
        <w:t>Agrégation des valeurs créées ΔV_crea.</w:t>
      </w:r>
    </w:p>
    <w:p>
      <w:pPr>
        <w:pStyle w:val="BodyText"/>
        <w:numPr>
          <w:ilvl w:val="0"/>
          <w:numId w:val="34"/>
        </w:numPr>
        <w:tabs>
          <w:tab w:val="clear" w:pos="709"/>
          <w:tab w:val="left" w:pos="0" w:leader="none"/>
        </w:tabs>
        <w:spacing w:lineRule="auto" w:line="276"/>
        <w:ind w:hanging="283" w:left="709"/>
        <w:rPr/>
      </w:pPr>
      <w:r>
        <w:rPr/>
        <w:t>Application du coefficient de répartition (40 % collaborateurs, 60 % trésorerie).</w:t>
      </w:r>
    </w:p>
    <w:p>
      <w:pPr>
        <w:pStyle w:val="BodyText"/>
        <w:numPr>
          <w:ilvl w:val="0"/>
          <w:numId w:val="34"/>
        </w:numPr>
        <w:tabs>
          <w:tab w:val="clear" w:pos="709"/>
          <w:tab w:val="left" w:pos="0" w:leader="none"/>
        </w:tabs>
        <w:spacing w:lineRule="auto" w:line="276"/>
        <w:ind w:hanging="283" w:left="709"/>
        <w:rPr/>
      </w:pPr>
      <w:r>
        <w:rPr/>
        <w:t>Envoi automatique des parts collaboratives vers les Wallets associés.</w:t>
      </w:r>
    </w:p>
    <w:p>
      <w:pPr>
        <w:pStyle w:val="BodyText"/>
        <w:numPr>
          <w:ilvl w:val="0"/>
          <w:numId w:val="34"/>
        </w:numPr>
        <w:tabs>
          <w:tab w:val="clear" w:pos="709"/>
          <w:tab w:val="left" w:pos="0" w:leader="none"/>
        </w:tabs>
        <w:spacing w:lineRule="auto" w:line="276"/>
        <w:ind w:hanging="283" w:left="709"/>
        <w:rPr/>
      </w:pPr>
      <w:r>
        <w:rPr/>
        <w:t>Transmission des données de régulation (ν, (D), r_t) vers la couche C3.</w:t>
      </w:r>
    </w:p>
    <w:p>
      <w:pPr>
        <w:pStyle w:val="BodyText"/>
        <w:rPr/>
      </w:pPr>
      <w:r>
        <w:rPr/>
        <w:t xml:space="preserve">Cette opération s’effectue sans intervention humaine et repose sur des contrats intelligents validés </w:t>
      </w:r>
      <w:r>
        <w:rPr>
          <w:rStyle w:val="Emphasis"/>
        </w:rPr>
        <w:t>EX</w:t>
      </w:r>
      <w:r>
        <w:rPr/>
        <w:t>.</w:t>
      </w:r>
    </w:p>
    <w:p>
      <w:pPr>
        <w:pStyle w:val="Heading4"/>
        <w:numPr>
          <w:ilvl w:val="3"/>
          <w:numId w:val="3"/>
        </w:numPr>
        <w:ind w:hanging="0" w:left="0"/>
        <w:rPr/>
      </w:pPr>
      <w:r>
        <w:rPr>
          <w:rStyle w:val="Strong"/>
          <w:b/>
          <w:bCs/>
        </w:rPr>
        <w:t>Théorème 2.4 (Conservation de la respiration économique).</w:t>
      </w:r>
    </w:p>
    <w:p>
      <w:pPr>
        <w:pStyle w:val="BodyText"/>
        <w:rPr/>
      </w:pPr>
      <w:r>
        <w:rPr/>
        <w:t>La somme des redistributions individuelles ∑U_t issues des CE est strictement égale à la somme des revenus universels versés au même cycle, ajustée par le ratio de création η_t.</w:t>
      </w:r>
    </w:p>
    <w:p>
      <w:pPr>
        <w:pStyle w:val="BodyText"/>
        <w:rPr/>
      </w:pPr>
      <w:r>
        <w:rPr/>
        <w:t>Cette symétrie maintient l’équilibre du métabolisme global :</w:t>
      </w:r>
    </w:p>
    <w:p>
      <w:pPr>
        <w:pStyle w:val="BodyText"/>
        <w:rPr/>
      </w:pPr>
      <w:r>
        <w:rPr/>
      </w:r>
    </w:p>
    <w:p>
      <w:pPr>
        <w:pStyle w:val="BodyText"/>
        <w:jc w:val="center"/>
        <w:rPr/>
      </w:pPr>
      <w:r>
        <w:rPr/>
        <w:t xml:space="preserve">CE∑​ΔVsortie​=CU∑​Uentreˊe​ </w:t>
      </w:r>
    </w:p>
    <w:p>
      <w:pPr>
        <w:pStyle w:val="BodyText"/>
        <w:rPr/>
      </w:pPr>
      <w:r>
        <w:rPr/>
      </w:r>
    </w:p>
    <w:p>
      <w:pPr>
        <w:pStyle w:val="BodyText"/>
        <w:rPr/>
      </w:pPr>
      <w:r>
        <w:rPr/>
        <w:t>Ainsi, le flux vital circule sans perte ni accumulation excessive.</w:t>
      </w:r>
    </w:p>
    <w:p>
      <w:pPr>
        <w:pStyle w:val="Heading4"/>
        <w:numPr>
          <w:ilvl w:val="3"/>
          <w:numId w:val="3"/>
        </w:numPr>
        <w:ind w:hanging="0" w:left="0"/>
        <w:rPr/>
      </w:pPr>
      <w:r>
        <w:rPr>
          <w:rStyle w:val="Strong"/>
          <w:b/>
          <w:bCs/>
        </w:rPr>
        <w:t>Axiome 2.6 (Limite de rétention).</w:t>
      </w:r>
    </w:p>
    <w:p>
      <w:pPr>
        <w:pStyle w:val="BodyText"/>
        <w:rPr/>
      </w:pPr>
      <w:r>
        <w:rPr/>
        <w:t>Aucun Compte Entreprise ne peut conserver en trésorerie une quantité de (V) supérieure à 1,2 fois sa moyenne mobile sur les trois derniers cycles.</w:t>
      </w:r>
    </w:p>
    <w:p>
      <w:pPr>
        <w:pStyle w:val="BodyText"/>
        <w:rPr/>
      </w:pPr>
      <w:r>
        <w:rPr/>
        <w:t>Tout excédent est automatiquement converti en NFT financiers ou redistribué sous forme de dividendes vivants.</w:t>
      </w:r>
    </w:p>
    <w:p>
      <w:pPr>
        <w:pStyle w:val="BodyText"/>
        <w:rPr/>
      </w:pPr>
      <w:r>
        <w:rPr/>
        <w:t>Cette limite thermodynamique empêche l’inertie de la valeur et préserve la respiration collective du système.</w:t>
      </w:r>
    </w:p>
    <w:p>
      <w:pPr>
        <w:pStyle w:val="Heading4"/>
        <w:numPr>
          <w:ilvl w:val="3"/>
          <w:numId w:val="3"/>
        </w:numPr>
        <w:ind w:hanging="0" w:left="0"/>
        <w:rPr/>
      </w:pPr>
      <w:r>
        <w:rPr>
          <w:rStyle w:val="Strong"/>
          <w:b/>
          <w:bCs/>
        </w:rPr>
        <w:t>Proposition 2.7 (Mécanisme d’autorégulation).</w:t>
      </w:r>
    </w:p>
    <w:p>
      <w:pPr>
        <w:pStyle w:val="BodyText"/>
        <w:rPr/>
      </w:pPr>
      <w:r>
        <w:rPr/>
        <w:t>Lorsque la température économique globale, mesurée par le ratio r_t = D_t / V_t(on), dépasse 1,15, le coefficient η_t diminue automatiquement.</w:t>
      </w:r>
    </w:p>
    <w:p>
      <w:pPr>
        <w:pStyle w:val="BodyText"/>
        <w:rPr/>
      </w:pPr>
      <w:r>
        <w:rPr/>
        <w:t>Inversement, lorsque r_t descend sous 0,85, η_t augmente afin de stimuler la création.</w:t>
      </w:r>
    </w:p>
    <w:p>
      <w:pPr>
        <w:pStyle w:val="BodyText"/>
        <w:rPr/>
      </w:pPr>
      <w:r>
        <w:rPr/>
        <w:t>Ce mécanisme d’autorégulation maintient la température globale autour de l’équilibre r_t ≈ 1,0, sans recours à une autorité centrale.</w:t>
      </w:r>
    </w:p>
    <w:p>
      <w:pPr>
        <w:pStyle w:val="Heading4"/>
        <w:numPr>
          <w:ilvl w:val="3"/>
          <w:numId w:val="3"/>
        </w:numPr>
        <w:ind w:hanging="0" w:left="0"/>
        <w:rPr/>
      </w:pPr>
      <w:r>
        <w:rPr>
          <w:rStyle w:val="Strong"/>
          <w:b/>
          <w:bCs/>
        </w:rPr>
        <w:t>Corollaire 2.4 (État stationnaire).</w:t>
      </w:r>
    </w:p>
    <w:p>
      <w:pPr>
        <w:pStyle w:val="BodyText"/>
        <w:rPr/>
      </w:pPr>
      <w:r>
        <w:rPr/>
        <w:t>Le Compte Entreprise atteint un état stationnaire lorsque la variation nette de sa trésorerie sur trois cycles consécutifs est inférieure à 2 %.</w:t>
      </w:r>
    </w:p>
    <w:p>
      <w:pPr>
        <w:pStyle w:val="BodyText"/>
        <w:rPr/>
      </w:pPr>
      <w:r>
        <w:rPr/>
        <w:t>Dans cet état, le CE fonctionne comme une cellule métabolique équilibrée. Il crée, distribue et recycle la valeur à un rythme stable et durable.</w:t>
      </w:r>
    </w:p>
    <w:p>
      <w:pPr>
        <w:pStyle w:val="BodyText"/>
        <w:rPr/>
      </w:pPr>
      <w:r>
        <w:rPr/>
      </w:r>
    </w:p>
    <w:p>
      <w:pPr>
        <w:pStyle w:val="Heading3"/>
        <w:numPr>
          <w:ilvl w:val="2"/>
          <w:numId w:val="3"/>
        </w:numPr>
        <w:ind w:hanging="0" w:left="0"/>
        <w:rPr/>
      </w:pPr>
      <w:r>
        <w:rPr/>
        <w:t>2.3.5. Les Titres à Promesse Productive (TAP) : financement organique sans dette</w:t>
      </w:r>
    </w:p>
    <w:p>
      <w:pPr>
        <w:pStyle w:val="Heading4"/>
        <w:numPr>
          <w:ilvl w:val="3"/>
          <w:numId w:val="3"/>
        </w:numPr>
        <w:ind w:hanging="0" w:left="0"/>
        <w:rPr/>
      </w:pPr>
      <w:r>
        <w:rPr>
          <w:rStyle w:val="Strong"/>
          <w:b/>
          <w:bCs/>
        </w:rPr>
        <w:t>Définition 2.4 (Titre à Promesse Productive).</w:t>
      </w:r>
    </w:p>
    <w:p>
      <w:pPr>
        <w:pStyle w:val="BodyText"/>
        <w:rPr/>
      </w:pPr>
      <w:r>
        <w:rPr/>
        <w:t>Un Titre à Promesse Productive, ou TAP, est un instrument d’avance de valeur vivante émis par une entreprise pour financer un projet productif vérifié, tel qu’un équipement, une infrastructure, ou un développement de capacité. Il ne constitue pas une dette au sens juridique, mais un engagement thermodynamique à régénérer la valeur reçue.</w:t>
      </w:r>
    </w:p>
    <w:p>
      <w:pPr>
        <w:pStyle w:val="BodyText"/>
        <w:rPr/>
      </w:pPr>
      <w:r>
        <w:rPr/>
        <w:t>Chaque TAP est adossé à un NFT financier, c’est-à-dire à un actif vivant détenu par des participants du système. Ces NFT financiers matérialisent la confiance collective dans la capacité de l’entreprise à produire de la valeur future.</w:t>
      </w:r>
    </w:p>
    <w:p>
      <w:pPr>
        <w:pStyle w:val="Heading4"/>
        <w:numPr>
          <w:ilvl w:val="3"/>
          <w:numId w:val="3"/>
        </w:numPr>
        <w:ind w:hanging="0" w:left="0"/>
        <w:rPr/>
      </w:pPr>
      <w:r>
        <w:rPr>
          <w:rStyle w:val="Strong"/>
          <w:b/>
          <w:bCs/>
        </w:rPr>
        <w:t>Axiome 2.7 (Neutralité énergétique du financement).</w:t>
      </w:r>
    </w:p>
    <w:p>
      <w:pPr>
        <w:pStyle w:val="BodyText"/>
        <w:rPr/>
      </w:pPr>
      <w:r>
        <w:rPr/>
        <w:t>L’émission d’un TAP ne crée pas de monnaie d’usage. Elle redistribue simplement une partie de la valeur vivante existante (V) vers une activité productive vérifiée.</w:t>
      </w:r>
    </w:p>
    <w:p>
      <w:pPr>
        <w:pStyle w:val="BodyText"/>
        <w:rPr/>
      </w:pPr>
      <w:r>
        <w:rPr/>
        <w:t>Ainsi, la somme des valeurs vivantes en circulation reste constante :</w:t>
      </w:r>
    </w:p>
    <w:p>
      <w:pPr>
        <w:pStyle w:val="BodyText"/>
        <w:rPr/>
      </w:pPr>
      <w:r>
        <w:rPr/>
      </w:r>
    </w:p>
    <w:p>
      <w:pPr>
        <w:pStyle w:val="BodyText"/>
        <w:jc w:val="center"/>
        <w:rPr/>
      </w:pPr>
      <w:r>
        <w:rPr/>
        <w:t>∑</w:t>
      </w:r>
      <w:r>
        <w:rPr/>
        <w:t xml:space="preserve">Vt(global)​=constante </w:t>
      </w:r>
    </w:p>
    <w:p>
      <w:pPr>
        <w:pStyle w:val="BodyText"/>
        <w:rPr/>
      </w:pPr>
      <w:r>
        <w:rPr/>
      </w:r>
    </w:p>
    <w:p>
      <w:pPr>
        <w:pStyle w:val="BodyText"/>
        <w:rPr/>
      </w:pPr>
      <w:r>
        <w:rPr/>
        <w:t>Le TAP ne fait que réallouer l’énergie économique disponible vers les zones de production les plus efficaces.</w:t>
      </w:r>
    </w:p>
    <w:p>
      <w:pPr>
        <w:pStyle w:val="Heading4"/>
        <w:numPr>
          <w:ilvl w:val="3"/>
          <w:numId w:val="3"/>
        </w:numPr>
        <w:ind w:hanging="0" w:left="0"/>
        <w:rPr/>
      </w:pPr>
      <w:r>
        <w:rPr>
          <w:rStyle w:val="Strong"/>
          <w:b/>
          <w:bCs/>
        </w:rPr>
        <w:t>Proposition 2.8 (Équilibre énergétique du TAP).</w:t>
      </w:r>
    </w:p>
    <w:p>
      <w:pPr>
        <w:pStyle w:val="BodyText"/>
        <w:rPr/>
      </w:pPr>
      <w:r>
        <w:rPr/>
        <w:t>Chaque TAP émis satisfait la relation de conservation suivante :</w:t>
      </w:r>
    </w:p>
    <w:p>
      <w:pPr>
        <w:pStyle w:val="BodyText"/>
        <w:rPr/>
      </w:pPr>
      <w:r>
        <w:rPr/>
      </w:r>
    </w:p>
    <w:p>
      <w:pPr>
        <w:pStyle w:val="BodyText"/>
        <w:jc w:val="center"/>
        <w:rPr/>
      </w:pPr>
      <w:r>
        <w:rPr/>
        <w:t xml:space="preserve">ΔVavance​=ΔDTAP​ </w:t>
      </w:r>
    </w:p>
    <w:p>
      <w:pPr>
        <w:pStyle w:val="BodyText"/>
        <w:rPr/>
      </w:pPr>
      <w:r>
        <w:rPr/>
      </w:r>
    </w:p>
    <w:p>
      <w:pPr>
        <w:pStyle w:val="BodyText"/>
        <w:rPr/>
      </w:pPr>
      <w:r>
        <w:rPr/>
        <w:t>La valeur avancée correspond exactement au passif thermométrique inscrit dans le Régulateur Automatique Décentralisé (RAD).</w:t>
      </w:r>
    </w:p>
    <w:p>
      <w:pPr>
        <w:pStyle w:val="BodyText"/>
        <w:rPr/>
      </w:pPr>
      <w:r>
        <w:rPr/>
        <w:t>Ainsi, tout TAP est enregistré simultanément comme un flux positif de valeur pour l’entreprise et comme un signal (D) dans la couche de régulation.</w:t>
      </w:r>
    </w:p>
    <w:p>
      <w:pPr>
        <w:pStyle w:val="Heading4"/>
        <w:numPr>
          <w:ilvl w:val="3"/>
          <w:numId w:val="3"/>
        </w:numPr>
        <w:ind w:hanging="0" w:left="0"/>
        <w:rPr/>
      </w:pPr>
      <w:r>
        <w:rPr>
          <w:rStyle w:val="Strong"/>
          <w:b/>
          <w:bCs/>
        </w:rPr>
        <w:t>Théorème 2.5 (Extinction automatique du TAP).</w:t>
      </w:r>
    </w:p>
    <w:p>
      <w:pPr>
        <w:pStyle w:val="BodyText"/>
        <w:rPr/>
      </w:pPr>
      <w:r>
        <w:rPr/>
        <w:t>À échéance, le TAP est éteint par la combustion d’une valeur égale à celle initialement avancée, soit par remboursement direct (production de valeur V), soit par transfert d’un NFT financier arrivé à maturité.</w:t>
      </w:r>
    </w:p>
    <w:p>
      <w:pPr>
        <w:pStyle w:val="BodyText"/>
        <w:rPr/>
      </w:pPr>
      <w:r>
        <w:rPr/>
      </w:r>
    </w:p>
    <w:p>
      <w:pPr>
        <w:pStyle w:val="BodyText"/>
        <w:jc w:val="center"/>
        <w:rPr/>
      </w:pPr>
      <w:r>
        <w:rPr/>
        <w:t xml:space="preserve">i=1∑n​Vburn,i(TAP)​=Vavance,0​ </w:t>
      </w:r>
    </w:p>
    <w:p>
      <w:pPr>
        <w:pStyle w:val="BodyText"/>
        <w:rPr/>
      </w:pPr>
      <w:r>
        <w:rPr/>
      </w:r>
    </w:p>
    <w:p>
      <w:pPr>
        <w:pStyle w:val="BodyText"/>
        <w:rPr/>
      </w:pPr>
      <w:r>
        <w:rPr/>
        <w:t>Le cycle thermodynamique est ainsi parfaitement fermé : aucune valeur n’est créée ou détruite en dehors des transactions productives vérifiées.</w:t>
      </w:r>
    </w:p>
    <w:p>
      <w:pPr>
        <w:pStyle w:val="Heading4"/>
        <w:numPr>
          <w:ilvl w:val="3"/>
          <w:numId w:val="3"/>
        </w:numPr>
        <w:ind w:hanging="0" w:left="0"/>
        <w:rPr/>
      </w:pPr>
      <w:r>
        <w:rPr>
          <w:rStyle w:val="Strong"/>
          <w:b/>
          <w:bCs/>
        </w:rPr>
        <w:t>Proposition 2.9 (Capacité maximale d’émission).</w:t>
      </w:r>
    </w:p>
    <w:p>
      <w:pPr>
        <w:pStyle w:val="BodyText"/>
        <w:rPr/>
      </w:pPr>
      <w:r>
        <w:rPr/>
        <w:t>La capacité d’émission de TAP pour un Compte Entreprise est limitée par la relation :</w:t>
      </w:r>
    </w:p>
    <w:p>
      <w:pPr>
        <w:pStyle w:val="BodyText"/>
        <w:rPr/>
      </w:pPr>
      <w:r>
        <w:rPr/>
      </w:r>
    </w:p>
    <w:p>
      <w:pPr>
        <w:pStyle w:val="BodyText"/>
        <w:jc w:val="center"/>
        <w:rPr/>
      </w:pPr>
      <w:r>
        <w:rPr/>
        <w:t xml:space="preserve">CTAP​≤0,8×(Vtresorerie​+Vfinancier​) </w:t>
      </w:r>
    </w:p>
    <w:p>
      <w:pPr>
        <w:pStyle w:val="BodyText"/>
        <w:rPr/>
      </w:pPr>
      <w:r>
        <w:rPr/>
      </w:r>
    </w:p>
    <w:p>
      <w:pPr>
        <w:pStyle w:val="BodyText"/>
        <w:rPr/>
      </w:pPr>
      <w:r>
        <w:rPr/>
        <w:t>Cette contrainte empêche l’entreprise de s’endetter au-delà de ses réserves vivantes.</w:t>
        <w:br/>
        <w:t>Elle garantit qu’à tout moment, l’ensemble des engagements (TAP en circulation) peut être intégralement couvert par les actifs productifs existants.</w:t>
      </w:r>
    </w:p>
    <w:p>
      <w:pPr>
        <w:pStyle w:val="Heading4"/>
        <w:numPr>
          <w:ilvl w:val="3"/>
          <w:numId w:val="3"/>
        </w:numPr>
        <w:ind w:hanging="0" w:left="0"/>
        <w:rPr/>
      </w:pPr>
      <w:r>
        <w:rPr>
          <w:rStyle w:val="Strong"/>
          <w:b/>
          <w:bCs/>
        </w:rPr>
        <w:t>Corollaire 2.5 (Absence de risque systémique).</w:t>
      </w:r>
    </w:p>
    <w:p>
      <w:pPr>
        <w:pStyle w:val="BodyText"/>
        <w:rPr/>
      </w:pPr>
      <w:r>
        <w:rPr/>
        <w:t>Aucune faillite d’entreprise ne peut provoquer un effondrement du système IRIS, car :</w:t>
      </w:r>
    </w:p>
    <w:p>
      <w:pPr>
        <w:pStyle w:val="BodyText"/>
        <w:numPr>
          <w:ilvl w:val="0"/>
          <w:numId w:val="35"/>
        </w:numPr>
        <w:tabs>
          <w:tab w:val="clear" w:pos="709"/>
          <w:tab w:val="left" w:pos="0" w:leader="none"/>
        </w:tabs>
        <w:spacing w:lineRule="auto" w:line="276"/>
        <w:ind w:hanging="283" w:left="709"/>
        <w:rPr/>
      </w:pPr>
      <w:r>
        <w:rPr/>
        <w:t>Les TAP sont toujours adossés à des valeurs déjà existantes et vérifiées.</w:t>
      </w:r>
    </w:p>
    <w:p>
      <w:pPr>
        <w:pStyle w:val="BodyText"/>
        <w:numPr>
          <w:ilvl w:val="0"/>
          <w:numId w:val="35"/>
        </w:numPr>
        <w:tabs>
          <w:tab w:val="clear" w:pos="709"/>
          <w:tab w:val="left" w:pos="0" w:leader="none"/>
        </w:tabs>
        <w:spacing w:lineRule="auto" w:line="276"/>
        <w:ind w:hanging="283" w:left="709"/>
        <w:rPr/>
      </w:pPr>
      <w:r>
        <w:rPr/>
        <w:t>Le RAD redistribue automatiquement les pertes en ajustant le coefficient η_t.</w:t>
      </w:r>
    </w:p>
    <w:p>
      <w:pPr>
        <w:pStyle w:val="BodyText"/>
        <w:numPr>
          <w:ilvl w:val="0"/>
          <w:numId w:val="35"/>
        </w:numPr>
        <w:tabs>
          <w:tab w:val="clear" w:pos="709"/>
          <w:tab w:val="left" w:pos="0" w:leader="none"/>
        </w:tabs>
        <w:spacing w:lineRule="auto" w:line="276"/>
        <w:ind w:hanging="283" w:left="709"/>
        <w:rPr/>
      </w:pPr>
      <w:r>
        <w:rPr/>
        <w:t>Les détenteurs de NFT financiers assument collectivement le risque d’investissement.</w:t>
      </w:r>
    </w:p>
    <w:p>
      <w:pPr>
        <w:pStyle w:val="BodyText"/>
        <w:rPr/>
      </w:pPr>
      <w:r>
        <w:rPr/>
        <w:t>Ainsi, le TAP remplace la dette bancaire par une coopération énergétique et vivante, où le risque et la régénération sont partagés entre tous les acteurs.</w:t>
      </w:r>
    </w:p>
    <w:p>
      <w:pPr>
        <w:pStyle w:val="BodyText"/>
        <w:rPr/>
      </w:pPr>
      <w:r>
        <w:rPr/>
      </w:r>
    </w:p>
    <w:p>
      <w:pPr>
        <w:pStyle w:val="Heading3"/>
        <w:numPr>
          <w:ilvl w:val="0"/>
          <w:numId w:val="0"/>
        </w:numPr>
        <w:ind w:hanging="0" w:left="0"/>
        <w:rPr/>
      </w:pPr>
      <w:r>
        <w:rPr/>
        <w:t>2.3.6. NFT financiers et capitalisation vivante</w:t>
      </w:r>
    </w:p>
    <w:p>
      <w:pPr>
        <w:pStyle w:val="Heading4"/>
        <w:numPr>
          <w:ilvl w:val="3"/>
          <w:numId w:val="3"/>
        </w:numPr>
        <w:ind w:hanging="0" w:left="0"/>
        <w:rPr/>
      </w:pPr>
      <w:r>
        <w:rPr>
          <w:rStyle w:val="Strong"/>
          <w:b/>
          <w:bCs/>
        </w:rPr>
        <w:t>Définition 2.5 (NFT financier).</w:t>
      </w:r>
    </w:p>
    <w:p>
      <w:pPr>
        <w:pStyle w:val="BodyText"/>
        <w:rPr/>
      </w:pPr>
      <w:r>
        <w:rPr/>
        <w:t>Un NFT financier est un instrument d’investissement vivant, émis par un Compte Entreprise pour représenter une participation au capital productif. Il n’accorde pas de droits de propriété classique, mais un droit à dividende vivant, proportionnel à la valeur effectivement créée par l’entreprise.</w:t>
      </w:r>
    </w:p>
    <w:p>
      <w:pPr>
        <w:pStyle w:val="Heading4"/>
        <w:numPr>
          <w:ilvl w:val="3"/>
          <w:numId w:val="3"/>
        </w:numPr>
        <w:ind w:hanging="0" w:left="0"/>
        <w:rPr/>
      </w:pPr>
      <w:r>
        <w:rPr>
          <w:rStyle w:val="Strong"/>
          <w:b/>
          <w:bCs/>
        </w:rPr>
        <w:t>Axiome 2.8 (Immobilisation vivante).</w:t>
      </w:r>
    </w:p>
    <w:p>
      <w:pPr>
        <w:pStyle w:val="BodyText"/>
        <w:rPr/>
      </w:pPr>
      <w:r>
        <w:rPr/>
        <w:t>L’achat d’un NFT financier immobilise temporairement une quantité de valeur V. Cette valeur est soustraite de la circulation (exclue de V_on) pendant la durée du contrat, puis réintroduite à échéance avec ou sans surplus.</w:t>
      </w:r>
    </w:p>
    <w:p>
      <w:pPr>
        <w:pStyle w:val="BodyText"/>
        <w:rPr/>
      </w:pPr>
      <w:r>
        <w:rPr/>
        <w:t>Cette immobilisation correspond à une mise en réserve d’énergie productive, comparable à la photosynthèse dans un organisme : la lumière (U et S) est absorbée pour être restituée ultérieurement sous forme de matière vivante (V).</w:t>
      </w:r>
    </w:p>
    <w:p>
      <w:pPr>
        <w:pStyle w:val="BodyText"/>
        <w:rPr/>
      </w:pPr>
      <w:r>
        <w:rPr>
          <w:rStyle w:val="Strong"/>
        </w:rPr>
        <w:t>Proposition 2.10 (Cycle de vie du NFT financier).</w:t>
      </w:r>
    </w:p>
    <w:p>
      <w:pPr>
        <w:pStyle w:val="BodyText"/>
        <w:rPr/>
      </w:pPr>
      <w:r>
        <w:rPr/>
        <w:t>Le cycle d’un NFT financier se décompose en quatre phases :</w:t>
      </w:r>
    </w:p>
    <w:p>
      <w:pPr>
        <w:pStyle w:val="BodyText"/>
        <w:numPr>
          <w:ilvl w:val="0"/>
          <w:numId w:val="36"/>
        </w:numPr>
        <w:tabs>
          <w:tab w:val="clear" w:pos="709"/>
          <w:tab w:val="left" w:pos="0" w:leader="none"/>
        </w:tabs>
        <w:spacing w:lineRule="auto" w:line="276"/>
        <w:ind w:hanging="283" w:left="709"/>
        <w:rPr/>
      </w:pPr>
      <w:r>
        <w:rPr>
          <w:rStyle w:val="Strong"/>
        </w:rPr>
        <w:t>Émission</w:t>
      </w:r>
      <w:r>
        <w:rPr/>
        <w:t xml:space="preserve"> : création par l’entreprise émettrice, adossée à un TAP actif.</w:t>
      </w:r>
    </w:p>
    <w:p>
      <w:pPr>
        <w:pStyle w:val="BodyText"/>
        <w:numPr>
          <w:ilvl w:val="0"/>
          <w:numId w:val="36"/>
        </w:numPr>
        <w:tabs>
          <w:tab w:val="clear" w:pos="709"/>
          <w:tab w:val="left" w:pos="0" w:leader="none"/>
        </w:tabs>
        <w:spacing w:lineRule="auto" w:line="276"/>
        <w:ind w:hanging="283" w:left="709"/>
        <w:rPr/>
      </w:pPr>
      <w:r>
        <w:rPr>
          <w:rStyle w:val="Strong"/>
        </w:rPr>
        <w:t>Souscription</w:t>
      </w:r>
      <w:r>
        <w:rPr/>
        <w:t xml:space="preserve"> : acquisition par un utilisateur, qui détruit une quantité (U) et reçoit un NFT financier équivalent.</w:t>
      </w:r>
    </w:p>
    <w:p>
      <w:pPr>
        <w:pStyle w:val="BodyText"/>
        <w:numPr>
          <w:ilvl w:val="0"/>
          <w:numId w:val="36"/>
        </w:numPr>
        <w:tabs>
          <w:tab w:val="clear" w:pos="709"/>
          <w:tab w:val="left" w:pos="0" w:leader="none"/>
        </w:tabs>
        <w:spacing w:lineRule="auto" w:line="276"/>
        <w:ind w:hanging="283" w:left="709"/>
        <w:rPr/>
      </w:pPr>
      <w:r>
        <w:rPr>
          <w:rStyle w:val="Strong"/>
        </w:rPr>
        <w:t>Immobilisation</w:t>
      </w:r>
      <w:r>
        <w:rPr/>
        <w:t xml:space="preserve"> : blocage de la valeur créée jusqu’à échéance.</w:t>
      </w:r>
    </w:p>
    <w:p>
      <w:pPr>
        <w:pStyle w:val="BodyText"/>
        <w:numPr>
          <w:ilvl w:val="0"/>
          <w:numId w:val="36"/>
        </w:numPr>
        <w:tabs>
          <w:tab w:val="clear" w:pos="709"/>
          <w:tab w:val="left" w:pos="0" w:leader="none"/>
        </w:tabs>
        <w:spacing w:lineRule="auto" w:line="276"/>
        <w:ind w:hanging="283" w:left="709"/>
        <w:rPr/>
      </w:pPr>
      <w:r>
        <w:rPr>
          <w:rStyle w:val="Strong"/>
        </w:rPr>
        <w:t>Régénération</w:t>
      </w:r>
      <w:r>
        <w:rPr/>
        <w:t xml:space="preserve"> : restitution de la valeur initiale, augmentée ou non d’un dividende vivant.</w:t>
      </w:r>
    </w:p>
    <w:p>
      <w:pPr>
        <w:pStyle w:val="Heading4"/>
        <w:numPr>
          <w:ilvl w:val="3"/>
          <w:numId w:val="3"/>
        </w:numPr>
        <w:ind w:hanging="0" w:left="0"/>
        <w:rPr/>
      </w:pPr>
      <w:r>
        <w:rPr>
          <w:rStyle w:val="Strong"/>
          <w:b/>
          <w:bCs/>
        </w:rPr>
        <w:t>Théorème 2.6 (Loi de conservation patrimoniale).</w:t>
      </w:r>
    </w:p>
    <w:p>
      <w:pPr>
        <w:pStyle w:val="BodyText"/>
        <w:rPr/>
      </w:pPr>
      <w:r>
        <w:rPr/>
        <w:t>La valeur totale immobilisée dans les NFT financiers (V_immo) et la valeur vivante circulante (V_on) obéissent à la relation suivante :</w:t>
      </w:r>
    </w:p>
    <w:p>
      <w:pPr>
        <w:pStyle w:val="BodyText"/>
        <w:rPr/>
      </w:pPr>
      <w:r>
        <w:rPr/>
      </w:r>
    </w:p>
    <w:p>
      <w:pPr>
        <w:pStyle w:val="BodyText"/>
        <w:jc w:val="center"/>
        <w:rPr/>
      </w:pPr>
      <w:r>
        <w:rPr/>
        <w:t xml:space="preserve">Vtotal​=Von​+Vimmo​=constante </w:t>
      </w:r>
    </w:p>
    <w:p>
      <w:pPr>
        <w:pStyle w:val="BodyText"/>
        <w:rPr/>
      </w:pPr>
      <w:r>
        <w:rPr/>
      </w:r>
    </w:p>
    <w:p>
      <w:pPr>
        <w:pStyle w:val="BodyText"/>
        <w:rPr/>
      </w:pPr>
      <w:r>
        <w:rPr/>
        <w:t>Cette loi garantit qu’aucune création de richesse spéculative ne peut se produire dans le système.</w:t>
        <w:br/>
        <w:t>La croissance économique d’IRIS se mesure uniquement par l’efficacité thermodynamique, c’est-à-dire par la transformation d’énergie circulante en valeur durable.</w:t>
      </w:r>
    </w:p>
    <w:p>
      <w:pPr>
        <w:pStyle w:val="Heading4"/>
        <w:numPr>
          <w:ilvl w:val="3"/>
          <w:numId w:val="3"/>
        </w:numPr>
        <w:ind w:hanging="0" w:left="0"/>
        <w:rPr/>
      </w:pPr>
      <w:r>
        <w:rPr>
          <w:rStyle w:val="Strong"/>
          <w:b/>
          <w:bCs/>
        </w:rPr>
        <w:t>Proposition 2.11 (Dividende vivant).</w:t>
      </w:r>
    </w:p>
    <w:p>
      <w:pPr>
        <w:pStyle w:val="BodyText"/>
        <w:rPr/>
      </w:pPr>
      <w:r>
        <w:rPr/>
        <w:t>À échéance, le détenteur d’un NFT financier reçoit une fraction de la valeur réellement créée par l’entreprise, selon la formule :</w:t>
      </w:r>
    </w:p>
    <w:p>
      <w:pPr>
        <w:pStyle w:val="BodyText"/>
        <w:rPr/>
      </w:pPr>
      <w:r>
        <w:rPr/>
      </w:r>
    </w:p>
    <w:p>
      <w:pPr>
        <w:pStyle w:val="BodyText"/>
        <w:jc w:val="center"/>
        <w:rPr/>
      </w:pPr>
      <w:r>
        <w:rPr/>
        <w:t xml:space="preserve">Vdiv​=λdiv​×(Vproduit​−VburnTAP​−Vreserve​) </w:t>
      </w:r>
    </w:p>
    <w:p>
      <w:pPr>
        <w:pStyle w:val="BodyText"/>
        <w:rPr/>
      </w:pPr>
      <w:r>
        <w:rPr/>
      </w:r>
    </w:p>
    <w:p>
      <w:pPr>
        <w:pStyle w:val="BodyText"/>
        <w:rPr/>
      </w:pPr>
      <w:r>
        <w:rPr/>
        <w:t>où le coefficient de distribution λ_div est compris entre 0 et 0,3.</w:t>
      </w:r>
    </w:p>
    <w:p>
      <w:pPr>
        <w:pStyle w:val="BodyText"/>
        <w:rPr/>
      </w:pPr>
      <w:r>
        <w:rPr/>
        <w:t>Ce dividende ne constitue pas un intérêt, mais une réinjection de valeur vivante issue d’une activité vérifiée.</w:t>
      </w:r>
    </w:p>
    <w:p>
      <w:pPr>
        <w:pStyle w:val="Heading4"/>
        <w:numPr>
          <w:ilvl w:val="3"/>
          <w:numId w:val="3"/>
        </w:numPr>
        <w:ind w:hanging="0" w:left="0"/>
        <w:rPr/>
      </w:pPr>
      <w:r>
        <w:rPr>
          <w:rStyle w:val="Strong"/>
          <w:b/>
          <w:bCs/>
        </w:rPr>
        <w:t>Corollaire 2.6 (Régénération du flux vivant).</w:t>
      </w:r>
    </w:p>
    <w:p>
      <w:pPr>
        <w:pStyle w:val="BodyText"/>
        <w:rPr/>
      </w:pPr>
      <w:r>
        <w:rPr/>
        <w:t>Lorsque le dividende vivant est versé, une partie de la valeur retourne dans le circuit productif :</w:t>
      </w:r>
    </w:p>
    <w:p>
      <w:pPr>
        <w:pStyle w:val="BodyText"/>
        <w:rPr/>
      </w:pPr>
      <w:r>
        <w:rPr/>
      </w:r>
    </w:p>
    <w:p>
      <w:pPr>
        <w:pStyle w:val="BodyText"/>
        <w:jc w:val="center"/>
        <w:rPr/>
      </w:pPr>
      <w:r>
        <w:rPr/>
        <w:t xml:space="preserve">ΔDt​=ΔVavance​−VburnTAP​−Vdivreinjecte​ </w:t>
      </w:r>
    </w:p>
    <w:p>
      <w:pPr>
        <w:pStyle w:val="BodyText"/>
        <w:rPr/>
      </w:pPr>
      <w:r>
        <w:rPr/>
      </w:r>
    </w:p>
    <w:p>
      <w:pPr>
        <w:pStyle w:val="BodyText"/>
        <w:rPr/>
      </w:pPr>
      <w:r>
        <w:rPr/>
        <w:t>La réduction du passif (D) améliore le ratio r_t et favorise le refroidissement du système.</w:t>
      </w:r>
    </w:p>
    <w:p>
      <w:pPr>
        <w:pStyle w:val="Heading4"/>
        <w:numPr>
          <w:ilvl w:val="3"/>
          <w:numId w:val="3"/>
        </w:numPr>
        <w:ind w:hanging="0" w:left="0"/>
        <w:rPr/>
      </w:pPr>
      <w:r>
        <w:rPr>
          <w:rStyle w:val="Strong"/>
          <w:b/>
          <w:bCs/>
        </w:rPr>
        <w:t>Axiome 2.9 (Réputation thermodynamique).</w:t>
      </w:r>
    </w:p>
    <w:p>
      <w:pPr>
        <w:pStyle w:val="BodyText"/>
        <w:rPr/>
      </w:pPr>
      <w:r>
        <w:rPr/>
        <w:t>Chaque entreprise détient un coefficient de confiance Φ_trust, fonction de son historique de remboursement et de création de valeur.</w:t>
      </w:r>
    </w:p>
    <w:p>
      <w:pPr>
        <w:pStyle w:val="BodyText"/>
        <w:rPr/>
      </w:pPr>
      <w:r>
        <w:rPr/>
        <w:t>Ce coefficient évolue selon la formule :</w:t>
      </w:r>
    </w:p>
    <w:p>
      <w:pPr>
        <w:pStyle w:val="BodyText"/>
        <w:rPr/>
      </w:pPr>
      <w:r>
        <w:rPr/>
      </w:r>
    </w:p>
    <w:p>
      <w:pPr>
        <w:pStyle w:val="BodyText"/>
        <w:jc w:val="center"/>
        <w:rPr/>
      </w:pPr>
      <w:r>
        <w:rPr/>
        <w:t xml:space="preserve">Φtrust,t​=Φtrust,t−1​×(1+αtrust​×tauxhonneur​−βtrust​×tauxdefaut​) </w:t>
      </w:r>
    </w:p>
    <w:p>
      <w:pPr>
        <w:pStyle w:val="BodyText"/>
        <w:rPr/>
      </w:pPr>
      <w:r>
        <w:rPr/>
      </w:r>
    </w:p>
    <w:p>
      <w:pPr>
        <w:pStyle w:val="BodyText"/>
        <w:rPr/>
      </w:pPr>
      <w:r>
        <w:rPr/>
        <w:t>Une entreprise respectant ses engagements voit sa confiance croître, ce qui facilite l’émission de nouveaux NFT financiers.</w:t>
      </w:r>
    </w:p>
    <w:p>
      <w:pPr>
        <w:pStyle w:val="BodyText"/>
        <w:rPr/>
      </w:pPr>
      <w:r>
        <w:rPr/>
        <w:t>Inversement, les défaillances répétées entraînent une contraction naturelle de sa capacité de financement.</w:t>
      </w:r>
    </w:p>
    <w:p>
      <w:pPr>
        <w:pStyle w:val="Heading4"/>
        <w:numPr>
          <w:ilvl w:val="3"/>
          <w:numId w:val="3"/>
        </w:numPr>
        <w:ind w:hanging="0" w:left="0"/>
        <w:rPr/>
      </w:pPr>
      <w:r>
        <w:rPr>
          <w:rStyle w:val="Strong"/>
          <w:b/>
          <w:bCs/>
        </w:rPr>
        <w:t>Théorème 2.7 (Autorégulation par la confiance).</w:t>
      </w:r>
    </w:p>
    <w:p>
      <w:pPr>
        <w:pStyle w:val="BodyText"/>
        <w:rPr/>
      </w:pPr>
      <w:r>
        <w:rPr/>
        <w:t>Le coefficient Φ_trust se comporte comme une fonction de rétroaction lente : il stabilise le système financier vivant sans recourir à la contrainte ni à la sanction externe.</w:t>
        <w:br/>
        <w:t>Ainsi, la réputation énergétique remplace les agences de notation, et la fiabilité productive remplace le taux d’intérêt.</w:t>
      </w:r>
    </w:p>
    <w:p>
      <w:pPr>
        <w:pStyle w:val="BodyText"/>
        <w:rPr/>
      </w:pPr>
      <w:r>
        <w:rPr/>
      </w:r>
    </w:p>
    <w:p>
      <w:pPr>
        <w:pStyle w:val="Heading3"/>
        <w:numPr>
          <w:ilvl w:val="2"/>
          <w:numId w:val="3"/>
        </w:numPr>
        <w:ind w:hanging="0" w:left="0"/>
        <w:rPr/>
      </w:pPr>
      <w:r>
        <w:rPr/>
        <w:t>2.3.7. Exemple structuré : le Compte Entreprise « SolarLoop »</w:t>
      </w:r>
    </w:p>
    <w:p>
      <w:pPr>
        <w:pStyle w:val="BodyText"/>
        <w:rPr/>
      </w:pPr>
      <w:r>
        <w:rPr>
          <w:rStyle w:val="Strong"/>
        </w:rPr>
        <w:t>Présentation générale.</w:t>
      </w:r>
    </w:p>
    <w:p>
      <w:pPr>
        <w:pStyle w:val="BodyText"/>
        <w:rPr/>
      </w:pPr>
      <w:r>
        <w:rPr/>
        <w:t>Pour illustrer concrètement le fonctionnement d’un Compte Entreprise dans le protocole IRIS, considérons le cas de « SolarLoop », une coopérative énergétique locale spécialisée dans la production décentralisée d’électricité solaire.</w:t>
      </w:r>
    </w:p>
    <w:p>
      <w:pPr>
        <w:pStyle w:val="BodyText"/>
        <w:rPr/>
      </w:pPr>
      <w:r>
        <w:rPr/>
        <w:t>SolarLoop opère depuis trente-six cycles et présente les caractéristiques suivantes :</w:t>
      </w:r>
    </w:p>
    <w:p>
      <w:pPr>
        <w:pStyle w:val="BodyText"/>
        <w:numPr>
          <w:ilvl w:val="0"/>
          <w:numId w:val="37"/>
        </w:numPr>
        <w:tabs>
          <w:tab w:val="clear" w:pos="709"/>
          <w:tab w:val="left" w:pos="0" w:leader="none"/>
        </w:tabs>
        <w:spacing w:lineRule="auto" w:line="276"/>
        <w:ind w:hanging="283" w:left="709"/>
        <w:rPr/>
      </w:pPr>
      <w:r>
        <w:rPr>
          <w:rStyle w:val="Strong"/>
        </w:rPr>
        <w:t>Thermomètre global</w:t>
      </w:r>
      <w:r>
        <w:rPr/>
        <w:t xml:space="preserve"> : rt​=0,98 (équilibre thermodynamique stable)</w:t>
      </w:r>
    </w:p>
    <w:p>
      <w:pPr>
        <w:pStyle w:val="BodyText"/>
        <w:numPr>
          <w:ilvl w:val="0"/>
          <w:numId w:val="37"/>
        </w:numPr>
        <w:tabs>
          <w:tab w:val="clear" w:pos="709"/>
          <w:tab w:val="left" w:pos="0" w:leader="none"/>
        </w:tabs>
        <w:spacing w:lineRule="auto" w:line="276"/>
        <w:ind w:hanging="283" w:left="709"/>
        <w:rPr/>
      </w:pPr>
      <w:r>
        <w:rPr>
          <w:rStyle w:val="Strong"/>
        </w:rPr>
        <w:t>Vitesse de circulation moyenne</w:t>
      </w:r>
      <w:r>
        <w:rPr/>
        <w:t xml:space="preserve"> : ν=0,22</w:t>
      </w:r>
    </w:p>
    <w:p>
      <w:pPr>
        <w:pStyle w:val="BodyText"/>
        <w:numPr>
          <w:ilvl w:val="0"/>
          <w:numId w:val="37"/>
        </w:numPr>
        <w:tabs>
          <w:tab w:val="clear" w:pos="709"/>
          <w:tab w:val="left" w:pos="0" w:leader="none"/>
        </w:tabs>
        <w:spacing w:lineRule="auto" w:line="276"/>
        <w:ind w:hanging="283" w:left="709"/>
        <w:rPr/>
      </w:pPr>
      <w:r>
        <w:rPr>
          <w:rStyle w:val="Strong"/>
        </w:rPr>
        <w:t>Multiplicateur de création</w:t>
      </w:r>
      <w:r>
        <w:rPr/>
        <w:t xml:space="preserve"> : ηt​=1,03</w:t>
      </w:r>
    </w:p>
    <w:p>
      <w:pPr>
        <w:pStyle w:val="BodyText"/>
        <w:numPr>
          <w:ilvl w:val="0"/>
          <w:numId w:val="37"/>
        </w:numPr>
        <w:tabs>
          <w:tab w:val="clear" w:pos="709"/>
          <w:tab w:val="left" w:pos="0" w:leader="none"/>
        </w:tabs>
        <w:spacing w:lineRule="auto" w:line="276"/>
        <w:ind w:hanging="283" w:left="709"/>
        <w:rPr/>
      </w:pPr>
      <w:r>
        <w:rPr>
          <w:rStyle w:val="Strong"/>
        </w:rPr>
        <w:t>Capacité d’émission TAP</w:t>
      </w:r>
      <w:r>
        <w:rPr/>
        <w:t xml:space="preserve"> : CTAP​=0,74×(Vtreˊsorerie​+Vfinancier​)</w:t>
      </w:r>
    </w:p>
    <w:p>
      <w:pPr>
        <w:pStyle w:val="BodyText"/>
        <w:numPr>
          <w:ilvl w:val="0"/>
          <w:numId w:val="37"/>
        </w:numPr>
        <w:tabs>
          <w:tab w:val="clear" w:pos="709"/>
          <w:tab w:val="left" w:pos="0" w:leader="none"/>
        </w:tabs>
        <w:spacing w:lineRule="auto" w:line="276"/>
        <w:ind w:hanging="283" w:left="709"/>
        <w:rPr/>
      </w:pPr>
      <w:r>
        <w:rPr>
          <w:rStyle w:val="Strong"/>
        </w:rPr>
        <w:t>Coefficient de confiance</w:t>
      </w:r>
      <w:r>
        <w:rPr/>
        <w:t xml:space="preserve"> : Φtrust​=0,94 (niveau élevé)</w:t>
      </w:r>
    </w:p>
    <w:p>
      <w:pPr>
        <w:pStyle w:val="BodyText"/>
        <w:rPr/>
      </w:pPr>
      <w:r>
        <w:rPr>
          <w:rStyle w:val="Strong"/>
        </w:rPr>
        <w:t>Architecture du Compte Entreprise.</w:t>
      </w:r>
    </w:p>
    <w:p>
      <w:pPr>
        <w:pStyle w:val="BodyText"/>
        <w:rPr/>
      </w:pPr>
      <w:r>
        <w:rPr/>
        <w:t>Le Compte Entreprise de SolarLoop se structure comme suit :</w:t>
      </w:r>
    </w:p>
    <w:p>
      <w:pPr>
        <w:pStyle w:val="BodyText"/>
        <w:numPr>
          <w:ilvl w:val="0"/>
          <w:numId w:val="38"/>
        </w:numPr>
        <w:tabs>
          <w:tab w:val="clear" w:pos="709"/>
          <w:tab w:val="left" w:pos="0" w:leader="none"/>
        </w:tabs>
        <w:ind w:hanging="283" w:left="709"/>
        <w:rPr/>
      </w:pPr>
      <w:r>
        <w:rPr>
          <w:rStyle w:val="Strong"/>
        </w:rPr>
        <w:t>Couche productive (C1)</w:t>
      </w:r>
      <w:r>
        <w:rPr/>
        <w:t xml:space="preserve"> :</w:t>
      </w:r>
    </w:p>
    <w:p>
      <w:pPr>
        <w:pStyle w:val="BodyText"/>
        <w:numPr>
          <w:ilvl w:val="1"/>
          <w:numId w:val="38"/>
        </w:numPr>
        <w:tabs>
          <w:tab w:val="clear" w:pos="709"/>
          <w:tab w:val="left" w:pos="0" w:leader="none"/>
        </w:tabs>
        <w:spacing w:lineRule="auto" w:line="276"/>
        <w:ind w:hanging="283" w:left="1418"/>
        <w:rPr/>
      </w:pPr>
      <w:r>
        <w:rPr/>
        <w:t>Production annuelle : 1 200 MWh équivalents, répartis sur 150 NFT productifs.</w:t>
      </w:r>
    </w:p>
    <w:p>
      <w:pPr>
        <w:pStyle w:val="BodyText"/>
        <w:numPr>
          <w:ilvl w:val="1"/>
          <w:numId w:val="38"/>
        </w:numPr>
        <w:tabs>
          <w:tab w:val="clear" w:pos="709"/>
          <w:tab w:val="left" w:pos="0" w:leader="none"/>
        </w:tabs>
        <w:spacing w:lineRule="auto" w:line="276"/>
        <w:ind w:hanging="283" w:left="1418"/>
        <w:rPr/>
      </w:pPr>
      <w:r>
        <w:rPr/>
        <w:t xml:space="preserve">Chaque NFT représente 8 MWh et intègre une validation </w:t>
      </w:r>
      <w:r>
        <w:rPr>
          <w:rStyle w:val="Emphasis"/>
        </w:rPr>
        <w:t>EX</w:t>
      </w:r>
      <w:r>
        <w:rPr/>
        <w:t xml:space="preserve"> de la production vérifiée.</w:t>
      </w:r>
    </w:p>
    <w:p>
      <w:pPr>
        <w:pStyle w:val="BodyText"/>
        <w:numPr>
          <w:ilvl w:val="1"/>
          <w:numId w:val="38"/>
        </w:numPr>
        <w:tabs>
          <w:tab w:val="clear" w:pos="709"/>
          <w:tab w:val="left" w:pos="0" w:leader="none"/>
        </w:tabs>
        <w:spacing w:lineRule="auto" w:line="276"/>
        <w:ind w:hanging="283" w:left="1418"/>
        <w:rPr/>
      </w:pPr>
      <w:r>
        <w:rPr/>
        <w:t>Valeur moyenne par NFT : 35 V.</w:t>
      </w:r>
    </w:p>
    <w:p>
      <w:pPr>
        <w:pStyle w:val="BodyText"/>
        <w:numPr>
          <w:ilvl w:val="0"/>
          <w:numId w:val="38"/>
        </w:numPr>
        <w:tabs>
          <w:tab w:val="clear" w:pos="709"/>
          <w:tab w:val="left" w:pos="0" w:leader="none"/>
        </w:tabs>
        <w:ind w:hanging="283" w:left="709"/>
        <w:rPr/>
      </w:pPr>
      <w:r>
        <w:rPr>
          <w:rStyle w:val="Strong"/>
        </w:rPr>
        <w:t>Couche financière (C2)</w:t>
      </w:r>
      <w:r>
        <w:rPr/>
        <w:t xml:space="preserve"> :</w:t>
      </w:r>
    </w:p>
    <w:p>
      <w:pPr>
        <w:pStyle w:val="BodyText"/>
        <w:numPr>
          <w:ilvl w:val="1"/>
          <w:numId w:val="38"/>
        </w:numPr>
        <w:tabs>
          <w:tab w:val="clear" w:pos="709"/>
          <w:tab w:val="left" w:pos="0" w:leader="none"/>
        </w:tabs>
        <w:spacing w:lineRule="auto" w:line="276"/>
        <w:ind w:hanging="283" w:left="1418"/>
        <w:rPr/>
      </w:pPr>
      <w:r>
        <w:rPr/>
        <w:t>NFT financiers en circulation : 420 (V) immobilisés.</w:t>
      </w:r>
    </w:p>
    <w:p>
      <w:pPr>
        <w:pStyle w:val="BodyText"/>
        <w:numPr>
          <w:ilvl w:val="1"/>
          <w:numId w:val="38"/>
        </w:numPr>
        <w:tabs>
          <w:tab w:val="clear" w:pos="709"/>
          <w:tab w:val="left" w:pos="0" w:leader="none"/>
        </w:tabs>
        <w:spacing w:lineRule="auto" w:line="276"/>
        <w:ind w:hanging="283" w:left="1418"/>
        <w:rPr/>
      </w:pPr>
      <w:r>
        <w:rPr/>
        <w:t>TAP actifs : 280 (V) en moyenne, échéance moyenne de 10 cycles.</w:t>
      </w:r>
    </w:p>
    <w:p>
      <w:pPr>
        <w:pStyle w:val="BodyText"/>
        <w:numPr>
          <w:ilvl w:val="1"/>
          <w:numId w:val="38"/>
        </w:numPr>
        <w:tabs>
          <w:tab w:val="clear" w:pos="709"/>
          <w:tab w:val="left" w:pos="0" w:leader="none"/>
        </w:tabs>
        <w:spacing w:lineRule="auto" w:line="276"/>
        <w:ind w:hanging="283" w:left="1418"/>
        <w:rPr/>
      </w:pPr>
      <w:r>
        <w:rPr/>
        <w:t>Réserve vivante disponible : 220 V.</w:t>
      </w:r>
    </w:p>
    <w:p>
      <w:pPr>
        <w:pStyle w:val="BodyText"/>
        <w:numPr>
          <w:ilvl w:val="0"/>
          <w:numId w:val="38"/>
        </w:numPr>
        <w:tabs>
          <w:tab w:val="clear" w:pos="709"/>
          <w:tab w:val="left" w:pos="0" w:leader="none"/>
        </w:tabs>
        <w:ind w:hanging="283" w:left="709"/>
        <w:rPr/>
      </w:pPr>
      <w:r>
        <w:rPr>
          <w:rStyle w:val="Strong"/>
        </w:rPr>
        <w:t>Couche régulatrice (C3)</w:t>
      </w:r>
      <w:r>
        <w:rPr/>
        <w:t xml:space="preserve"> :</w:t>
      </w:r>
    </w:p>
    <w:p>
      <w:pPr>
        <w:pStyle w:val="BodyText"/>
        <w:numPr>
          <w:ilvl w:val="1"/>
          <w:numId w:val="38"/>
        </w:numPr>
        <w:tabs>
          <w:tab w:val="clear" w:pos="709"/>
          <w:tab w:val="left" w:pos="0" w:leader="none"/>
        </w:tabs>
        <w:spacing w:lineRule="auto" w:line="276"/>
        <w:ind w:hanging="283" w:left="1418"/>
        <w:rPr/>
      </w:pPr>
      <w:r>
        <w:rPr/>
        <w:t>Rétroaction automatique via le RAD.</w:t>
      </w:r>
    </w:p>
    <w:p>
      <w:pPr>
        <w:pStyle w:val="BodyText"/>
        <w:numPr>
          <w:ilvl w:val="1"/>
          <w:numId w:val="38"/>
        </w:numPr>
        <w:tabs>
          <w:tab w:val="clear" w:pos="709"/>
          <w:tab w:val="left" w:pos="0" w:leader="none"/>
        </w:tabs>
        <w:spacing w:lineRule="auto" w:line="276"/>
        <w:ind w:hanging="283" w:left="1418"/>
        <w:rPr/>
      </w:pPr>
      <w:r>
        <w:rPr/>
        <w:t>Ajustement mensuel de η_t selon rt​.</w:t>
      </w:r>
    </w:p>
    <w:p>
      <w:pPr>
        <w:pStyle w:val="BodyText"/>
        <w:numPr>
          <w:ilvl w:val="1"/>
          <w:numId w:val="38"/>
        </w:numPr>
        <w:tabs>
          <w:tab w:val="clear" w:pos="709"/>
          <w:tab w:val="left" w:pos="0" w:leader="none"/>
        </w:tabs>
        <w:spacing w:lineRule="auto" w:line="276"/>
        <w:ind w:hanging="283" w:left="1418"/>
        <w:rPr/>
      </w:pPr>
      <w:r>
        <w:rPr/>
        <w:t>Synchronisation continue des bilans thermodynamiques.</w:t>
      </w:r>
    </w:p>
    <w:p>
      <w:pPr>
        <w:pStyle w:val="BodyText"/>
        <w:rPr/>
      </w:pPr>
      <w:r>
        <w:rPr>
          <w:rStyle w:val="Strong"/>
        </w:rPr>
        <w:t>Cycle productif type.</w:t>
      </w:r>
    </w:p>
    <w:p>
      <w:pPr>
        <w:pStyle w:val="BodyText"/>
        <w:rPr/>
      </w:pPr>
      <w:r>
        <w:rPr/>
        <w:t>Au cours du cycle T, SolarLoop émet 12 nouveaux NFT productifs d’une valeur unitaire de 35 (V), soit un total de 420 V.</w:t>
      </w:r>
    </w:p>
    <w:p>
      <w:pPr>
        <w:pStyle w:val="BodyText"/>
        <w:rPr/>
      </w:pPr>
      <w:r>
        <w:rPr/>
        <w:t>Ces NFT sont acquis par des Comptes Utilisateurs, générant la combustion simultanée de 210 (U) et de 210 S.</w:t>
      </w:r>
    </w:p>
    <w:p>
      <w:pPr>
        <w:pStyle w:val="BodyText"/>
        <w:rPr/>
      </w:pPr>
      <w:r>
        <w:rPr/>
        <w:t>La valeur vivante créée est donc :</w:t>
      </w:r>
    </w:p>
    <w:p>
      <w:pPr>
        <w:pStyle w:val="BodyText"/>
        <w:rPr/>
      </w:pPr>
      <w:r>
        <w:rPr/>
      </w:r>
    </w:p>
    <w:p>
      <w:pPr>
        <w:pStyle w:val="BodyText"/>
        <w:jc w:val="center"/>
        <w:rPr/>
      </w:pPr>
      <w:r>
        <w:rPr/>
        <w:t xml:space="preserve">ΔVT​=ηT​×(Uburn​+Sburn​)=1,03×420=432,6V </w:t>
      </w:r>
    </w:p>
    <w:p>
      <w:pPr>
        <w:pStyle w:val="BodyText"/>
        <w:rPr/>
      </w:pPr>
      <w:r>
        <w:rPr/>
      </w:r>
    </w:p>
    <w:p>
      <w:pPr>
        <w:pStyle w:val="BodyText"/>
        <w:rPr/>
      </w:pPr>
      <w:r>
        <w:rPr>
          <w:rStyle w:val="Strong"/>
        </w:rPr>
        <w:t>Distribution de la valeur.</w:t>
      </w:r>
    </w:p>
    <w:p>
      <w:pPr>
        <w:pStyle w:val="BodyText"/>
        <w:rPr/>
      </w:pPr>
      <w:r>
        <w:rPr/>
        <w:t>Conformément à la règle de distribution organique (40/60) :</w:t>
      </w:r>
    </w:p>
    <w:p>
      <w:pPr>
        <w:pStyle w:val="BodyText"/>
        <w:numPr>
          <w:ilvl w:val="0"/>
          <w:numId w:val="39"/>
        </w:numPr>
        <w:tabs>
          <w:tab w:val="clear" w:pos="709"/>
          <w:tab w:val="left" w:pos="0" w:leader="none"/>
        </w:tabs>
        <w:spacing w:lineRule="auto" w:line="276"/>
        <w:ind w:hanging="283" w:left="709"/>
        <w:rPr/>
      </w:pPr>
      <w:r>
        <w:rPr/>
        <w:t>173 (V) sont redistribués sous forme de rémunérations vivantes aux collaborateurs (40 %).</w:t>
      </w:r>
    </w:p>
    <w:p>
      <w:pPr>
        <w:pStyle w:val="BodyText"/>
        <w:numPr>
          <w:ilvl w:val="0"/>
          <w:numId w:val="39"/>
        </w:numPr>
        <w:tabs>
          <w:tab w:val="clear" w:pos="709"/>
          <w:tab w:val="left" w:pos="0" w:leader="none"/>
        </w:tabs>
        <w:spacing w:lineRule="auto" w:line="276"/>
        <w:ind w:hanging="283" w:left="709"/>
        <w:rPr/>
      </w:pPr>
      <w:r>
        <w:rPr/>
        <w:t>259 (V) sont alloués à la trésorerie et à la réserve régulatrice (60 %).</w:t>
      </w:r>
    </w:p>
    <w:p>
      <w:pPr>
        <w:pStyle w:val="BodyText"/>
        <w:rPr/>
      </w:pPr>
      <w:r>
        <w:rPr/>
        <w:t>Sur les 259 (V) en réserve :</w:t>
      </w:r>
    </w:p>
    <w:p>
      <w:pPr>
        <w:pStyle w:val="BodyText"/>
        <w:numPr>
          <w:ilvl w:val="0"/>
          <w:numId w:val="40"/>
        </w:numPr>
        <w:tabs>
          <w:tab w:val="clear" w:pos="709"/>
          <w:tab w:val="left" w:pos="0" w:leader="none"/>
        </w:tabs>
        <w:spacing w:lineRule="auto" w:line="276"/>
        <w:ind w:hanging="283" w:left="709"/>
        <w:rPr/>
      </w:pPr>
      <w:r>
        <w:rPr/>
        <w:t>40 (V) sont convertis en NFT financiers (investissements productifs internes).</w:t>
      </w:r>
    </w:p>
    <w:p>
      <w:pPr>
        <w:pStyle w:val="BodyText"/>
        <w:numPr>
          <w:ilvl w:val="0"/>
          <w:numId w:val="40"/>
        </w:numPr>
        <w:tabs>
          <w:tab w:val="clear" w:pos="709"/>
          <w:tab w:val="left" w:pos="0" w:leader="none"/>
        </w:tabs>
        <w:spacing w:lineRule="auto" w:line="276"/>
        <w:ind w:hanging="283" w:left="709"/>
        <w:rPr/>
      </w:pPr>
      <w:r>
        <w:rPr/>
        <w:t>219 (V) demeurent disponibles pour de futurs TAP ou pour compenser d’éventuelles fluctuations thermodynamiques.</w:t>
      </w:r>
    </w:p>
    <w:p>
      <w:pPr>
        <w:pStyle w:val="BodyText"/>
        <w:rPr/>
      </w:pPr>
      <w:r>
        <w:rPr>
          <w:rStyle w:val="Strong"/>
        </w:rPr>
        <w:t>Régénération et dividendes.</w:t>
      </w:r>
    </w:p>
    <w:p>
      <w:pPr>
        <w:pStyle w:val="BodyText"/>
        <w:rPr/>
      </w:pPr>
      <w:r>
        <w:rPr/>
        <w:t>À la fin du cycle, SolarLoop verse un dividende vivant de 6,4 (V) à chaque détenteur de NFT financier, selon la formule :</w:t>
      </w:r>
    </w:p>
    <w:p>
      <w:pPr>
        <w:pStyle w:val="BodyText"/>
        <w:rPr/>
      </w:pPr>
      <w:r>
        <w:rPr/>
      </w:r>
    </w:p>
    <w:p>
      <w:pPr>
        <w:pStyle w:val="BodyText"/>
        <w:jc w:val="center"/>
        <w:rPr/>
      </w:pPr>
      <w:r>
        <w:rPr/>
        <w:t xml:space="preserve">Vdiv​=λdiv​×(Vproduit​−VburnTAP​−Vreserve​) </w:t>
      </w:r>
    </w:p>
    <w:p>
      <w:pPr>
        <w:pStyle w:val="BodyText"/>
        <w:rPr/>
      </w:pPr>
      <w:r>
        <w:rPr/>
      </w:r>
    </w:p>
    <w:p>
      <w:pPr>
        <w:pStyle w:val="BodyText"/>
        <w:rPr/>
      </w:pPr>
      <w:r>
        <w:rPr/>
        <w:t xml:space="preserve">avec </w:t>
      </w:r>
    </w:p>
    <w:p>
      <w:pPr>
        <w:pStyle w:val="BodyText"/>
        <w:rPr/>
      </w:pPr>
      <w:r>
        <w:rPr/>
      </w:r>
    </w:p>
    <w:p>
      <w:pPr>
        <w:pStyle w:val="BodyText"/>
        <w:jc w:val="center"/>
        <w:rPr/>
      </w:pPr>
      <w:r>
        <w:rPr/>
        <w:t>λdiv​=0,08.</w:t>
      </w:r>
    </w:p>
    <w:p>
      <w:pPr>
        <w:pStyle w:val="BodyText"/>
        <w:rPr/>
      </w:pPr>
      <w:r>
        <w:rPr/>
      </w:r>
    </w:p>
    <w:p>
      <w:pPr>
        <w:pStyle w:val="BodyText"/>
        <w:rPr/>
      </w:pPr>
      <w:r>
        <w:rPr/>
        <w:t>Le ratio de confiance Φ_trust reste stable au-dessus de 0,93, ce qui confère à l’entreprise une excellente capacité d’émission de nouveaux TAP au cycle suivant.</w:t>
      </w:r>
    </w:p>
    <w:p>
      <w:pPr>
        <w:pStyle w:val="BodyText"/>
        <w:rPr/>
      </w:pPr>
      <w:r>
        <w:rPr>
          <w:rStyle w:val="Strong"/>
        </w:rPr>
        <w:t>Analyse thermodynamique.</w:t>
      </w:r>
    </w:p>
    <w:p>
      <w:pPr>
        <w:pStyle w:val="BodyText"/>
        <w:rPr/>
      </w:pPr>
      <w:r>
        <w:rPr/>
        <w:t>Les indicateurs de SolarLoop révèlent :</w:t>
      </w:r>
    </w:p>
    <w:p>
      <w:pPr>
        <w:pStyle w:val="BodyText"/>
        <w:numPr>
          <w:ilvl w:val="0"/>
          <w:numId w:val="41"/>
        </w:numPr>
        <w:tabs>
          <w:tab w:val="clear" w:pos="709"/>
          <w:tab w:val="left" w:pos="0" w:leader="none"/>
        </w:tabs>
        <w:spacing w:lineRule="auto" w:line="276"/>
        <w:ind w:hanging="283" w:left="709"/>
        <w:rPr/>
      </w:pPr>
      <w:r>
        <w:rPr/>
        <w:t>un rendement énergétique Φeff​=ΔV/(Uburn​+Sburn​)=1,03,</w:t>
      </w:r>
    </w:p>
    <w:p>
      <w:pPr>
        <w:pStyle w:val="BodyText"/>
        <w:numPr>
          <w:ilvl w:val="0"/>
          <w:numId w:val="41"/>
        </w:numPr>
        <w:tabs>
          <w:tab w:val="clear" w:pos="709"/>
          <w:tab w:val="left" w:pos="0" w:leader="none"/>
        </w:tabs>
        <w:spacing w:lineRule="auto" w:line="276"/>
        <w:ind w:hanging="283" w:left="709"/>
        <w:rPr/>
      </w:pPr>
      <w:r>
        <w:rPr/>
        <w:t>une respiration économique fluide (ν≈0,22),</w:t>
      </w:r>
    </w:p>
    <w:p>
      <w:pPr>
        <w:pStyle w:val="BodyText"/>
        <w:numPr>
          <w:ilvl w:val="0"/>
          <w:numId w:val="41"/>
        </w:numPr>
        <w:tabs>
          <w:tab w:val="clear" w:pos="709"/>
          <w:tab w:val="left" w:pos="0" w:leader="none"/>
        </w:tabs>
        <w:spacing w:lineRule="auto" w:line="276"/>
        <w:ind w:hanging="283" w:left="709"/>
        <w:rPr/>
      </w:pPr>
      <w:r>
        <w:rPr/>
        <w:t>une conservation du rapport rt​ proche de la neutralité (0,98).</w:t>
      </w:r>
    </w:p>
    <w:p>
      <w:pPr>
        <w:pStyle w:val="BodyText"/>
        <w:rPr/>
      </w:pPr>
      <w:r>
        <w:rPr/>
        <w:t>Ces résultats témoignent d’une stabilité organique exemplaire : SolarLoop produit, distribue et régénère la valeur sans accumulation improductive, ni dépendance à la dette.</w:t>
      </w:r>
    </w:p>
    <w:p>
      <w:pPr>
        <w:pStyle w:val="BodyText"/>
        <w:rPr/>
      </w:pPr>
      <w:r>
        <w:rPr/>
      </w:r>
    </w:p>
    <w:p>
      <w:pPr>
        <w:pStyle w:val="Heading3"/>
        <w:numPr>
          <w:ilvl w:val="2"/>
          <w:numId w:val="3"/>
        </w:numPr>
        <w:ind w:hanging="0" w:left="0"/>
        <w:rPr/>
      </w:pPr>
      <w:r>
        <w:rPr/>
        <w:t>2.3.8. Synthèse : le Compte Entreprise comme cellule productive du vivant</w:t>
      </w:r>
    </w:p>
    <w:p>
      <w:pPr>
        <w:pStyle w:val="BodyText"/>
        <w:rPr/>
      </w:pPr>
      <w:r>
        <w:rPr/>
        <w:t>Le Compte Entreprise constitue l’unité de base de la production vivante au sein d’IRIS.</w:t>
      </w:r>
    </w:p>
    <w:p>
      <w:pPr>
        <w:pStyle w:val="BodyText"/>
        <w:rPr/>
      </w:pPr>
      <w:r>
        <w:rPr/>
        <w:t>Il se distingue radicalement de l’entreprise capitaliste traditionnelle par sa structure énergétique, son mode de financement et sa finalité collective.</w:t>
      </w:r>
    </w:p>
    <w:p>
      <w:pPr>
        <w:pStyle w:val="BodyText"/>
        <w:numPr>
          <w:ilvl w:val="0"/>
          <w:numId w:val="42"/>
        </w:numPr>
        <w:tabs>
          <w:tab w:val="clear" w:pos="709"/>
          <w:tab w:val="left" w:pos="0" w:leader="none"/>
        </w:tabs>
        <w:spacing w:lineRule="auto" w:line="276"/>
        <w:ind w:hanging="283" w:left="709"/>
        <w:rPr/>
      </w:pPr>
      <w:r>
        <w:rPr>
          <w:rStyle w:val="Strong"/>
        </w:rPr>
        <w:t>Structure énergétique.</w:t>
        <w:br/>
      </w:r>
      <w:r>
        <w:rPr/>
        <w:t>Le CE fonctionne comme une cellule biologique : il absorbe des intrants énergétiques (U et S), les transforme en valeur vivante (V), et rejette le surplus sous forme de dividendes vivants ou de NFT financiers arrivés à échéance.</w:t>
        <w:br/>
        <w:t>La conservation thermodynamique assure que toute valeur émise correspond à un travail réel, validé et mesurable.</w:t>
      </w:r>
    </w:p>
    <w:p>
      <w:pPr>
        <w:pStyle w:val="BodyText"/>
        <w:numPr>
          <w:ilvl w:val="0"/>
          <w:numId w:val="42"/>
        </w:numPr>
        <w:tabs>
          <w:tab w:val="clear" w:pos="709"/>
          <w:tab w:val="left" w:pos="0" w:leader="none"/>
        </w:tabs>
        <w:spacing w:lineRule="auto" w:line="276"/>
        <w:ind w:hanging="283" w:left="709"/>
        <w:rPr/>
      </w:pPr>
      <w:r>
        <w:rPr>
          <w:rStyle w:val="Strong"/>
        </w:rPr>
        <w:t>Financement sans dette.</w:t>
        <w:br/>
      </w:r>
      <w:r>
        <w:rPr/>
        <w:t>Grâce aux TAP et aux NFT financiers, l’entreprise ne s’endette jamais.</w:t>
        <w:br/>
        <w:t>Elle réorganise simplement dans le temps l’énergie déjà existante, la transformant en capacité productive vérifiée.</w:t>
        <w:br/>
        <w:t>Ce modèle abolit l’intérêt et la spéculation : la croissance économique résulte d’une augmentation de la vitalité collective, non d’une accumulation monétaire.</w:t>
      </w:r>
    </w:p>
    <w:p>
      <w:pPr>
        <w:pStyle w:val="BodyText"/>
        <w:numPr>
          <w:ilvl w:val="0"/>
          <w:numId w:val="42"/>
        </w:numPr>
        <w:tabs>
          <w:tab w:val="clear" w:pos="709"/>
          <w:tab w:val="left" w:pos="0" w:leader="none"/>
        </w:tabs>
        <w:spacing w:lineRule="auto" w:line="276"/>
        <w:ind w:hanging="283" w:left="709"/>
        <w:rPr/>
      </w:pPr>
      <w:r>
        <w:rPr>
          <w:rStyle w:val="Strong"/>
        </w:rPr>
        <w:t>Régulation organique.</w:t>
        <w:br/>
      </w:r>
      <w:r>
        <w:rPr/>
        <w:t>La couche régulatrice (C3) garantit l’équilibre entre production, distribution et stabilité globale.</w:t>
        <w:br/>
        <w:t>Les coefficients η_t et r_t servent de thermostat et de baromètre de confiance, ajustés automatiquement sans intervention humaine.</w:t>
      </w:r>
    </w:p>
    <w:p>
      <w:pPr>
        <w:pStyle w:val="BodyText"/>
        <w:numPr>
          <w:ilvl w:val="0"/>
          <w:numId w:val="42"/>
        </w:numPr>
        <w:tabs>
          <w:tab w:val="clear" w:pos="709"/>
          <w:tab w:val="left" w:pos="0" w:leader="none"/>
        </w:tabs>
        <w:spacing w:lineRule="auto" w:line="276"/>
        <w:ind w:hanging="283" w:left="709"/>
        <w:rPr/>
      </w:pPr>
      <w:r>
        <w:rPr>
          <w:rStyle w:val="Strong"/>
        </w:rPr>
        <w:t>Finalité collective.</w:t>
        <w:br/>
      </w:r>
      <w:r>
        <w:rPr/>
        <w:t>Chaque Compte Entreprise contribue à la régénération du système tout entier.</w:t>
        <w:br/>
        <w:t>Sa performance ne se mesure pas en profit, mais en efficacité énergétique et en participation à la respiration économique du collectif.</w:t>
        <w:br/>
        <w:t>Ainsi, la réussite d’une entreprise dans IRIS renforce directement la prospérité du vivant commun.</w:t>
      </w:r>
    </w:p>
    <w:p>
      <w:pPr>
        <w:pStyle w:val="Heading4"/>
        <w:numPr>
          <w:ilvl w:val="3"/>
          <w:numId w:val="3"/>
        </w:numPr>
        <w:ind w:hanging="0" w:left="0"/>
        <w:rPr/>
      </w:pPr>
      <w:r>
        <w:rPr>
          <w:rStyle w:val="Strong"/>
          <w:b/>
          <w:bCs/>
        </w:rPr>
        <w:t>Théorème 2.8 (Principe d’équivalence vitale).</w:t>
      </w:r>
    </w:p>
    <w:p>
      <w:pPr>
        <w:pStyle w:val="BodyText"/>
        <w:rPr/>
      </w:pPr>
      <w:r>
        <w:rPr/>
        <w:t>Dans le cadre d’IRIS, la somme de toutes les valeurs vivantes créées par les Comptes Entreprise équivaut exactement à la somme des revenus universels distribués aux Comptes Utilisateurs :</w:t>
      </w:r>
    </w:p>
    <w:p>
      <w:pPr>
        <w:pStyle w:val="BodyText"/>
        <w:rPr/>
      </w:pPr>
      <w:r>
        <w:rPr/>
      </w:r>
    </w:p>
    <w:p>
      <w:pPr>
        <w:pStyle w:val="BodyText"/>
        <w:jc w:val="center"/>
        <w:rPr/>
      </w:pPr>
      <w:r>
        <w:rPr/>
        <w:t xml:space="preserve">CE∑​ΔV=CU∑​U </w:t>
      </w:r>
    </w:p>
    <w:p>
      <w:pPr>
        <w:pStyle w:val="BodyText"/>
        <w:rPr/>
      </w:pPr>
      <w:r>
        <w:rPr/>
      </w:r>
    </w:p>
    <w:p>
      <w:pPr>
        <w:pStyle w:val="BodyText"/>
        <w:rPr/>
      </w:pPr>
      <w:r>
        <w:rPr/>
        <w:t>Cette égalité exprime l’équilibre fondamental entre production et redistribution.</w:t>
      </w:r>
    </w:p>
    <w:p>
      <w:pPr>
        <w:pStyle w:val="BodyText"/>
        <w:rPr/>
      </w:pPr>
      <w:r>
        <w:rPr/>
        <w:t>L’économie IRIS ne crée pas la richesse à partir de la dette, mais à partir de la vie elle-même, selon un cycle de création, de respiration et de régénération.</w:t>
      </w:r>
    </w:p>
    <w:p>
      <w:pPr>
        <w:pStyle w:val="BodyText"/>
        <w:rPr/>
      </w:pPr>
      <w:r>
        <w:rPr/>
        <w:t>Le Compte Entreprise incarne la cellule productive du système IRIS.</w:t>
      </w:r>
    </w:p>
    <w:p>
      <w:pPr>
        <w:pStyle w:val="BodyText"/>
        <w:rPr/>
      </w:pPr>
      <w:r>
        <w:rPr/>
        <w:t>Il opère comme un organisme énergétique autonome, régulé et transparent, où la valeur circule sans perte ni domination.</w:t>
      </w:r>
    </w:p>
    <w:p>
      <w:pPr>
        <w:pStyle w:val="BodyText"/>
        <w:rPr/>
      </w:pPr>
      <w:r>
        <w:rPr/>
        <w:t>La richesse y retrouve sa nature première : celle d’un flux vivant, généré par la coopération des êtres et destiné à se renouveler en permanence.</w:t>
      </w:r>
    </w:p>
    <w:p>
      <w:pPr>
        <w:pStyle w:val="BodyText"/>
        <w:rPr/>
      </w:pPr>
      <w:r>
        <w:rPr/>
      </w:r>
    </w:p>
    <w:p>
      <w:pPr>
        <w:pStyle w:val="Heading2"/>
        <w:numPr>
          <w:ilvl w:val="0"/>
          <w:numId w:val="0"/>
        </w:numPr>
        <w:ind w:hanging="0" w:left="0"/>
        <w:rPr/>
      </w:pPr>
      <w:r>
        <w:rPr/>
        <w:t>2.4. Le Compte NFT Privé : mémoire patrimoniale et traçabilité du vivant</w:t>
      </w:r>
    </w:p>
    <w:p>
      <w:pPr>
        <w:pStyle w:val="BodyText"/>
        <w:rPr/>
      </w:pPr>
      <w:r>
        <w:rPr/>
      </w:r>
    </w:p>
    <w:p>
      <w:pPr>
        <w:pStyle w:val="Heading3"/>
        <w:numPr>
          <w:ilvl w:val="2"/>
          <w:numId w:val="3"/>
        </w:numPr>
        <w:ind w:hanging="0" w:left="0"/>
        <w:rPr/>
      </w:pPr>
      <w:r>
        <w:rPr/>
        <w:t>2.4.1. Définition et rôle fondamental</w:t>
      </w:r>
    </w:p>
    <w:p>
      <w:pPr>
        <w:pStyle w:val="Heading4"/>
        <w:numPr>
          <w:ilvl w:val="3"/>
          <w:numId w:val="3"/>
        </w:numPr>
        <w:ind w:hanging="0" w:left="0"/>
        <w:rPr/>
      </w:pPr>
      <w:r>
        <w:rPr>
          <w:rStyle w:val="Strong"/>
          <w:b/>
          <w:bCs/>
        </w:rPr>
        <w:t>Définition 2.1 (Compte NFT Privé).</w:t>
      </w:r>
    </w:p>
    <w:p>
      <w:pPr>
        <w:pStyle w:val="BodyText"/>
        <w:rPr/>
      </w:pPr>
      <w:r>
        <w:rPr/>
        <w:t>Le Compte NFT Privé (CNP) constitue la branche patrimoniale du Compte Utilisateur. Il a pour fonction principale d’assurer la conservation, la traçabilité et la transmission des valeurs vivantes sous forme de jetons non fongibles (NFT).</w:t>
      </w:r>
    </w:p>
    <w:p>
      <w:pPr>
        <w:pStyle w:val="BodyText"/>
        <w:rPr/>
      </w:pPr>
      <w:r>
        <w:rPr/>
        <w:t>Chaque CNP est unique, indissociable du Compte Utilisateur auquel il est rattaché, et persiste au-delà de la durée de vie biologique de ce dernier afin d’assurer la continuité économique et la succession patrimoniale.</w:t>
      </w:r>
    </w:p>
    <w:p>
      <w:pPr>
        <w:pStyle w:val="Heading4"/>
        <w:numPr>
          <w:ilvl w:val="3"/>
          <w:numId w:val="3"/>
        </w:numPr>
        <w:ind w:hanging="0" w:left="0"/>
        <w:rPr/>
      </w:pPr>
      <w:r>
        <w:rPr>
          <w:rStyle w:val="Strong"/>
          <w:b/>
          <w:bCs/>
        </w:rPr>
        <w:t>Axiome 2.1 (Fonction mémorielle).</w:t>
      </w:r>
    </w:p>
    <w:p>
      <w:pPr>
        <w:pStyle w:val="BodyText"/>
        <w:rPr/>
      </w:pPr>
      <w:r>
        <w:rPr/>
        <w:t>Le CNP joue le rôle de mémoire patrimoniale du système. Il enregistre, sous forme de NFT, la totalité des biens matériels et immatériels acquis, créés ou reçus par l’utilisateur au cours de son existence.</w:t>
        <w:br/>
        <w:t>Cette mémoire constitue un historique irréversible des transactions productives et patrimoniales, garantissant la traçabilité complète de la richesse.</w:t>
      </w:r>
    </w:p>
    <w:p>
      <w:pPr>
        <w:pStyle w:val="Heading4"/>
        <w:numPr>
          <w:ilvl w:val="3"/>
          <w:numId w:val="3"/>
        </w:numPr>
        <w:ind w:hanging="0" w:left="0"/>
        <w:rPr/>
      </w:pPr>
      <w:r>
        <w:rPr>
          <w:rStyle w:val="Strong"/>
          <w:b/>
          <w:bCs/>
        </w:rPr>
        <w:t>Proposition 2.1 (Dualité fonctionnelle).</w:t>
      </w:r>
    </w:p>
    <w:p>
      <w:pPr>
        <w:pStyle w:val="BodyText"/>
        <w:rPr/>
      </w:pPr>
      <w:r>
        <w:rPr/>
        <w:t>Le Compte NFT Privé se divise en deux sous-espaces :</w:t>
      </w:r>
    </w:p>
    <w:p>
      <w:pPr>
        <w:pStyle w:val="BodyText"/>
        <w:numPr>
          <w:ilvl w:val="0"/>
          <w:numId w:val="43"/>
        </w:numPr>
        <w:tabs>
          <w:tab w:val="clear" w:pos="709"/>
          <w:tab w:val="left" w:pos="0" w:leader="none"/>
        </w:tabs>
        <w:ind w:hanging="283" w:left="709"/>
        <w:rPr/>
      </w:pPr>
      <w:r>
        <w:rPr>
          <w:rStyle w:val="Strong"/>
        </w:rPr>
        <w:t>Espace patrimonial actif</w:t>
      </w:r>
      <w:r>
        <w:rPr/>
        <w:t>, qui regroupe les NFT possédés, c’est-à-dire les biens vivants en usage ou conservés.</w:t>
      </w:r>
    </w:p>
    <w:p>
      <w:pPr>
        <w:pStyle w:val="BodyText"/>
        <w:numPr>
          <w:ilvl w:val="0"/>
          <w:numId w:val="43"/>
        </w:numPr>
        <w:tabs>
          <w:tab w:val="clear" w:pos="709"/>
          <w:tab w:val="left" w:pos="0" w:leader="none"/>
        </w:tabs>
        <w:ind w:hanging="283" w:left="709"/>
        <w:rPr/>
      </w:pPr>
      <w:r>
        <w:rPr>
          <w:rStyle w:val="Strong"/>
        </w:rPr>
        <w:t>Espace archivistique</w:t>
      </w:r>
      <w:r>
        <w:rPr/>
        <w:t>, qui contient les NFT consommés, détruits ou transférés, formant la mémoire historique de la trajectoire économique de l’individu.</w:t>
      </w:r>
    </w:p>
    <w:p>
      <w:pPr>
        <w:pStyle w:val="BodyText"/>
        <w:rPr/>
      </w:pPr>
      <w:r>
        <w:rPr/>
        <w:t>Cette distinction permet au CNP de combiner la conservation dynamique (patrimoine actif) et la mémoire historique (patrimoine archivé), établissant une correspondance entre le présent économique et le passé productif.</w:t>
      </w:r>
    </w:p>
    <w:p>
      <w:pPr>
        <w:pStyle w:val="Heading4"/>
        <w:numPr>
          <w:ilvl w:val="3"/>
          <w:numId w:val="3"/>
        </w:numPr>
        <w:ind w:hanging="0" w:left="0"/>
        <w:rPr/>
      </w:pPr>
      <w:r>
        <w:rPr>
          <w:rStyle w:val="Strong"/>
          <w:b/>
          <w:bCs/>
        </w:rPr>
        <w:t>Corollaire 2.1 (Inviolabilité patrimoniale).</w:t>
      </w:r>
    </w:p>
    <w:p>
      <w:pPr>
        <w:pStyle w:val="BodyText"/>
        <w:rPr/>
      </w:pPr>
      <w:r>
        <w:rPr/>
        <w:t>Le CNP est isolé cryptographiquement du reste du système.</w:t>
      </w:r>
    </w:p>
    <w:p>
      <w:pPr>
        <w:pStyle w:val="BodyText"/>
        <w:rPr/>
      </w:pPr>
      <w:r>
        <w:rPr/>
        <w:t xml:space="preserve">Aucune transaction ne peut être effectuée depuis ou vers le CNP sans validation </w:t>
      </w:r>
      <w:r>
        <w:rPr>
          <w:rStyle w:val="Emphasis"/>
        </w:rPr>
        <w:t>EX</w:t>
      </w:r>
      <w:r>
        <w:rPr/>
        <w:t xml:space="preserve"> explicite du détenteur vivant ou, après décès, de l’exécuteur successoral désigné.</w:t>
      </w:r>
    </w:p>
    <w:p>
      <w:pPr>
        <w:pStyle w:val="BodyText"/>
        <w:rPr/>
      </w:pPr>
      <w:r>
        <w:rPr/>
        <w:t>Ainsi, le patrimoine vivant ne peut être ni exproprié, ni manipulé par un tiers sans preuve d’existence et de consentement vérifié.</w:t>
      </w:r>
    </w:p>
    <w:p>
      <w:pPr>
        <w:pStyle w:val="BodyText"/>
        <w:rPr/>
      </w:pPr>
      <w:r>
        <w:rPr/>
      </w:r>
    </w:p>
    <w:p>
      <w:pPr>
        <w:pStyle w:val="Heading3"/>
        <w:numPr>
          <w:ilvl w:val="0"/>
          <w:numId w:val="0"/>
        </w:numPr>
        <w:ind w:hanging="0" w:left="0"/>
        <w:rPr/>
      </w:pPr>
      <w:r>
        <w:rPr/>
        <w:t>2.4.2. Architecture fonctionnelle et typologie des NFT</w:t>
      </w:r>
    </w:p>
    <w:p>
      <w:pPr>
        <w:pStyle w:val="Heading4"/>
        <w:numPr>
          <w:ilvl w:val="3"/>
          <w:numId w:val="3"/>
        </w:numPr>
        <w:ind w:hanging="0" w:left="0"/>
        <w:rPr/>
      </w:pPr>
      <w:r>
        <w:rPr>
          <w:rStyle w:val="Strong"/>
          <w:b/>
          <w:bCs/>
        </w:rPr>
        <w:t>Axiome 2.2 (Structure interne du CNP).</w:t>
      </w:r>
    </w:p>
    <w:p>
      <w:pPr>
        <w:pStyle w:val="BodyText"/>
        <w:rPr/>
      </w:pPr>
      <w:r>
        <w:rPr/>
        <w:t>Le Compte NFT Privé est structuré selon une arborescence hiérarchique de jetons vivants, reflétant la nature organique et évolutive du patrimoine.</w:t>
      </w:r>
    </w:p>
    <w:p>
      <w:pPr>
        <w:pStyle w:val="BodyText"/>
        <w:rPr/>
      </w:pPr>
      <w:r>
        <w:rPr/>
        <w:t>Cette architecture repose sur trois niveaux de profondeur :</w:t>
      </w:r>
    </w:p>
    <w:p>
      <w:pPr>
        <w:pStyle w:val="BodyText"/>
        <w:numPr>
          <w:ilvl w:val="0"/>
          <w:numId w:val="44"/>
        </w:numPr>
        <w:tabs>
          <w:tab w:val="clear" w:pos="709"/>
          <w:tab w:val="left" w:pos="0" w:leader="none"/>
        </w:tabs>
        <w:ind w:hanging="283" w:left="709"/>
        <w:rPr/>
      </w:pPr>
      <w:r>
        <w:rPr>
          <w:rStyle w:val="Strong"/>
        </w:rPr>
        <w:t>Niveau racine (R)</w:t>
      </w:r>
      <w:r>
        <w:rPr/>
        <w:t xml:space="preserve"> : regroupe les catégories principales de biens, par exemple habitat, mobilité, instruments, œuvres ou participations.</w:t>
      </w:r>
    </w:p>
    <w:p>
      <w:pPr>
        <w:pStyle w:val="BodyText"/>
        <w:numPr>
          <w:ilvl w:val="0"/>
          <w:numId w:val="44"/>
        </w:numPr>
        <w:tabs>
          <w:tab w:val="clear" w:pos="709"/>
          <w:tab w:val="left" w:pos="0" w:leader="none"/>
        </w:tabs>
        <w:ind w:hanging="283" w:left="709"/>
        <w:rPr/>
      </w:pPr>
      <w:r>
        <w:rPr>
          <w:rStyle w:val="Strong"/>
        </w:rPr>
        <w:t>Niveau intermédiaire (I)</w:t>
      </w:r>
      <w:r>
        <w:rPr/>
        <w:t xml:space="preserve"> : détaille chaque catégorie selon des sous-ensembles fonctionnels, tels que « véhicules », « outils professionnels » ou « biens culturels ».</w:t>
      </w:r>
    </w:p>
    <w:p>
      <w:pPr>
        <w:pStyle w:val="BodyText"/>
        <w:numPr>
          <w:ilvl w:val="0"/>
          <w:numId w:val="44"/>
        </w:numPr>
        <w:tabs>
          <w:tab w:val="clear" w:pos="709"/>
          <w:tab w:val="left" w:pos="0" w:leader="none"/>
        </w:tabs>
        <w:ind w:hanging="283" w:left="709"/>
        <w:rPr/>
      </w:pPr>
      <w:r>
        <w:rPr>
          <w:rStyle w:val="Strong"/>
        </w:rPr>
        <w:t>Niveau feuille (F)</w:t>
      </w:r>
      <w:r>
        <w:rPr/>
        <w:t xml:space="preserve"> : contient les NFT individuels, unités patrimoniales élémentaires dotées d’un identifiant unique, d’un certificat d’origine et d’un historique complet des transactions.</w:t>
      </w:r>
    </w:p>
    <w:p>
      <w:pPr>
        <w:pStyle w:val="BodyText"/>
        <w:rPr/>
      </w:pPr>
      <w:r>
        <w:rPr/>
        <w:t>Cette structure permet une navigation ascendante et descendante au sein du patrimoine, facilitant l’analyse, la transmission et la certification de chaque bien.</w:t>
      </w:r>
    </w:p>
    <w:p>
      <w:pPr>
        <w:pStyle w:val="Heading4"/>
        <w:numPr>
          <w:ilvl w:val="3"/>
          <w:numId w:val="3"/>
        </w:numPr>
        <w:ind w:hanging="0" w:left="0"/>
        <w:rPr/>
      </w:pPr>
      <w:r>
        <w:rPr>
          <w:rStyle w:val="Strong"/>
          <w:b/>
          <w:bCs/>
        </w:rPr>
        <w:t>Définition 2.2 (NFT patrimonial).</w:t>
      </w:r>
    </w:p>
    <w:p>
      <w:pPr>
        <w:pStyle w:val="BodyText"/>
        <w:rPr/>
      </w:pPr>
      <w:r>
        <w:rPr/>
        <w:t>Un NFT patrimonial est un jeton non fongible représentant un bien matériel ou immatériel, physique ou symbolique, appartenant à un Compte Utilisateur.</w:t>
      </w:r>
    </w:p>
    <w:p>
      <w:pPr>
        <w:pStyle w:val="BodyText"/>
        <w:rPr/>
      </w:pPr>
      <w:r>
        <w:rPr/>
        <w:t>Chaque NFT patrimonial contient :</w:t>
      </w:r>
    </w:p>
    <w:p>
      <w:pPr>
        <w:pStyle w:val="BodyText"/>
        <w:numPr>
          <w:ilvl w:val="0"/>
          <w:numId w:val="45"/>
        </w:numPr>
        <w:tabs>
          <w:tab w:val="clear" w:pos="709"/>
          <w:tab w:val="left" w:pos="0" w:leader="none"/>
        </w:tabs>
        <w:ind w:hanging="283" w:left="709"/>
        <w:rPr/>
      </w:pPr>
      <w:r>
        <w:rPr/>
        <w:t>un identifiant unique (UUID) garantissant son unicité sur la DHT ;</w:t>
      </w:r>
    </w:p>
    <w:p>
      <w:pPr>
        <w:pStyle w:val="BodyText"/>
        <w:numPr>
          <w:ilvl w:val="0"/>
          <w:numId w:val="45"/>
        </w:numPr>
        <w:tabs>
          <w:tab w:val="clear" w:pos="709"/>
          <w:tab w:val="left" w:pos="0" w:leader="none"/>
        </w:tabs>
        <w:ind w:hanging="283" w:left="709"/>
        <w:rPr/>
      </w:pPr>
      <w:r>
        <w:rPr/>
        <w:t>un certificat d’authenticité lié à la transaction d’acquisition (</w:t>
      </w:r>
      <w:r>
        <w:rPr>
          <w:rStyle w:val="Emphasis"/>
        </w:rPr>
        <w:t>EX</w:t>
      </w:r>
      <w:r>
        <w:rPr/>
        <w:t>) ;</w:t>
      </w:r>
    </w:p>
    <w:p>
      <w:pPr>
        <w:pStyle w:val="BodyText"/>
        <w:numPr>
          <w:ilvl w:val="0"/>
          <w:numId w:val="45"/>
        </w:numPr>
        <w:tabs>
          <w:tab w:val="clear" w:pos="709"/>
          <w:tab w:val="left" w:pos="0" w:leader="none"/>
        </w:tabs>
        <w:ind w:hanging="283" w:left="709"/>
        <w:rPr/>
      </w:pPr>
      <w:r>
        <w:rPr/>
        <w:t>une empreinte cryptographique retraçant l’origine, la valeur d’acquisition, les</w:t>
      </w:r>
    </w:p>
    <w:p>
      <w:pPr>
        <w:pStyle w:val="BodyText"/>
        <w:numPr>
          <w:ilvl w:val="0"/>
          <w:numId w:val="0"/>
        </w:numPr>
        <w:ind w:hanging="0" w:left="0"/>
        <w:rPr/>
      </w:pPr>
      <w:r>
        <w:rPr/>
        <w:t>transformations et la date de transfert éventuelle.</w:t>
      </w:r>
    </w:p>
    <w:p>
      <w:pPr>
        <w:pStyle w:val="Heading4"/>
        <w:numPr>
          <w:ilvl w:val="3"/>
          <w:numId w:val="3"/>
        </w:numPr>
        <w:ind w:hanging="0" w:left="0"/>
        <w:rPr/>
      </w:pPr>
      <w:r>
        <w:rPr>
          <w:rStyle w:val="Strong"/>
          <w:b/>
          <w:bCs/>
        </w:rPr>
        <w:t>Proposition 2.2 (Typologie des NFT).</w:t>
      </w:r>
    </w:p>
    <w:p>
      <w:pPr>
        <w:pStyle w:val="BodyText"/>
        <w:rPr/>
      </w:pPr>
      <w:r>
        <w:rPr/>
        <w:t>Le CNP distingue trois grandes catégories de NFT selon leur fonction économique :</w:t>
      </w:r>
    </w:p>
    <w:p>
      <w:pPr>
        <w:pStyle w:val="BodyText"/>
        <w:numPr>
          <w:ilvl w:val="0"/>
          <w:numId w:val="46"/>
        </w:numPr>
        <w:tabs>
          <w:tab w:val="clear" w:pos="709"/>
          <w:tab w:val="left" w:pos="0" w:leader="none"/>
        </w:tabs>
        <w:ind w:hanging="283" w:left="709"/>
        <w:rPr/>
      </w:pPr>
      <w:r>
        <w:rPr>
          <w:rStyle w:val="Strong"/>
        </w:rPr>
        <w:t>NFT durables</w:t>
      </w:r>
      <w:r>
        <w:rPr/>
        <w:t>, représentant les biens matériels à usage prolongé (logement, véhicule, équipement).</w:t>
      </w:r>
    </w:p>
    <w:p>
      <w:pPr>
        <w:pStyle w:val="BodyText"/>
        <w:numPr>
          <w:ilvl w:val="0"/>
          <w:numId w:val="46"/>
        </w:numPr>
        <w:tabs>
          <w:tab w:val="clear" w:pos="709"/>
          <w:tab w:val="left" w:pos="0" w:leader="none"/>
        </w:tabs>
        <w:ind w:hanging="283" w:left="709"/>
        <w:rPr/>
      </w:pPr>
      <w:r>
        <w:rPr>
          <w:rStyle w:val="Strong"/>
        </w:rPr>
        <w:t>NFT consommables</w:t>
      </w:r>
      <w:r>
        <w:rPr/>
        <w:t>, représentant les biens ou services éphémères, détruits après usage (alimentation, énergie, transport).</w:t>
      </w:r>
    </w:p>
    <w:p>
      <w:pPr>
        <w:pStyle w:val="BodyText"/>
        <w:numPr>
          <w:ilvl w:val="0"/>
          <w:numId w:val="46"/>
        </w:numPr>
        <w:tabs>
          <w:tab w:val="clear" w:pos="709"/>
          <w:tab w:val="left" w:pos="0" w:leader="none"/>
        </w:tabs>
        <w:ind w:hanging="283" w:left="709"/>
        <w:rPr/>
      </w:pPr>
      <w:r>
        <w:rPr>
          <w:rStyle w:val="Strong"/>
        </w:rPr>
        <w:t>NFT immatériels</w:t>
      </w:r>
      <w:r>
        <w:rPr/>
        <w:t>, représentant les biens intellectuels, artistiques ou symboliques (œuvres, brevets, licences, créations numériques).</w:t>
      </w:r>
    </w:p>
    <w:p>
      <w:pPr>
        <w:pStyle w:val="BodyText"/>
        <w:rPr/>
      </w:pPr>
      <w:r>
        <w:rPr/>
        <w:t>Cette typologie confère au CNP la capacité d’englober la totalité du spectre patrimonial d’un être vivant, depuis la consommation quotidienne jusqu’à la création artistique ou productive.</w:t>
      </w:r>
    </w:p>
    <w:p>
      <w:pPr>
        <w:pStyle w:val="Heading4"/>
        <w:numPr>
          <w:ilvl w:val="3"/>
          <w:numId w:val="3"/>
        </w:numPr>
        <w:ind w:hanging="0" w:left="0"/>
        <w:rPr/>
      </w:pPr>
      <w:r>
        <w:rPr>
          <w:rStyle w:val="Strong"/>
          <w:b/>
          <w:bCs/>
        </w:rPr>
        <w:t>Théorème 2.1 (Traçabilité intégrale).</w:t>
      </w:r>
    </w:p>
    <w:p>
      <w:pPr>
        <w:pStyle w:val="BodyText"/>
        <w:rPr/>
      </w:pPr>
      <w:r>
        <w:rPr/>
        <w:t>Chaque NFT enregistré dans un CNP conserve, sous forme de métadonnées immuables, les informations suivantes :</w:t>
      </w:r>
    </w:p>
    <w:p>
      <w:pPr>
        <w:pStyle w:val="BodyText"/>
        <w:numPr>
          <w:ilvl w:val="0"/>
          <w:numId w:val="47"/>
        </w:numPr>
        <w:tabs>
          <w:tab w:val="clear" w:pos="709"/>
          <w:tab w:val="left" w:pos="0" w:leader="none"/>
        </w:tabs>
        <w:ind w:hanging="283" w:left="709"/>
        <w:rPr/>
      </w:pPr>
      <w:r>
        <w:rPr/>
        <w:t>Origine de création ou d’acquisition ;</w:t>
      </w:r>
    </w:p>
    <w:p>
      <w:pPr>
        <w:pStyle w:val="BodyText"/>
        <w:numPr>
          <w:ilvl w:val="0"/>
          <w:numId w:val="47"/>
        </w:numPr>
        <w:tabs>
          <w:tab w:val="clear" w:pos="709"/>
          <w:tab w:val="left" w:pos="0" w:leader="none"/>
        </w:tabs>
        <w:ind w:hanging="283" w:left="709"/>
        <w:rPr/>
      </w:pPr>
      <w:r>
        <w:rPr/>
        <w:t>Identité cryptographique du créateur et de l’acquéreur ;</w:t>
      </w:r>
    </w:p>
    <w:p>
      <w:pPr>
        <w:pStyle w:val="BodyText"/>
        <w:numPr>
          <w:ilvl w:val="0"/>
          <w:numId w:val="47"/>
        </w:numPr>
        <w:tabs>
          <w:tab w:val="clear" w:pos="709"/>
          <w:tab w:val="left" w:pos="0" w:leader="none"/>
        </w:tabs>
        <w:ind w:hanging="283" w:left="709"/>
        <w:rPr/>
      </w:pPr>
      <w:r>
        <w:rPr/>
        <w:t>Historique complet des transformations successives (valeur initiale, ajouts, réparations, mutations) ;</w:t>
      </w:r>
    </w:p>
    <w:p>
      <w:pPr>
        <w:pStyle w:val="BodyText"/>
        <w:numPr>
          <w:ilvl w:val="0"/>
          <w:numId w:val="47"/>
        </w:numPr>
        <w:tabs>
          <w:tab w:val="clear" w:pos="709"/>
          <w:tab w:val="left" w:pos="0" w:leader="none"/>
        </w:tabs>
        <w:ind w:hanging="283" w:left="709"/>
        <w:rPr/>
      </w:pPr>
      <w:r>
        <w:rPr/>
        <w:t xml:space="preserve">Validation </w:t>
      </w:r>
      <w:r>
        <w:rPr>
          <w:rStyle w:val="Emphasis"/>
        </w:rPr>
        <w:t>EX</w:t>
      </w:r>
      <w:r>
        <w:rPr/>
        <w:t xml:space="preserve"> de chaque transfert ou modification ;</w:t>
      </w:r>
    </w:p>
    <w:p>
      <w:pPr>
        <w:pStyle w:val="BodyText"/>
        <w:numPr>
          <w:ilvl w:val="0"/>
          <w:numId w:val="47"/>
        </w:numPr>
        <w:tabs>
          <w:tab w:val="clear" w:pos="709"/>
          <w:tab w:val="left" w:pos="0" w:leader="none"/>
        </w:tabs>
        <w:ind w:hanging="283" w:left="709"/>
        <w:rPr/>
      </w:pPr>
      <w:r>
        <w:rPr/>
        <w:t>Empreinte temporelle (horodatage certifié sur la DHT).</w:t>
      </w:r>
    </w:p>
    <w:p>
      <w:pPr>
        <w:pStyle w:val="BodyText"/>
        <w:rPr/>
      </w:pPr>
      <w:r>
        <w:rPr/>
        <w:t>Cette traçabilité permet de remonter, pour tout bien, à la preuve d’effort initiale (Stipulat S) et à la transaction monétaire correspondante (U), assurant ainsi une continuité absolue entre la création et la détention de la valeur.</w:t>
      </w:r>
    </w:p>
    <w:p>
      <w:pPr>
        <w:pStyle w:val="Heading4"/>
        <w:numPr>
          <w:ilvl w:val="3"/>
          <w:numId w:val="3"/>
        </w:numPr>
        <w:ind w:hanging="0" w:left="0"/>
        <w:rPr/>
      </w:pPr>
      <w:r>
        <w:rPr>
          <w:rStyle w:val="Strong"/>
          <w:b/>
          <w:bCs/>
        </w:rPr>
        <w:t>Axiome 2.3 (Lisibilité intergénérationnelle).</w:t>
      </w:r>
    </w:p>
    <w:p>
      <w:pPr>
        <w:pStyle w:val="BodyText"/>
        <w:rPr/>
      </w:pPr>
      <w:r>
        <w:rPr/>
        <w:t>L’arborescence patrimoniale du CNP est conçue pour être lisible et transmissible à travers le temps.</w:t>
      </w:r>
    </w:p>
    <w:p>
      <w:pPr>
        <w:pStyle w:val="BodyText"/>
        <w:rPr/>
      </w:pPr>
      <w:r>
        <w:rPr/>
        <w:t>Les héritiers désignés peuvent accéder, après validation notariale sur la DHT, à la mémoire intégrale du patrimoine, comprenant non seulement les NFT actifs mais également les NFT archivés.</w:t>
      </w:r>
    </w:p>
    <w:p>
      <w:pPr>
        <w:pStyle w:val="Heading4"/>
        <w:numPr>
          <w:ilvl w:val="3"/>
          <w:numId w:val="3"/>
        </w:numPr>
        <w:ind w:hanging="0" w:left="0"/>
        <w:rPr/>
      </w:pPr>
      <w:r>
        <w:rPr>
          <w:rStyle w:val="Strong"/>
          <w:b/>
          <w:bCs/>
        </w:rPr>
        <w:t>Corollaire 2.2 (Continuité du vivant).</w:t>
      </w:r>
    </w:p>
    <w:p>
      <w:pPr>
        <w:pStyle w:val="BodyText"/>
        <w:rPr/>
      </w:pPr>
      <w:r>
        <w:rPr/>
        <w:t>Par cette conception, le CNP transforme la notion de propriété : elle n’est plus figée ni purement juridique, mais devient un processus vivant de mémoire et de transmission.</w:t>
      </w:r>
    </w:p>
    <w:p>
      <w:pPr>
        <w:pStyle w:val="BodyText"/>
        <w:rPr/>
      </w:pPr>
      <w:r>
        <w:rPr/>
        <w:t>Chaque bien conserve la trace de son origine, de ses transformations et de ses détenteurs successifs, inscrivant ainsi le patrimoine dans une chaîne de vie plutôt que dans une accumulation de possession.</w:t>
      </w:r>
    </w:p>
    <w:p>
      <w:pPr>
        <w:pStyle w:val="BodyText"/>
        <w:rPr/>
      </w:pPr>
      <w:r>
        <w:rPr/>
      </w:r>
    </w:p>
    <w:p>
      <w:pPr>
        <w:pStyle w:val="Heading3"/>
        <w:numPr>
          <w:ilvl w:val="2"/>
          <w:numId w:val="3"/>
        </w:numPr>
        <w:ind w:hanging="0" w:left="0"/>
        <w:rPr/>
      </w:pPr>
      <w:r>
        <w:rPr/>
        <w:t>2.4.3. Gestion patrimoniale et dynamique des NFT</w:t>
      </w:r>
    </w:p>
    <w:p>
      <w:pPr>
        <w:pStyle w:val="Heading4"/>
        <w:numPr>
          <w:ilvl w:val="3"/>
          <w:numId w:val="3"/>
        </w:numPr>
        <w:ind w:hanging="0" w:left="0"/>
        <w:rPr/>
      </w:pPr>
      <w:r>
        <w:rPr>
          <w:rStyle w:val="Strong"/>
          <w:b/>
          <w:bCs/>
        </w:rPr>
        <w:t>Axiome 2.4 (Patrimoine vivant).</w:t>
      </w:r>
    </w:p>
    <w:p>
      <w:pPr>
        <w:pStyle w:val="BodyText"/>
        <w:rPr/>
      </w:pPr>
      <w:r>
        <w:rPr/>
        <w:t>Le patrimoine d’un individu n’est pas une collection statique de biens mais un ensemble dynamique d’actifs vivants, constamment transformés, transférés ou régénérés.</w:t>
      </w:r>
    </w:p>
    <w:p>
      <w:pPr>
        <w:pStyle w:val="BodyText"/>
        <w:rPr/>
      </w:pPr>
      <w:r>
        <w:rPr/>
        <w:t xml:space="preserve">Le Compte NFT Privé traduit cette dynamique en représentant chaque bien par un NFT évolutif, dont la valeur, l’état et l’usage peuvent être modifiés par des opérations vérifiées </w:t>
      </w:r>
      <w:r>
        <w:rPr>
          <w:rStyle w:val="Emphasis"/>
        </w:rPr>
        <w:t>EX</w:t>
      </w:r>
      <w:r>
        <w:rPr/>
        <w:t>.</w:t>
      </w:r>
    </w:p>
    <w:p>
      <w:pPr>
        <w:pStyle w:val="Heading4"/>
        <w:numPr>
          <w:ilvl w:val="3"/>
          <w:numId w:val="3"/>
        </w:numPr>
        <w:ind w:hanging="0" w:left="0"/>
        <w:rPr/>
      </w:pPr>
      <w:r>
        <w:rPr>
          <w:rStyle w:val="Strong"/>
          <w:b/>
          <w:bCs/>
        </w:rPr>
        <w:t>Proposition 2.3 (Cycle de vie patrimonial).</w:t>
      </w:r>
    </w:p>
    <w:p>
      <w:pPr>
        <w:pStyle w:val="BodyText"/>
        <w:rPr/>
      </w:pPr>
      <w:r>
        <w:rPr/>
        <w:t>Tout NFT patrimonial suit un cycle de vie complet comprenant quatre étapes :</w:t>
      </w:r>
    </w:p>
    <w:p>
      <w:pPr>
        <w:pStyle w:val="BodyText"/>
        <w:numPr>
          <w:ilvl w:val="0"/>
          <w:numId w:val="48"/>
        </w:numPr>
        <w:tabs>
          <w:tab w:val="clear" w:pos="709"/>
          <w:tab w:val="left" w:pos="0" w:leader="none"/>
        </w:tabs>
        <w:ind w:hanging="283" w:left="709"/>
        <w:rPr/>
      </w:pPr>
      <w:r>
        <w:rPr>
          <w:rStyle w:val="Strong"/>
        </w:rPr>
        <w:t>Création ou acquisition</w:t>
      </w:r>
      <w:r>
        <w:rPr/>
        <w:t>, lors d’un acte productif ou d’un échange validé.</w:t>
      </w:r>
    </w:p>
    <w:p>
      <w:pPr>
        <w:pStyle w:val="BodyText"/>
        <w:numPr>
          <w:ilvl w:val="0"/>
          <w:numId w:val="48"/>
        </w:numPr>
        <w:tabs>
          <w:tab w:val="clear" w:pos="709"/>
          <w:tab w:val="left" w:pos="0" w:leader="none"/>
        </w:tabs>
        <w:ind w:hanging="283" w:left="709"/>
        <w:rPr/>
      </w:pPr>
      <w:r>
        <w:rPr>
          <w:rStyle w:val="Strong"/>
        </w:rPr>
        <w:t>Usage et transformation</w:t>
      </w:r>
      <w:r>
        <w:rPr/>
        <w:t>, pendant la durée d’exploitation du bien, pouvant inclure des opérations d’entretien, de réparation ou d’amélioration.</w:t>
      </w:r>
    </w:p>
    <w:p>
      <w:pPr>
        <w:pStyle w:val="BodyText"/>
        <w:numPr>
          <w:ilvl w:val="0"/>
          <w:numId w:val="48"/>
        </w:numPr>
        <w:tabs>
          <w:tab w:val="clear" w:pos="709"/>
          <w:tab w:val="left" w:pos="0" w:leader="none"/>
        </w:tabs>
        <w:ind w:hanging="283" w:left="709"/>
        <w:rPr/>
      </w:pPr>
      <w:r>
        <w:rPr>
          <w:rStyle w:val="Strong"/>
        </w:rPr>
        <w:t>Transmission ou cession</w:t>
      </w:r>
      <w:r>
        <w:rPr/>
        <w:t>, à un autre utilisateur, avec transfert cryptographique de l’historique complet du NFT.</w:t>
      </w:r>
    </w:p>
    <w:p>
      <w:pPr>
        <w:pStyle w:val="BodyText"/>
        <w:numPr>
          <w:ilvl w:val="0"/>
          <w:numId w:val="48"/>
        </w:numPr>
        <w:tabs>
          <w:tab w:val="clear" w:pos="709"/>
          <w:tab w:val="left" w:pos="0" w:leader="none"/>
        </w:tabs>
        <w:ind w:hanging="283" w:left="709"/>
        <w:rPr/>
      </w:pPr>
      <w:r>
        <w:rPr>
          <w:rStyle w:val="Strong"/>
        </w:rPr>
        <w:t>Archivage</w:t>
      </w:r>
      <w:r>
        <w:rPr/>
        <w:t>, lorsque le bien est détruit, consommé ou désactivé, marquant la fin de son cycle vital.</w:t>
      </w:r>
    </w:p>
    <w:p>
      <w:pPr>
        <w:pStyle w:val="BodyText"/>
        <w:rPr/>
      </w:pPr>
      <w:r>
        <w:rPr/>
        <w:t>Chaque étape correspond à un état thermodynamique spécifique de la valeur vivante (V), reflétant la respiration patrimoniale du système : création, transformation, circulation et mémoire.</w:t>
      </w:r>
    </w:p>
    <w:p>
      <w:pPr>
        <w:pStyle w:val="Heading4"/>
        <w:numPr>
          <w:ilvl w:val="3"/>
          <w:numId w:val="3"/>
        </w:numPr>
        <w:ind w:hanging="0" w:left="0"/>
        <w:rPr/>
      </w:pPr>
      <w:r>
        <w:rPr>
          <w:rStyle w:val="Strong"/>
          <w:b/>
          <w:bCs/>
        </w:rPr>
        <w:t>Théorème 2.2 (Conservation énergétique du patrimoine).</w:t>
      </w:r>
    </w:p>
    <w:p>
      <w:pPr>
        <w:pStyle w:val="BodyText"/>
        <w:rPr/>
      </w:pPr>
      <w:r>
        <w:rPr/>
        <w:t>La somme des valeurs patrimoniales vivantes (V_pat) et archivées (V_arch) reste constante à tout instant :</w:t>
      </w:r>
    </w:p>
    <w:p>
      <w:pPr>
        <w:pStyle w:val="BodyText"/>
        <w:rPr/>
      </w:pPr>
      <w:r>
        <w:rPr/>
      </w:r>
    </w:p>
    <w:p>
      <w:pPr>
        <w:pStyle w:val="BodyText"/>
        <w:jc w:val="center"/>
        <w:rPr/>
      </w:pPr>
      <w:r>
        <w:rPr/>
        <w:t xml:space="preserve">Vtotal​=Vpat​+Varch​=constante </w:t>
      </w:r>
    </w:p>
    <w:p>
      <w:pPr>
        <w:pStyle w:val="BodyText"/>
        <w:rPr/>
      </w:pPr>
      <w:r>
        <w:rPr/>
      </w:r>
    </w:p>
    <w:p>
      <w:pPr>
        <w:pStyle w:val="BodyText"/>
        <w:rPr/>
      </w:pPr>
      <w:r>
        <w:rPr/>
        <w:t>Ainsi, la destruction d’un bien n’efface jamais sa mémoire : elle ne fait que déplacer sa valeur de l’espace vivant vers l’espace mémoriel.</w:t>
      </w:r>
    </w:p>
    <w:p>
      <w:pPr>
        <w:pStyle w:val="Heading4"/>
        <w:numPr>
          <w:ilvl w:val="3"/>
          <w:numId w:val="3"/>
        </w:numPr>
        <w:ind w:hanging="0" w:left="0"/>
        <w:rPr/>
      </w:pPr>
      <w:r>
        <w:rPr>
          <w:rStyle w:val="Strong"/>
          <w:b/>
          <w:bCs/>
        </w:rPr>
        <w:t>Corollaire 2.3 (Absence de perte informationnelle).</w:t>
      </w:r>
    </w:p>
    <w:p>
      <w:pPr>
        <w:pStyle w:val="BodyText"/>
        <w:rPr/>
      </w:pPr>
      <w:r>
        <w:rPr/>
        <w:t>Le CNP conserve, pour chaque NFT archivé, l’intégralité de son empreinte énergétique, assurant la traçabilité complète du patrimoine individuel.</w:t>
      </w:r>
    </w:p>
    <w:p>
      <w:pPr>
        <w:pStyle w:val="BodyText"/>
        <w:rPr/>
      </w:pPr>
      <w:r>
        <w:rPr/>
        <w:t>Cette conservation garantit que la valeur historique d’un bien même détruit demeure intégrée dans la mémoire collective du système.</w:t>
      </w:r>
    </w:p>
    <w:p>
      <w:pPr>
        <w:pStyle w:val="Heading4"/>
        <w:numPr>
          <w:ilvl w:val="3"/>
          <w:numId w:val="3"/>
        </w:numPr>
        <w:ind w:hanging="0" w:left="0"/>
        <w:rPr/>
      </w:pPr>
      <w:r>
        <w:rPr>
          <w:rStyle w:val="Strong"/>
          <w:b/>
          <w:bCs/>
        </w:rPr>
        <w:t>Proposition 2.4 (Mise à jour automatique).</w:t>
      </w:r>
    </w:p>
    <w:p>
      <w:pPr>
        <w:pStyle w:val="BodyText"/>
        <w:rPr/>
      </w:pPr>
      <w:r>
        <w:rPr/>
        <w:t>Toute modification d’un bien (réparation, amélioration, mutation) entraîne la création d’un NFT dérivé, lié cryptographiquement au précédent.</w:t>
      </w:r>
    </w:p>
    <w:p>
      <w:pPr>
        <w:pStyle w:val="BodyText"/>
        <w:rPr/>
      </w:pPr>
      <w:r>
        <w:rPr/>
        <w:t xml:space="preserve">L’ensemble de ces NFT forme une </w:t>
      </w:r>
      <w:r>
        <w:rPr>
          <w:rStyle w:val="Strong"/>
        </w:rPr>
        <w:t>chaîne de transformation</w:t>
      </w:r>
      <w:r>
        <w:rPr/>
        <w:t xml:space="preserve"> (NFT₁ → NFT₂ → NFT₃ …), assurant la continuité patrimoniale et la transparence des évolutions.</w:t>
      </w:r>
    </w:p>
    <w:p>
      <w:pPr>
        <w:pStyle w:val="Heading4"/>
        <w:numPr>
          <w:ilvl w:val="3"/>
          <w:numId w:val="3"/>
        </w:numPr>
        <w:ind w:hanging="0" w:left="0"/>
        <w:rPr/>
      </w:pPr>
      <w:r>
        <w:rPr>
          <w:rStyle w:val="Strong"/>
          <w:b/>
          <w:bCs/>
        </w:rPr>
        <w:t>Axiome 2.5 (Réversibilité contrôlée).</w:t>
      </w:r>
    </w:p>
    <w:p>
      <w:pPr>
        <w:pStyle w:val="BodyText"/>
        <w:rPr/>
      </w:pPr>
      <w:r>
        <w:rPr/>
        <w:t xml:space="preserve">Un NFT archivé peut être réactivé uniquement si une preuve de restitution réelle (restauration du bien, reconstitution, réédition) est validée </w:t>
      </w:r>
      <w:r>
        <w:rPr>
          <w:rStyle w:val="Emphasis"/>
        </w:rPr>
        <w:t>EX</w:t>
      </w:r>
      <w:r>
        <w:rPr/>
        <w:t xml:space="preserve"> par un organisme reconnu.</w:t>
      </w:r>
    </w:p>
    <w:p>
      <w:pPr>
        <w:pStyle w:val="BodyText"/>
        <w:rPr/>
      </w:pPr>
      <w:r>
        <w:rPr/>
        <w:t>Cette réactivation conserve le lien avec les versions précédentes du NFT, garantissant la cohérence historique du patrimoine.</w:t>
      </w:r>
    </w:p>
    <w:p>
      <w:pPr>
        <w:pStyle w:val="BodyText"/>
        <w:rPr/>
      </w:pPr>
      <w:r>
        <w:rPr/>
      </w:r>
    </w:p>
    <w:p>
      <w:pPr>
        <w:pStyle w:val="Heading3"/>
        <w:numPr>
          <w:ilvl w:val="0"/>
          <w:numId w:val="0"/>
        </w:numPr>
        <w:ind w:hanging="0" w:left="0"/>
        <w:rPr/>
      </w:pPr>
      <w:r>
        <w:rPr/>
        <w:t>2.4.4. Succession, héritage et continuité patrimoniale</w:t>
      </w:r>
    </w:p>
    <w:p>
      <w:pPr>
        <w:pStyle w:val="Heading4"/>
        <w:numPr>
          <w:ilvl w:val="3"/>
          <w:numId w:val="3"/>
        </w:numPr>
        <w:ind w:hanging="0" w:left="0"/>
        <w:rPr/>
      </w:pPr>
      <w:r>
        <w:rPr>
          <w:rStyle w:val="Strong"/>
          <w:b/>
          <w:bCs/>
        </w:rPr>
        <w:t>Définition 2.3 (Testament cryptographique).</w:t>
      </w:r>
    </w:p>
    <w:p>
      <w:pPr>
        <w:pStyle w:val="BodyText"/>
        <w:rPr/>
      </w:pPr>
      <w:r>
        <w:rPr/>
        <w:t>Le testament cryptographique est un document numérique enregistré dans le CNP, désignant les héritiers légitimes du détenteur et les règles de transmission du patrimoine à son décès.</w:t>
      </w:r>
    </w:p>
    <w:p>
      <w:pPr>
        <w:pStyle w:val="BodyText"/>
        <w:rPr/>
      </w:pPr>
      <w:r>
        <w:rPr/>
        <w:t xml:space="preserve">Il est scellé par la signature </w:t>
      </w:r>
      <w:r>
        <w:rPr>
          <w:rStyle w:val="Emphasis"/>
        </w:rPr>
        <w:t>EX</w:t>
      </w:r>
      <w:r>
        <w:rPr/>
        <w:t xml:space="preserve"> du titulaire et conservé sous forme chiffrée sur la DHT, accessible uniquement à la Chambre administrative lors de l’activation de la procédure successorale.</w:t>
      </w:r>
    </w:p>
    <w:p>
      <w:pPr>
        <w:pStyle w:val="Heading4"/>
        <w:numPr>
          <w:ilvl w:val="3"/>
          <w:numId w:val="3"/>
        </w:numPr>
        <w:ind w:hanging="0" w:left="0"/>
        <w:rPr/>
      </w:pPr>
      <w:r>
        <w:rPr>
          <w:rStyle w:val="Strong"/>
          <w:b/>
          <w:bCs/>
        </w:rPr>
        <w:t>Axiome 2.6 (Activation post-mortem).</w:t>
      </w:r>
    </w:p>
    <w:p>
      <w:pPr>
        <w:pStyle w:val="BodyText"/>
        <w:rPr/>
      </w:pPr>
      <w:r>
        <w:rPr/>
        <w:t xml:space="preserve">À la disparition biologique du détenteur, confirmée par l’Oracle d’état civil, le CNP passe automatiquement en </w:t>
      </w:r>
      <w:r>
        <w:rPr>
          <w:rStyle w:val="Strong"/>
        </w:rPr>
        <w:t>mode successoral</w:t>
      </w:r>
      <w:r>
        <w:rPr/>
        <w:t>.</w:t>
      </w:r>
    </w:p>
    <w:p>
      <w:pPr>
        <w:pStyle w:val="BodyText"/>
        <w:rPr/>
      </w:pPr>
      <w:r>
        <w:rPr/>
        <w:t>Les clés de déchiffrement du testament cryptographique sont transmises à la Chambre administrative, qui procède à la distribution des NFT selon les volontés enregistrées ou, à défaut, selon la hiérarchie successorale par défaut.</w:t>
      </w:r>
    </w:p>
    <w:p>
      <w:pPr>
        <w:pStyle w:val="Heading4"/>
        <w:numPr>
          <w:ilvl w:val="3"/>
          <w:numId w:val="3"/>
        </w:numPr>
        <w:ind w:hanging="0" w:left="0"/>
        <w:rPr/>
      </w:pPr>
      <w:r>
        <w:rPr>
          <w:rStyle w:val="Strong"/>
          <w:b/>
          <w:bCs/>
        </w:rPr>
        <w:t>Proposition 2.5 (Transmission non fragmentaire).</w:t>
      </w:r>
    </w:p>
    <w:p>
      <w:pPr>
        <w:pStyle w:val="BodyText"/>
        <w:rPr/>
      </w:pPr>
      <w:r>
        <w:rPr/>
        <w:t>Le patrimoine n’est pas divisé en unités monétaires, mais transmis par ensembles cohérents de NFT.</w:t>
      </w:r>
    </w:p>
    <w:p>
      <w:pPr>
        <w:pStyle w:val="BodyText"/>
        <w:rPr/>
      </w:pPr>
      <w:r>
        <w:rPr/>
        <w:t>Ainsi, un bien indivisible (logement, œuvre, brevet) reste un NFT unique transféré intégralement à un héritier ou à une entité collective (coopérative, fondation, communauté).</w:t>
      </w:r>
    </w:p>
    <w:p>
      <w:pPr>
        <w:pStyle w:val="BodyText"/>
        <w:rPr/>
      </w:pPr>
      <w:r>
        <w:rPr/>
        <w:t>Cette transmission préserve la cohérence du patrimoine et empêche la déstructuration des ensembles productifs.</w:t>
      </w:r>
    </w:p>
    <w:p>
      <w:pPr>
        <w:pStyle w:val="Heading4"/>
        <w:numPr>
          <w:ilvl w:val="3"/>
          <w:numId w:val="3"/>
        </w:numPr>
        <w:ind w:hanging="0" w:left="0"/>
        <w:rPr/>
      </w:pPr>
      <w:r>
        <w:rPr>
          <w:rStyle w:val="Strong"/>
          <w:b/>
          <w:bCs/>
        </w:rPr>
        <w:t>Théorème 2.3 (Principe de continuité patrimoniale).</w:t>
      </w:r>
    </w:p>
    <w:p>
      <w:pPr>
        <w:pStyle w:val="BodyText"/>
        <w:rPr/>
      </w:pPr>
      <w:r>
        <w:rPr/>
        <w:t>Le patrimoine vivant d’un individu se prolonge après sa mort par la persistance du CNP, qui demeure actif tant que subsistent des NFT non transférés ou en attente de régénération.</w:t>
      </w:r>
    </w:p>
    <w:p>
      <w:pPr>
        <w:pStyle w:val="BodyText"/>
        <w:rPr/>
      </w:pPr>
      <w:r>
        <w:rPr/>
        <w:t>La valeur énergétique de ces NFT continue de participer à la régulation thermodynamique du système, garantissant la continuité du flux économique au-delà des cycles de vie individuels.</w:t>
      </w:r>
    </w:p>
    <w:p>
      <w:pPr>
        <w:pStyle w:val="Heading4"/>
        <w:numPr>
          <w:ilvl w:val="3"/>
          <w:numId w:val="3"/>
        </w:numPr>
        <w:ind w:hanging="0" w:left="0"/>
        <w:rPr/>
      </w:pPr>
      <w:r>
        <w:rPr>
          <w:rStyle w:val="Strong"/>
          <w:b/>
          <w:bCs/>
        </w:rPr>
        <w:t>Corollaire 2.4 (Mémoire collective du vivant).</w:t>
      </w:r>
    </w:p>
    <w:p>
      <w:pPr>
        <w:pStyle w:val="BodyText"/>
        <w:rPr/>
      </w:pPr>
      <w:r>
        <w:rPr/>
        <w:t>Les CNP archivés deviennent la mémoire historique de l’économie vivante.</w:t>
      </w:r>
    </w:p>
    <w:p>
      <w:pPr>
        <w:pStyle w:val="BodyText"/>
        <w:rPr/>
      </w:pPr>
      <w:r>
        <w:rPr/>
        <w:t>Ils permettent aux générations futures de retracer l’origine, la transformation et la transmission des biens qui composent leur environnement économique et culturel.</w:t>
      </w:r>
    </w:p>
    <w:p>
      <w:pPr>
        <w:pStyle w:val="BodyText"/>
        <w:rPr/>
      </w:pPr>
      <w:r>
        <w:rPr/>
        <w:t>Ainsi, l’économie IRIS incorpore la dimension temporelle du vivant : elle se souvient.</w:t>
      </w:r>
    </w:p>
    <w:p>
      <w:pPr>
        <w:pStyle w:val="Heading4"/>
        <w:numPr>
          <w:ilvl w:val="3"/>
          <w:numId w:val="3"/>
        </w:numPr>
        <w:ind w:hanging="0" w:left="0"/>
        <w:rPr/>
      </w:pPr>
      <w:r>
        <w:rPr>
          <w:rStyle w:val="Strong"/>
          <w:b/>
          <w:bCs/>
        </w:rPr>
        <w:t>Proposition 2.6 (Reprise par les héritiers).</w:t>
      </w:r>
    </w:p>
    <w:p>
      <w:pPr>
        <w:pStyle w:val="BodyText"/>
        <w:rPr/>
      </w:pPr>
      <w:r>
        <w:rPr/>
        <w:t>Chaque héritier reçoit les NFT attribués à son Compte Utilisateur, avec maintien intégral de leur historique.</w:t>
      </w:r>
    </w:p>
    <w:p>
      <w:pPr>
        <w:pStyle w:val="BodyText"/>
        <w:rPr/>
      </w:pPr>
      <w:r>
        <w:rPr/>
        <w:t>Le CNP d’origine reste conservé en mode « archive » sur la DHT, garantissant la transparence intergénérationnelle et la traçabilité des transmissions.</w:t>
      </w:r>
    </w:p>
    <w:p>
      <w:pPr>
        <w:pStyle w:val="Heading4"/>
        <w:numPr>
          <w:ilvl w:val="3"/>
          <w:numId w:val="3"/>
        </w:numPr>
        <w:ind w:hanging="0" w:left="0"/>
        <w:rPr/>
      </w:pPr>
      <w:r>
        <w:rPr>
          <w:rStyle w:val="Strong"/>
          <w:b/>
          <w:bCs/>
        </w:rPr>
        <w:t>Axiome 2.7 (Inviolabilité successorale).</w:t>
      </w:r>
    </w:p>
    <w:p>
      <w:pPr>
        <w:pStyle w:val="BodyText"/>
        <w:rPr/>
      </w:pPr>
      <w:r>
        <w:rPr/>
        <w:t>Aucun transfert post-mortem ne peut être modifié, annulé ou falsifié.</w:t>
      </w:r>
    </w:p>
    <w:p>
      <w:pPr>
        <w:pStyle w:val="BodyText"/>
        <w:rPr/>
      </w:pPr>
      <w:r>
        <w:rPr/>
        <w:t>Les NFT successifs sont signés par la Chambre administrative, enregistrés dans la DHT et vérifiables publiquement par tout nœud du réseau.</w:t>
      </w:r>
    </w:p>
    <w:p>
      <w:pPr>
        <w:pStyle w:val="BodyText"/>
        <w:rPr/>
      </w:pPr>
      <w:r>
        <w:rPr/>
        <w:t>Cette procédure rend la succession irréversible et incorruptible, remplaçant la validation notariale traditionnelle par une preuve décentralisée et cryptographiquement vérifiée.</w:t>
      </w:r>
    </w:p>
    <w:p>
      <w:pPr>
        <w:pStyle w:val="Heading2"/>
        <w:numPr>
          <w:ilvl w:val="0"/>
          <w:numId w:val="0"/>
        </w:numPr>
        <w:ind w:hanging="0" w:left="0"/>
        <w:rPr/>
      </w:pPr>
      <w:r>
        <w:rPr/>
        <w:t>2.5. Extinction et succession : cycle de vie du Compte Utilisateur</w:t>
      </w:r>
    </w:p>
    <w:p>
      <w:pPr>
        <w:pStyle w:val="BodyText"/>
        <w:rPr/>
      </w:pPr>
      <w:r>
        <w:rPr/>
      </w:r>
    </w:p>
    <w:p>
      <w:pPr>
        <w:pStyle w:val="Heading3"/>
        <w:numPr>
          <w:ilvl w:val="2"/>
          <w:numId w:val="3"/>
        </w:numPr>
        <w:ind w:hanging="0" w:left="0"/>
        <w:rPr/>
      </w:pPr>
      <w:r>
        <w:rPr/>
        <w:t>2.5.1. Principe d’extinction et continuité biologique</w:t>
      </w:r>
    </w:p>
    <w:p>
      <w:pPr>
        <w:pStyle w:val="Heading4"/>
        <w:numPr>
          <w:ilvl w:val="3"/>
          <w:numId w:val="3"/>
        </w:numPr>
        <w:ind w:hanging="0" w:left="0"/>
        <w:rPr/>
      </w:pPr>
      <w:r>
        <w:rPr>
          <w:rStyle w:val="Strong"/>
          <w:b/>
          <w:bCs/>
        </w:rPr>
        <w:t>Définition 2.1 (Extinction biologique).</w:t>
      </w:r>
    </w:p>
    <w:p>
      <w:pPr>
        <w:pStyle w:val="BodyText"/>
        <w:rPr/>
      </w:pPr>
      <w:r>
        <w:rPr/>
        <w:t>L’extinction désigne la désactivation définitive du Compte Utilisateur à la suite de la disparition biologique de son détenteur.</w:t>
      </w:r>
    </w:p>
    <w:p>
      <w:pPr>
        <w:pStyle w:val="BodyText"/>
        <w:rPr/>
      </w:pPr>
      <w:r>
        <w:rPr/>
        <w:t>Cette opération ne constitue pas une suppression mais une transition d’état : le Compte entre alors dans une phase de repos thermodynamique où ses actifs sont figés et protégés jusqu’à la finalisation de la succession.</w:t>
      </w:r>
    </w:p>
    <w:p>
      <w:pPr>
        <w:pStyle w:val="Heading4"/>
        <w:numPr>
          <w:ilvl w:val="3"/>
          <w:numId w:val="3"/>
        </w:numPr>
        <w:ind w:hanging="0" w:left="0"/>
        <w:rPr/>
      </w:pPr>
      <w:r>
        <w:rPr>
          <w:rStyle w:val="Strong"/>
          <w:b/>
          <w:bCs/>
        </w:rPr>
        <w:t>Axiome 2.1 (Principe de continuité du vivant).</w:t>
      </w:r>
    </w:p>
    <w:p>
      <w:pPr>
        <w:pStyle w:val="BodyText"/>
        <w:rPr/>
      </w:pPr>
      <w:r>
        <w:rPr/>
        <w:t>Dans le protocole IRIS, la mort biologique n’interrompt pas le flux de la valeur vivante.</w:t>
      </w:r>
    </w:p>
    <w:p>
      <w:pPr>
        <w:pStyle w:val="BodyText"/>
        <w:rPr/>
      </w:pPr>
      <w:r>
        <w:rPr/>
        <w:t>Les structures patrimoniales, mémorielles et contractuelles de l’utilisateur subsistent tant qu’elles demeurent énergétiquement actives, c’est-à-dire tant qu’elles participent encore à la régénération du système par leurs effets passés (contrats, NFT, valeurs archivées).</w:t>
      </w:r>
    </w:p>
    <w:p>
      <w:pPr>
        <w:pStyle w:val="BodyText"/>
        <w:rPr/>
      </w:pPr>
      <w:r>
        <w:rPr/>
        <w:t>Ainsi, la disparition physique d’un individu ne provoque jamais de rupture économique brutale : le système absorbe l’événement en conservant la mémoire et les interactions de l’utilisateur défunt au sein du réseau.</w:t>
      </w:r>
    </w:p>
    <w:p>
      <w:pPr>
        <w:pStyle w:val="Heading4"/>
        <w:numPr>
          <w:ilvl w:val="3"/>
          <w:numId w:val="3"/>
        </w:numPr>
        <w:ind w:hanging="0" w:left="0"/>
        <w:rPr/>
      </w:pPr>
      <w:r>
        <w:rPr>
          <w:rStyle w:val="Strong"/>
          <w:b/>
          <w:bCs/>
        </w:rPr>
        <w:t>Proposition 2.1 (Invariance thermodynamique).</w:t>
      </w:r>
    </w:p>
    <w:p>
      <w:pPr>
        <w:pStyle w:val="BodyText"/>
        <w:rPr/>
      </w:pPr>
      <w:r>
        <w:rPr/>
        <w:t>L’énergie économique d’un individu, représentée par la somme de ses valeurs vivantes et archivées, reste conservée au moment de l’extinction :</w:t>
      </w:r>
    </w:p>
    <w:p>
      <w:pPr>
        <w:pStyle w:val="BodyText"/>
        <w:rPr/>
      </w:pPr>
      <w:r>
        <w:rPr/>
      </w:r>
    </w:p>
    <w:p>
      <w:pPr>
        <w:pStyle w:val="BodyText"/>
        <w:jc w:val="center"/>
        <w:rPr/>
      </w:pPr>
      <w:r>
        <w:rPr/>
        <w:t xml:space="preserve">Vtotal,t0​​=Vtotal,t1​​ </w:t>
      </w:r>
    </w:p>
    <w:p>
      <w:pPr>
        <w:pStyle w:val="BodyText"/>
        <w:rPr/>
      </w:pPr>
      <w:r>
        <w:rPr/>
      </w:r>
    </w:p>
    <w:p>
      <w:pPr>
        <w:pStyle w:val="BodyText"/>
        <w:rPr/>
      </w:pPr>
      <w:r>
        <w:rPr/>
        <w:t>Cette invariance signifie qu’aucune création ni destruction de richesse n’accompagne la mort biologique.</w:t>
      </w:r>
    </w:p>
    <w:p>
      <w:pPr>
        <w:pStyle w:val="BodyText"/>
        <w:rPr/>
      </w:pPr>
      <w:r>
        <w:rPr/>
        <w:t>Le patrimoine entre simplement dans un état de latence, en attente de redistribution successorale.</w:t>
      </w:r>
    </w:p>
    <w:p>
      <w:pPr>
        <w:pStyle w:val="Heading4"/>
        <w:numPr>
          <w:ilvl w:val="3"/>
          <w:numId w:val="3"/>
        </w:numPr>
        <w:ind w:hanging="0" w:left="0"/>
        <w:rPr/>
      </w:pPr>
      <w:r>
        <w:rPr>
          <w:rStyle w:val="Strong"/>
          <w:b/>
          <w:bCs/>
        </w:rPr>
        <w:t>Corollaire 2.1 (Extinction douce).</w:t>
      </w:r>
    </w:p>
    <w:p>
      <w:pPr>
        <w:pStyle w:val="BodyText"/>
        <w:rPr/>
      </w:pPr>
      <w:r>
        <w:rPr/>
        <w:t>Le processus d’extinction est conçu pour être graduel et non coercitif.</w:t>
      </w:r>
    </w:p>
    <w:p>
      <w:pPr>
        <w:pStyle w:val="BodyText"/>
        <w:rPr/>
      </w:pPr>
      <w:r>
        <w:rPr/>
        <w:t>Les comptes inactifs durant plusieurs cycles successifs (T_inactif ≥ 6) déclenchent une vérification d’existence via l’Oracle d’état civil.</w:t>
      </w:r>
    </w:p>
    <w:p>
      <w:pPr>
        <w:pStyle w:val="BodyText"/>
        <w:rPr/>
      </w:pPr>
      <w:r>
        <w:rPr/>
        <w:t>Si l’inactivité est confirmée comme décès, la bascule en mode successoral s’opère automatiquement.</w:t>
      </w:r>
    </w:p>
    <w:p>
      <w:pPr>
        <w:pStyle w:val="Heading4"/>
        <w:numPr>
          <w:ilvl w:val="3"/>
          <w:numId w:val="3"/>
        </w:numPr>
        <w:ind w:hanging="0" w:left="0"/>
        <w:rPr/>
      </w:pPr>
      <w:r>
        <w:rPr>
          <w:rStyle w:val="Strong"/>
          <w:b/>
          <w:bCs/>
        </w:rPr>
        <w:t>Axiome 2.2 (Protection post-mortem).</w:t>
      </w:r>
    </w:p>
    <w:p>
      <w:pPr>
        <w:pStyle w:val="BodyText"/>
        <w:rPr/>
      </w:pPr>
      <w:r>
        <w:rPr/>
        <w:t>Durant la période de transition entre la mort biologique et la distribution successorale, le Compte Utilisateur est verrouillé.</w:t>
      </w:r>
    </w:p>
    <w:p>
      <w:pPr>
        <w:pStyle w:val="BodyText"/>
        <w:rPr/>
      </w:pPr>
      <w:r>
        <w:rPr/>
        <w:t>Aucune transaction, conversion ou retrait ne peut être effectué, garantissant la préservation intégrale du patrimoine jusqu’à validation officielle de la succession par la Chambre administrative.</w:t>
      </w:r>
    </w:p>
    <w:p>
      <w:pPr>
        <w:pStyle w:val="BodyText"/>
        <w:rPr/>
      </w:pPr>
      <w:r>
        <w:rPr/>
      </w:r>
    </w:p>
    <w:p>
      <w:pPr>
        <w:pStyle w:val="Heading3"/>
        <w:numPr>
          <w:ilvl w:val="0"/>
          <w:numId w:val="0"/>
        </w:numPr>
        <w:ind w:hanging="0" w:left="0"/>
        <w:rPr/>
      </w:pPr>
      <w:r>
        <w:rPr/>
        <w:t>2.5.2. Architecture du processus successoral</w:t>
      </w:r>
    </w:p>
    <w:p>
      <w:pPr>
        <w:pStyle w:val="Heading4"/>
        <w:numPr>
          <w:ilvl w:val="3"/>
          <w:numId w:val="3"/>
        </w:numPr>
        <w:ind w:hanging="0" w:left="0"/>
        <w:rPr/>
      </w:pPr>
      <w:r>
        <w:rPr>
          <w:rStyle w:val="Strong"/>
          <w:b/>
          <w:bCs/>
        </w:rPr>
        <w:t>Définition 2.2 (Processus successoral).</w:t>
      </w:r>
    </w:p>
    <w:p>
      <w:pPr>
        <w:pStyle w:val="BodyText"/>
        <w:rPr/>
      </w:pPr>
      <w:r>
        <w:rPr/>
        <w:t>Le processus successoral est la séquence d’opérations automatiques et vérifiées qui assure la transmission des NFT patrimoniaux, des contrats actifs et des droits d’usage du défunt vers ses héritiers ou bénéficiaires désignés.</w:t>
      </w:r>
    </w:p>
    <w:p>
      <w:pPr>
        <w:pStyle w:val="BodyText"/>
        <w:rPr/>
      </w:pPr>
      <w:r>
        <w:rPr/>
        <w:t>Ce processus repose sur trois couches interdépendantes :</w:t>
      </w:r>
    </w:p>
    <w:p>
      <w:pPr>
        <w:pStyle w:val="BodyText"/>
        <w:numPr>
          <w:ilvl w:val="0"/>
          <w:numId w:val="49"/>
        </w:numPr>
        <w:tabs>
          <w:tab w:val="clear" w:pos="709"/>
          <w:tab w:val="left" w:pos="0" w:leader="none"/>
        </w:tabs>
        <w:ind w:hanging="283" w:left="709"/>
        <w:rPr/>
      </w:pPr>
      <w:r>
        <w:rPr>
          <w:rStyle w:val="Strong"/>
        </w:rPr>
        <w:t>Couche juridique</w:t>
      </w:r>
      <w:r>
        <w:rPr/>
        <w:t xml:space="preserve"> : activation du testament cryptographique ou, à défaut, application du protocole de succession par défaut.</w:t>
      </w:r>
    </w:p>
    <w:p>
      <w:pPr>
        <w:pStyle w:val="BodyText"/>
        <w:numPr>
          <w:ilvl w:val="0"/>
          <w:numId w:val="49"/>
        </w:numPr>
        <w:tabs>
          <w:tab w:val="clear" w:pos="709"/>
          <w:tab w:val="left" w:pos="0" w:leader="none"/>
        </w:tabs>
        <w:ind w:hanging="283" w:left="709"/>
        <w:rPr/>
      </w:pPr>
      <w:r>
        <w:rPr>
          <w:rStyle w:val="Strong"/>
        </w:rPr>
        <w:t>Couche économique</w:t>
      </w:r>
      <w:r>
        <w:rPr/>
        <w:t xml:space="preserve"> : transfert des actifs vivants (NFT, (V), S) vers les Comptes Utilisateur des héritiers.</w:t>
      </w:r>
    </w:p>
    <w:p>
      <w:pPr>
        <w:pStyle w:val="BodyText"/>
        <w:numPr>
          <w:ilvl w:val="0"/>
          <w:numId w:val="49"/>
        </w:numPr>
        <w:tabs>
          <w:tab w:val="clear" w:pos="709"/>
          <w:tab w:val="left" w:pos="0" w:leader="none"/>
        </w:tabs>
        <w:ind w:hanging="283" w:left="709"/>
        <w:rPr/>
      </w:pPr>
      <w:r>
        <w:rPr>
          <w:rStyle w:val="Strong"/>
        </w:rPr>
        <w:t>Couche mémorielle</w:t>
      </w:r>
      <w:r>
        <w:rPr/>
        <w:t xml:space="preserve"> : conversion du Compte Utilisateur en Compte Archivistique (CA), assurant la conservation historique du patrimoine et des transactions.</w:t>
      </w:r>
    </w:p>
    <w:p>
      <w:pPr>
        <w:pStyle w:val="Heading4"/>
        <w:numPr>
          <w:ilvl w:val="3"/>
          <w:numId w:val="3"/>
        </w:numPr>
        <w:ind w:hanging="0" w:left="0"/>
        <w:rPr/>
      </w:pPr>
      <w:r>
        <w:rPr>
          <w:rStyle w:val="Strong"/>
          <w:b/>
          <w:bCs/>
        </w:rPr>
        <w:t>Axiome 2.3 (Non-duplication).</w:t>
      </w:r>
    </w:p>
    <w:p>
      <w:pPr>
        <w:pStyle w:val="BodyText"/>
        <w:rPr/>
      </w:pPr>
      <w:r>
        <w:rPr/>
        <w:t>Aucun NFT ne peut être dupliqué au cours de la succession.</w:t>
      </w:r>
    </w:p>
    <w:p>
      <w:pPr>
        <w:pStyle w:val="BodyText"/>
        <w:rPr/>
      </w:pPr>
      <w:r>
        <w:rPr/>
        <w:t>Chaque bien transmis conserve son identifiant unique et son historique intégral, garantissant la continuité de la chaîne de possession.</w:t>
      </w:r>
    </w:p>
    <w:p>
      <w:pPr>
        <w:pStyle w:val="Heading4"/>
        <w:numPr>
          <w:ilvl w:val="3"/>
          <w:numId w:val="3"/>
        </w:numPr>
        <w:ind w:hanging="0" w:left="0"/>
        <w:rPr/>
      </w:pPr>
      <w:r>
        <w:rPr>
          <w:rStyle w:val="Strong"/>
          <w:b/>
          <w:bCs/>
        </w:rPr>
        <w:t>Proposition 2.2 (Rôle de la Chambre administrative).</w:t>
      </w:r>
    </w:p>
    <w:p>
      <w:pPr>
        <w:pStyle w:val="BodyText"/>
        <w:rPr/>
      </w:pPr>
      <w:r>
        <w:rPr/>
        <w:t>La Chambre administrative agit comme arbitre neutre et automate décentralisé chargé de vérifier la conformité des transmissions.</w:t>
      </w:r>
    </w:p>
    <w:p>
      <w:pPr>
        <w:pStyle w:val="BodyText"/>
        <w:rPr/>
      </w:pPr>
      <w:r>
        <w:rPr/>
        <w:t>Elle :</w:t>
      </w:r>
    </w:p>
    <w:p>
      <w:pPr>
        <w:pStyle w:val="BodyText"/>
        <w:numPr>
          <w:ilvl w:val="0"/>
          <w:numId w:val="50"/>
        </w:numPr>
        <w:tabs>
          <w:tab w:val="clear" w:pos="709"/>
          <w:tab w:val="left" w:pos="0" w:leader="none"/>
        </w:tabs>
        <w:ind w:hanging="283" w:left="709"/>
        <w:rPr/>
      </w:pPr>
      <w:r>
        <w:rPr/>
        <w:t>valide la disparition biologique via les oracles publics ;</w:t>
      </w:r>
    </w:p>
    <w:p>
      <w:pPr>
        <w:pStyle w:val="BodyText"/>
        <w:numPr>
          <w:ilvl w:val="0"/>
          <w:numId w:val="50"/>
        </w:numPr>
        <w:tabs>
          <w:tab w:val="clear" w:pos="709"/>
          <w:tab w:val="left" w:pos="0" w:leader="none"/>
        </w:tabs>
        <w:ind w:hanging="283" w:left="709"/>
        <w:rPr/>
      </w:pPr>
      <w:r>
        <w:rPr/>
        <w:t>déchiffre le testament cryptographique si présent ;</w:t>
      </w:r>
    </w:p>
    <w:p>
      <w:pPr>
        <w:pStyle w:val="BodyText"/>
        <w:numPr>
          <w:ilvl w:val="0"/>
          <w:numId w:val="50"/>
        </w:numPr>
        <w:tabs>
          <w:tab w:val="clear" w:pos="709"/>
          <w:tab w:val="left" w:pos="0" w:leader="none"/>
        </w:tabs>
        <w:ind w:hanging="283" w:left="709"/>
        <w:rPr/>
      </w:pPr>
      <w:r>
        <w:rPr/>
        <w:t>distribue les actifs selon les règles établies ;</w:t>
      </w:r>
    </w:p>
    <w:p>
      <w:pPr>
        <w:pStyle w:val="BodyText"/>
        <w:numPr>
          <w:ilvl w:val="0"/>
          <w:numId w:val="50"/>
        </w:numPr>
        <w:tabs>
          <w:tab w:val="clear" w:pos="709"/>
          <w:tab w:val="left" w:pos="0" w:leader="none"/>
        </w:tabs>
        <w:ind w:hanging="283" w:left="709"/>
        <w:rPr/>
      </w:pPr>
      <w:r>
        <w:rPr/>
        <w:t>archive le Compte Utilisateur en Compte de Mémoire (CM).</w:t>
      </w:r>
    </w:p>
    <w:p>
      <w:pPr>
        <w:pStyle w:val="BodyText"/>
        <w:rPr/>
      </w:pPr>
      <w:r>
        <w:rPr/>
        <w:t>Cette instance ne détient aucun pouvoir discrétionnaire : elle exécute uniquement les règles codifiées et validées par le protocole.</w:t>
      </w:r>
    </w:p>
    <w:p>
      <w:pPr>
        <w:pStyle w:val="Heading4"/>
        <w:numPr>
          <w:ilvl w:val="3"/>
          <w:numId w:val="3"/>
        </w:numPr>
        <w:ind w:hanging="0" w:left="0"/>
        <w:rPr/>
      </w:pPr>
      <w:r>
        <w:rPr>
          <w:rStyle w:val="Strong"/>
          <w:b/>
          <w:bCs/>
        </w:rPr>
        <w:t>Théorème 2.1 (Conservation du flux vivant).</w:t>
      </w:r>
    </w:p>
    <w:p>
      <w:pPr>
        <w:pStyle w:val="BodyText"/>
        <w:rPr/>
      </w:pPr>
      <w:r>
        <w:rPr/>
        <w:t>La somme des valeurs transmises aux héritiers (V_trans) est strictement égale à la valeur totale du Compte défunt (V_total).</w:t>
      </w:r>
    </w:p>
    <w:p>
      <w:pPr>
        <w:pStyle w:val="BodyText"/>
        <w:rPr/>
      </w:pPr>
      <w:r>
        <w:rPr/>
        <w:t>Aucune perte n’est enregistrée dans le processus :</w:t>
      </w:r>
    </w:p>
    <w:p>
      <w:pPr>
        <w:pStyle w:val="BodyText"/>
        <w:rPr/>
      </w:pPr>
      <w:r>
        <w:rPr/>
      </w:r>
    </w:p>
    <w:p>
      <w:pPr>
        <w:pStyle w:val="BodyText"/>
        <w:jc w:val="center"/>
        <w:rPr/>
      </w:pPr>
      <w:r>
        <w:rPr/>
        <w:t xml:space="preserve">heˊritiers∑​Vtrans​=Vtotal,defunt​ </w:t>
      </w:r>
    </w:p>
    <w:p>
      <w:pPr>
        <w:pStyle w:val="BodyText"/>
        <w:rPr/>
      </w:pPr>
      <w:r>
        <w:rPr/>
      </w:r>
    </w:p>
    <w:p>
      <w:pPr>
        <w:pStyle w:val="BodyText"/>
        <w:rPr/>
      </w:pPr>
      <w:r>
        <w:rPr/>
        <w:t>Cette équation garantit la conservation intégrale de la richesse vivante dans le passage intergénérationnel.</w:t>
      </w:r>
    </w:p>
    <w:p>
      <w:pPr>
        <w:pStyle w:val="Heading4"/>
        <w:numPr>
          <w:ilvl w:val="3"/>
          <w:numId w:val="3"/>
        </w:numPr>
        <w:ind w:hanging="0" w:left="0"/>
        <w:rPr/>
      </w:pPr>
      <w:r>
        <w:rPr>
          <w:rStyle w:val="Strong"/>
          <w:b/>
          <w:bCs/>
        </w:rPr>
        <w:t>Corollaire 2.2 (Neutralité énergétique).</w:t>
      </w:r>
    </w:p>
    <w:p>
      <w:pPr>
        <w:pStyle w:val="BodyText"/>
        <w:rPr/>
      </w:pPr>
      <w:r>
        <w:rPr/>
        <w:t>Le processus de succession ne génère ni création ni destruction monétaire.</w:t>
      </w:r>
    </w:p>
    <w:p>
      <w:pPr>
        <w:pStyle w:val="BodyText"/>
        <w:rPr/>
      </w:pPr>
      <w:r>
        <w:rPr/>
        <w:t>Il opère une simple redistribution des flux existants, assurant la continuité du métabolisme collectif sans déséquilibre du système.</w:t>
      </w:r>
    </w:p>
    <w:p>
      <w:pPr>
        <w:pStyle w:val="Heading4"/>
        <w:numPr>
          <w:ilvl w:val="3"/>
          <w:numId w:val="3"/>
        </w:numPr>
        <w:ind w:hanging="0" w:left="0"/>
        <w:rPr/>
      </w:pPr>
      <w:r>
        <w:rPr>
          <w:rStyle w:val="Strong"/>
          <w:b/>
          <w:bCs/>
        </w:rPr>
        <w:t>Axiome 2.4 (Transparence vérifiable).</w:t>
      </w:r>
    </w:p>
    <w:p>
      <w:pPr>
        <w:pStyle w:val="BodyText"/>
        <w:rPr/>
      </w:pPr>
      <w:r>
        <w:rPr/>
        <w:t>Chaque étape de la succession identification, déchiffrement, transfert, archivage est enregistrée sous forme de preuve cryptographique dans la DHT publique.</w:t>
      </w:r>
    </w:p>
    <w:p>
      <w:pPr>
        <w:pStyle w:val="BodyText"/>
        <w:rPr/>
      </w:pPr>
      <w:r>
        <w:rPr/>
        <w:t>Toute tentative d’altération serait immédiatement détectable par le réseau, rendant la falsification successorale impossible.</w:t>
      </w:r>
    </w:p>
    <w:p>
      <w:pPr>
        <w:pStyle w:val="BodyText"/>
        <w:rPr/>
      </w:pPr>
      <w:r>
        <w:rPr/>
      </w:r>
    </w:p>
    <w:p>
      <w:pPr>
        <w:pStyle w:val="BodyText"/>
        <w:rPr/>
      </w:pPr>
      <w:r>
        <w:rPr/>
      </w:r>
    </w:p>
    <w:p>
      <w:pPr>
        <w:pStyle w:val="BodyText"/>
        <w:rPr/>
      </w:pPr>
      <w:r>
        <w:rPr/>
      </w:r>
    </w:p>
    <w:p>
      <w:pPr>
        <w:pStyle w:val="Heading2"/>
        <w:numPr>
          <w:ilvl w:val="0"/>
          <w:numId w:val="0"/>
        </w:numPr>
        <w:ind w:hanging="0" w:left="0"/>
        <w:rPr/>
      </w:pPr>
      <w:r>
        <w:rPr/>
        <w:t>CHAPITRE III. L'EXCHANGE MOTEUR DE LA RESPIRATION ÉCONOMIQUE</w:t>
      </w:r>
    </w:p>
    <w:p>
      <w:pPr>
        <w:pStyle w:val="BodyText"/>
        <w:rPr/>
      </w:pPr>
      <w:r>
        <w:rPr/>
      </w:r>
    </w:p>
    <w:p>
      <w:pPr>
        <w:pStyle w:val="BodyText"/>
        <w:rPr/>
      </w:pPr>
      <w:r>
        <w:rPr/>
        <w:t>À l'issue du chapitre précédent, le Compte Utilisateur et le Compte Entreprise ont permis de formaliser la circulation organique de la valeur vivante (V), de la monnaie d'usage (U) et du travail prouvé (S). Ces entités incarnent les organes vitaux du système IRIS : elles produisent, convertissent et conservent la valeur au sein d'une économie décentralisée, vérifiable et énergétiquement neutre.</w:t>
      </w:r>
    </w:p>
    <w:p>
      <w:pPr>
        <w:pStyle w:val="BodyText"/>
        <w:rPr/>
      </w:pPr>
      <w:r>
        <w:rPr/>
        <w:t>Cependant, cette vitalité systémique ne saurait être stable sans un mécanisme de régulation homéostatique chargé de maintenir l'équilibre entre les actes productifs, la circulation monétaire et la mémoire patrimoniale. Ce rôle revient à l'Exchange, véritable système nerveux et respiratoire de l'économie IRIS.</w:t>
      </w:r>
    </w:p>
    <w:p>
      <w:pPr>
        <w:pStyle w:val="BodyText"/>
        <w:rPr/>
      </w:pPr>
      <w:r>
        <w:rPr/>
        <w:t>L'Exchange n'est pas un organe de possession, mais un organe de synchronisation : il règle les flux, module les coefficients et ajuste les paramètres pour garantir la cohérence thermodynamique du système. Il constitue le point d'articulation entre la création (S + U → V), la conversion (V → U) et la régénération (CR), tout en assurant que la somme des valeurs reste constante dans le temps.</w:t>
      </w:r>
    </w:p>
    <w:p>
      <w:pPr>
        <w:pStyle w:val="BodyText"/>
        <w:rPr/>
      </w:pPr>
      <w:r>
        <w:rPr/>
        <w:t>Cette régulation s'opère selon une architecture évolutive à trois couches, garantissant à la fois la robustesse au démarrage et l'adaptabilité à long terme. Comme un organisme vivant qui développe progressivement ses capacités respiratoires, l'Exchange commence par des mécanismes simples et universels, puis déploie des sophistications sectorielles et des leviers d'urgence selon les besoins réels du système.</w:t>
      </w:r>
    </w:p>
    <w:p>
      <w:pPr>
        <w:pStyle w:val="BodyText"/>
        <w:rPr/>
      </w:pPr>
      <w:r>
        <w:rPr/>
      </w:r>
    </w:p>
    <w:p>
      <w:pPr>
        <w:pStyle w:val="Heading2"/>
        <w:numPr>
          <w:ilvl w:val="1"/>
          <w:numId w:val="3"/>
        </w:numPr>
        <w:spacing w:before="102" w:after="68"/>
        <w:rPr/>
      </w:pPr>
      <w:r>
        <w:rPr/>
        <w:t xml:space="preserve"> </w:t>
      </w:r>
      <w:r>
        <w:rPr/>
        <w:t>3.1. Architecture et neutralité du module Exchange.</w:t>
      </w:r>
    </w:p>
    <w:p>
      <w:pPr>
        <w:pStyle w:val="BodyText"/>
        <w:rPr/>
      </w:pPr>
      <w:r>
        <w:rPr/>
      </w:r>
    </w:p>
    <w:p>
      <w:pPr>
        <w:pStyle w:val="Heading3"/>
        <w:numPr>
          <w:ilvl w:val="2"/>
          <w:numId w:val="3"/>
        </w:numPr>
        <w:ind w:hanging="0" w:left="0"/>
        <w:rPr/>
      </w:pPr>
      <w:r>
        <w:rPr/>
        <w:t>3.1.1. Rôle systémique : le centre homéostatique</w:t>
      </w:r>
    </w:p>
    <w:p>
      <w:pPr>
        <w:pStyle w:val="BodyText"/>
        <w:rPr/>
      </w:pPr>
      <w:r>
        <w:rPr/>
      </w:r>
    </w:p>
    <w:p>
      <w:pPr>
        <w:pStyle w:val="BodyText"/>
        <w:rPr/>
      </w:pPr>
      <w:r>
        <w:rPr/>
        <w:t>L'Exchange constitue le centre de régulation homéostatique du protocole IRIS. Il relie et coordonne les cinq piliers fonctionnels du système :</w:t>
      </w:r>
    </w:p>
    <w:p>
      <w:pPr>
        <w:pStyle w:val="BodyText"/>
        <w:rPr/>
      </w:pPr>
      <w:r>
        <w:rPr/>
      </w:r>
    </w:p>
    <w:p>
      <w:pPr>
        <w:pStyle w:val="BodyText"/>
        <w:numPr>
          <w:ilvl w:val="0"/>
          <w:numId w:val="52"/>
        </w:numPr>
        <w:rPr/>
      </w:pPr>
      <w:r>
        <w:rPr/>
        <w:t>Les actes réels validés (EX) : les preuves d'unicité (TU/VC) et les signatures notariales qui attestent de l'effort humain et de la réalité des transactions. Sans cette validation cryptographique, aucun flux ne peut être reconnu par le système.</w:t>
      </w:r>
    </w:p>
    <w:p>
      <w:pPr>
        <w:pStyle w:val="BodyText"/>
        <w:numPr>
          <w:ilvl w:val="0"/>
          <w:numId w:val="0"/>
        </w:numPr>
        <w:ind w:hanging="0" w:left="720"/>
        <w:rPr/>
      </w:pPr>
      <w:r>
        <w:rPr/>
      </w:r>
    </w:p>
    <w:p>
      <w:pPr>
        <w:pStyle w:val="BodyText"/>
        <w:numPr>
          <w:ilvl w:val="0"/>
          <w:numId w:val="52"/>
        </w:numPr>
        <w:rPr/>
      </w:pPr>
      <w:r>
        <w:rPr/>
        <w:t>La mémoire et la circulation (V et U) : la valeur vivante (V) pour la conservation patrimoniale et la monnaie d'usage (U) pour la circulation de la richesse réelle. Ces deux formes de valeur ne sont jamais confondues : (V) est une mémoire durable, (U) est un flux périodique.</w:t>
      </w:r>
    </w:p>
    <w:p>
      <w:pPr>
        <w:pStyle w:val="BodyText"/>
        <w:numPr>
          <w:ilvl w:val="0"/>
          <w:numId w:val="0"/>
        </w:numPr>
        <w:ind w:hanging="0" w:left="720"/>
        <w:rPr/>
      </w:pPr>
      <w:r>
        <w:rPr/>
      </w:r>
    </w:p>
    <w:p>
      <w:pPr>
        <w:pStyle w:val="BodyText"/>
        <w:numPr>
          <w:ilvl w:val="0"/>
          <w:numId w:val="52"/>
        </w:numPr>
        <w:rPr/>
      </w:pPr>
      <w:r>
        <w:rPr/>
        <w:t>La gouvernance institutionnelle : la Chambre de Relance (CR) et la Chambre Mémorielle, Administrative et Législative, garantes de la cohérence et de la pérennité du protocole. L'Exchange dialogue en permanence avec ces instances pour ajuster ses paramètres.</w:t>
      </w:r>
    </w:p>
    <w:p>
      <w:pPr>
        <w:pStyle w:val="BodyText"/>
        <w:numPr>
          <w:ilvl w:val="0"/>
          <w:numId w:val="0"/>
        </w:numPr>
        <w:ind w:hanging="0" w:left="720"/>
        <w:rPr/>
      </w:pPr>
      <w:r>
        <w:rPr/>
      </w:r>
    </w:p>
    <w:p>
      <w:pPr>
        <w:pStyle w:val="BodyText"/>
        <w:numPr>
          <w:ilvl w:val="0"/>
          <w:numId w:val="52"/>
        </w:numPr>
        <w:rPr/>
      </w:pPr>
      <w:r>
        <w:rPr/>
        <w:t>Le Régulateur Automatique Décentralisé (RAD) et son passif thermométrique (D), l'indicateur global de la tension énergétique du système. (D) n'est pas une dette au sens classique, mais un signal de dissipation mesurant l'écart entre les promesses et la réalité.</w:t>
      </w:r>
    </w:p>
    <w:p>
      <w:pPr>
        <w:pStyle w:val="BodyText"/>
        <w:numPr>
          <w:ilvl w:val="0"/>
          <w:numId w:val="0"/>
        </w:numPr>
        <w:ind w:hanging="0" w:left="720"/>
        <w:rPr/>
      </w:pPr>
      <w:r>
        <w:rPr/>
      </w:r>
    </w:p>
    <w:p>
      <w:pPr>
        <w:pStyle w:val="BodyText"/>
        <w:numPr>
          <w:ilvl w:val="0"/>
          <w:numId w:val="52"/>
        </w:numPr>
        <w:rPr/>
      </w:pPr>
      <w:r>
        <w:rPr/>
        <w:t>Le Registre de Combustion : l'endroit où s'opèrent les extinctions de flux (burns de (U), de (S), et les conversions (V) ↔ U), la clé de la neutralité énergétique. Chaque combustion est une preuve de transformation réelle, enregistrée de manière indélébile.</w:t>
      </w:r>
    </w:p>
    <w:p>
      <w:pPr>
        <w:pStyle w:val="BodyText"/>
        <w:rPr/>
      </w:pPr>
      <w:r>
        <w:rPr/>
      </w:r>
    </w:p>
    <w:p>
      <w:pPr>
        <w:pStyle w:val="BodyText"/>
        <w:rPr/>
      </w:pPr>
      <w:r>
        <w:rPr/>
        <w:t>L'Exchange agit donc comme une centrale de respiration économique, synchronisant les rythmes vitaux du système sans jamais produire de valeur propre. Il est au protocole IRIS ce que le système nerveux autonome est au corps humain : une instance de régulation involontaire, automatique et vitale.</w:t>
      </w:r>
    </w:p>
    <w:p>
      <w:pPr>
        <w:pStyle w:val="BodyText"/>
        <w:rPr/>
      </w:pPr>
      <w:r>
        <w:rPr/>
      </w:r>
    </w:p>
    <w:p>
      <w:pPr>
        <w:pStyle w:val="Heading3"/>
        <w:numPr>
          <w:ilvl w:val="2"/>
          <w:numId w:val="3"/>
        </w:numPr>
        <w:ind w:hanging="0" w:left="0"/>
        <w:rPr/>
      </w:pPr>
      <w:r>
        <w:rPr/>
        <w:t xml:space="preserve"> </w:t>
      </w:r>
      <w:r>
        <w:rPr/>
        <w:t>3.1.2. Neutralité et cadre énergétique</w:t>
      </w:r>
    </w:p>
    <w:p>
      <w:pPr>
        <w:pStyle w:val="BodyText"/>
        <w:rPr/>
      </w:pPr>
      <w:r>
        <w:rPr/>
      </w:r>
    </w:p>
    <w:p>
      <w:pPr>
        <w:pStyle w:val="Heading4"/>
        <w:numPr>
          <w:ilvl w:val="3"/>
          <w:numId w:val="3"/>
        </w:numPr>
        <w:spacing w:lineRule="auto" w:line="240" w:before="57" w:after="57"/>
        <w:rPr/>
      </w:pPr>
      <w:r>
        <w:rPr/>
        <w:t>Axiome 3.1 (Neutralité fondamentale de l'Exchange).</w:t>
      </w:r>
    </w:p>
    <w:p>
      <w:pPr>
        <w:pStyle w:val="BodyText"/>
        <w:rPr/>
      </w:pPr>
      <w:r>
        <w:rPr/>
        <w:t>L'Exchange ne détient aucun actif, ne crée aucune monnaie et n'intervient que pour équilibrer les flux prouvés.</w:t>
      </w:r>
    </w:p>
    <w:p>
      <w:pPr>
        <w:pStyle w:val="BodyText"/>
        <w:rPr/>
      </w:pPr>
      <w:r>
        <w:rPr/>
        <w:t>Contrairement à un système monétaire traditionnel où la valeur découle d'une dette bancaire (création monétaire par le crédit), l'Exchange ne reconnaît que l'effort réel et la preuve d'acte. Il n'émet jamais de monnaie ex nihilo : chaque unité (U) distribuée correspond exactement à une fraction de la valeur vivante V^(on) vérifiée sur la chaîne. Chaque valeur (V) créée résulte d'une combustion mesurable de (S) (effort) et (U) (usage).</w:t>
      </w:r>
    </w:p>
    <w:p>
      <w:pPr>
        <w:pStyle w:val="BodyText"/>
        <w:rPr/>
      </w:pPr>
      <w:r>
        <w:rPr/>
      </w:r>
    </w:p>
    <w:p>
      <w:pPr>
        <w:pStyle w:val="Heading4"/>
        <w:numPr>
          <w:ilvl w:val="3"/>
          <w:numId w:val="3"/>
        </w:numPr>
        <w:spacing w:lineRule="auto" w:line="240" w:before="57" w:after="57"/>
        <w:rPr/>
      </w:pPr>
      <w:r>
        <w:rPr/>
        <w:t>Définition 3.1 (Calibration initiale).</w:t>
      </w:r>
    </w:p>
    <w:p>
      <w:pPr>
        <w:pStyle w:val="BodyText"/>
        <w:rPr/>
      </w:pPr>
      <w:r>
        <w:rPr/>
        <w:t>À l'initialisation du système, l'Oracle d'Initialisation établit l'égalité fondamentale :</w:t>
      </w:r>
    </w:p>
    <w:p>
      <w:pPr>
        <w:pStyle w:val="BodyText"/>
        <w:rPr/>
      </w:pPr>
      <w:r>
        <w:rPr/>
      </w:r>
    </w:p>
    <w:p>
      <w:pPr>
        <w:pStyle w:val="BodyText"/>
        <w:jc w:val="center"/>
        <w:rPr/>
      </w:pPr>
      <w:r>
        <w:rPr/>
        <w:t>∑</w:t>
      </w:r>
      <w:r>
        <w:rPr/>
        <w:t>V₀ = ∑D₀</w:t>
      </w:r>
    </w:p>
    <w:p>
      <w:pPr>
        <w:pStyle w:val="BodyText"/>
        <w:rPr/>
      </w:pPr>
      <w:r>
        <w:rPr/>
      </w:r>
    </w:p>
    <w:p>
      <w:pPr>
        <w:pStyle w:val="BodyText"/>
        <w:rPr/>
      </w:pPr>
      <w:r>
        <w:rPr/>
        <w:t>Chaque bien migré depuis l'ancien monde génère simultanément une valeur V₀ et un miroir thermométrique D₀, garantissant la neutralité de départ. L'Exchange hérite de cet équilibre comme point de référence absolu.</w:t>
      </w:r>
    </w:p>
    <w:p>
      <w:pPr>
        <w:pStyle w:val="BodyText"/>
        <w:rPr/>
      </w:pPr>
      <w:r>
        <w:rPr/>
      </w:r>
    </w:p>
    <w:p>
      <w:pPr>
        <w:pStyle w:val="Heading4"/>
        <w:numPr>
          <w:ilvl w:val="3"/>
          <w:numId w:val="3"/>
        </w:numPr>
        <w:spacing w:lineRule="auto" w:line="240" w:before="57" w:after="57"/>
        <w:rPr/>
      </w:pPr>
      <w:r>
        <w:rPr/>
        <w:t>Proposition 3.1 (Avances productives).</w:t>
      </w:r>
    </w:p>
    <w:p>
      <w:pPr>
        <w:pStyle w:val="BodyText"/>
        <w:rPr/>
      </w:pPr>
      <w:r>
        <w:rPr/>
        <w:t>Lorsqu'un utilisateur engage son revenu futur (stacking) ou qu'une entreprise obtient un financement (TAP), l'invariance énergétique s'exprime par :</w:t>
      </w:r>
    </w:p>
    <w:p>
      <w:pPr>
        <w:pStyle w:val="BodyText"/>
        <w:rPr/>
      </w:pPr>
      <w:r>
        <w:rPr/>
      </w:r>
    </w:p>
    <w:p>
      <w:pPr>
        <w:pStyle w:val="BodyText"/>
        <w:jc w:val="center"/>
        <w:rPr/>
      </w:pPr>
      <w:r>
        <w:rPr/>
        <w:t>ΔD = ΔV^(avances)</w:t>
      </w:r>
    </w:p>
    <w:p>
      <w:pPr>
        <w:pStyle w:val="BodyText"/>
        <w:rPr/>
      </w:pPr>
      <w:r>
        <w:rPr/>
      </w:r>
    </w:p>
    <w:p>
      <w:pPr>
        <w:pStyle w:val="BodyText"/>
        <w:rPr/>
      </w:pPr>
      <w:r>
        <w:rPr/>
        <w:t>L'Exchange crédite immédiatement la valeur (V) correspondante. En contrepartie, un passif (D) équivalent est inscrit dans le RAD. Cette égalité stricte garantit qu'aucune richesse n'est créée par l'endettement : l'avance ne fait qu'anticiper une création future, qui devra être validée par des actes réels (burns de (U) et S).</w:t>
      </w:r>
    </w:p>
    <w:p>
      <w:pPr>
        <w:pStyle w:val="BodyText"/>
        <w:rPr/>
      </w:pPr>
      <w:r>
        <w:rPr/>
        <w:t>Hors de ces deux situations calibration initiale et avances productives le passif thermométrique (D) n'évolue que par les opérations de relance (CR) et les extinctions énergétiques (burns) associées. Chaque remboursement de stacking ou de TAP détruit exactement la quantité de (D) qui avait été créée lors de l'avance. Le système reste donc en équilibre dynamique permanent.</w:t>
      </w:r>
    </w:p>
    <w:p>
      <w:pPr>
        <w:pStyle w:val="BodyText"/>
        <w:rPr/>
      </w:pPr>
      <w:r>
        <w:rPr/>
      </w:r>
    </w:p>
    <w:p>
      <w:pPr>
        <w:pStyle w:val="Heading4"/>
        <w:numPr>
          <w:ilvl w:val="3"/>
          <w:numId w:val="3"/>
        </w:numPr>
        <w:spacing w:lineRule="auto" w:line="240" w:before="57" w:after="57"/>
        <w:rPr/>
      </w:pPr>
      <w:r>
        <w:rPr/>
        <w:t>Théorème 3.1 (Conservation énergétique globale).</w:t>
      </w:r>
    </w:p>
    <w:p>
      <w:pPr>
        <w:pStyle w:val="BodyText"/>
        <w:rPr/>
      </w:pPr>
      <w:r>
        <w:rPr/>
        <w:t>Dans le système IRIS, toute création de valeur doit être compensée par une dissipation équivalente, assurant la conservation énergétique du système.</w:t>
      </w:r>
    </w:p>
    <w:p>
      <w:pPr>
        <w:pStyle w:val="BodyText"/>
        <w:rPr/>
      </w:pPr>
      <w:r>
        <w:rPr/>
        <w:t>Ce cadre garantit que chaque variation de (D) traduit une transformation mesurable de la réalité : il ne peut exister de déséquilibre sans acte prouvé. La neutralité de l'Exchange ne relève pas d'une simple abstention comptable, mais d'un principe thermodynamique fondamental.</w:t>
      </w:r>
    </w:p>
    <w:p>
      <w:pPr>
        <w:pStyle w:val="BodyText"/>
        <w:rPr/>
      </w:pPr>
      <w:r>
        <w:rPr/>
      </w:r>
    </w:p>
    <w:p>
      <w:pPr>
        <w:pStyle w:val="Heading4"/>
        <w:numPr>
          <w:ilvl w:val="3"/>
          <w:numId w:val="3"/>
        </w:numPr>
        <w:spacing w:lineRule="auto" w:line="240" w:before="57" w:after="57"/>
        <w:rPr/>
      </w:pPr>
      <w:r>
        <w:rPr/>
        <w:t>Corollaire 3.1 (Absence de pression à la croissance infinie).</w:t>
      </w:r>
    </w:p>
    <w:p>
      <w:pPr>
        <w:pStyle w:val="BodyText"/>
        <w:rPr/>
      </w:pPr>
      <w:r>
        <w:rPr/>
        <w:t>Dans les systèmes monétaires classiques, la monnaie naît de la dette et disparaît par le remboursement, créant une pression systémique à la croissance infinie (puisque les intérêts exigent toujours plus de monnaie que celle initialement créée).</w:t>
      </w:r>
    </w:p>
    <w:p>
      <w:pPr>
        <w:pStyle w:val="BodyText"/>
        <w:rPr/>
      </w:pPr>
      <w:r>
        <w:rPr/>
        <w:t>Dans IRIS, la valeur naît de l'acte prouvé et se transforme selon des lois de conservation strictes. Aucune pression à la croissance n'existe : le système peut prospérer en régime stationnaire, où création et dissipation s'équilibrent naturellement.</w:t>
      </w:r>
    </w:p>
    <w:p>
      <w:pPr>
        <w:pStyle w:val="BodyText"/>
        <w:rPr/>
      </w:pPr>
      <w:r>
        <w:rPr/>
      </w:r>
    </w:p>
    <w:p>
      <w:pPr>
        <w:pStyle w:val="Heading3"/>
        <w:numPr>
          <w:ilvl w:val="2"/>
          <w:numId w:val="3"/>
        </w:numPr>
        <w:ind w:hanging="0" w:left="0"/>
        <w:rPr/>
      </w:pPr>
      <w:r>
        <w:rPr/>
        <w:t xml:space="preserve"> </w:t>
      </w:r>
      <w:r>
        <w:rPr/>
        <w:t>3.1.3. Architecture de régulation à trois couches</w:t>
      </w:r>
    </w:p>
    <w:p>
      <w:pPr>
        <w:pStyle w:val="BodyText"/>
        <w:rPr/>
      </w:pPr>
      <w:r>
        <w:rPr/>
      </w:r>
    </w:p>
    <w:p>
      <w:pPr>
        <w:pStyle w:val="BodyText"/>
        <w:rPr/>
      </w:pPr>
      <w:r>
        <w:rPr/>
        <w:t>L'Exchange d'IRIS adopte une architecture modulaire permettant une évolution organique du système de régulation. Cette conception répond à deux impératifs apparemment contradictoires : d'une part, la simplicité opérationnelle nécessaire au démarrage d'un système économique décentralisé ; d'autre part, la sophistication progressive requise pour gérer la complexité croissante d'une économie mature.</w:t>
      </w:r>
    </w:p>
    <w:p>
      <w:pPr>
        <w:pStyle w:val="BodyText"/>
        <w:rPr/>
      </w:pPr>
      <w:r>
        <w:rPr/>
      </w:r>
    </w:p>
    <w:p>
      <w:pPr>
        <w:pStyle w:val="BodyText"/>
        <w:rPr/>
      </w:pPr>
      <w:r>
        <w:rPr/>
        <w:t>Plutôt que d'imposer dès l'origine une régulation complexe qui risquerait d'étouffer l'économie naissante, ou de rester figée dans des mécanismes simplistes inadaptés à la maturité, l'Exchange déploie trois couches fonctionnelles activables selon les besoins réels du système.</w:t>
      </w:r>
    </w:p>
    <w:p>
      <w:pPr>
        <w:pStyle w:val="BodyText"/>
        <w:rPr/>
      </w:pPr>
      <w:r>
        <w:rPr/>
      </w:r>
    </w:p>
    <w:p>
      <w:pPr>
        <w:pStyle w:val="Heading4"/>
        <w:numPr>
          <w:ilvl w:val="3"/>
          <w:numId w:val="3"/>
        </w:numPr>
        <w:spacing w:lineRule="auto" w:line="240" w:before="57" w:after="57"/>
        <w:rPr/>
      </w:pPr>
      <w:r>
        <w:rPr/>
        <w:t>Définition 3.2 (Architecture évolutive à trois couches).</w:t>
      </w:r>
    </w:p>
    <w:p>
      <w:pPr>
        <w:pStyle w:val="BodyText"/>
        <w:rPr/>
      </w:pPr>
      <w:r>
        <w:rPr/>
        <w:t>Cette architecture s'inspire du développement biologique : un nouveau-né respire avec des mécanismes automatiques simples (inspiration-expiration de base), puis développe progressivement une régulation plus fine (adaptation à l'altitude, à l'effort, au stress), et peut mobiliser en urgence des ressources exceptionnelles (hyperventilation en cas de danger).</w:t>
      </w:r>
    </w:p>
    <w:p>
      <w:pPr>
        <w:pStyle w:val="BodyText"/>
        <w:rPr/>
      </w:pPr>
      <w:r>
        <w:rPr/>
        <w:t>De même, IRIS respire d'abord avec des mécanismes universels, puis affine sa respiration sectorielle, et peut activer des leviers d'urgence en cas de crise systémique.</w:t>
      </w:r>
    </w:p>
    <w:p>
      <w:pPr>
        <w:pStyle w:val="BodyText"/>
        <w:rPr/>
      </w:pPr>
      <w:r>
        <w:rPr/>
      </w:r>
    </w:p>
    <w:p>
      <w:pPr>
        <w:pStyle w:val="Heading4"/>
        <w:numPr>
          <w:ilvl w:val="3"/>
          <w:numId w:val="3"/>
        </w:numPr>
        <w:spacing w:lineRule="auto" w:line="240" w:before="57" w:after="57"/>
        <w:rPr/>
      </w:pPr>
      <w:r>
        <w:rPr/>
        <w:t xml:space="preserve"> </w:t>
      </w:r>
      <w:r>
        <w:rPr/>
        <w:t>Couche 1 : Noyau régulateur (toujours actif)</w:t>
      </w:r>
    </w:p>
    <w:p>
      <w:pPr>
        <w:pStyle w:val="BodyText"/>
        <w:rPr/>
      </w:pPr>
      <w:r>
        <w:rPr/>
        <w:t>La Couche 1 constitue le système de base, fonctionnant en permanence dès l'initialisation du protocole. Elle repose sur une dualité respiratoire incarnée par deux paramètres fondamentaux.</w:t>
      </w:r>
    </w:p>
    <w:p>
      <w:pPr>
        <w:pStyle w:val="BodyText"/>
        <w:rPr/>
      </w:pPr>
      <w:r>
        <w:rPr/>
      </w:r>
    </w:p>
    <w:p>
      <w:pPr>
        <w:pStyle w:val="Heading4"/>
        <w:numPr>
          <w:ilvl w:val="3"/>
          <w:numId w:val="3"/>
        </w:numPr>
        <w:spacing w:lineRule="auto" w:line="240" w:before="57" w:after="57"/>
        <w:rPr/>
      </w:pPr>
      <w:r>
        <w:rPr/>
        <w:t>Définition 3.3 (Le multiplicateur de création η).</w:t>
      </w:r>
    </w:p>
    <w:p>
      <w:pPr>
        <w:pStyle w:val="BodyText"/>
        <w:rPr/>
      </w:pPr>
      <w:r>
        <w:rPr/>
        <w:t>η (eta) module l'efficacité de la transformation de l'effort en valeur vivante. C'est le poumon de l'offre réelle.</w:t>
      </w:r>
    </w:p>
    <w:p>
      <w:pPr>
        <w:pStyle w:val="BodyText"/>
        <w:numPr>
          <w:ilvl w:val="0"/>
          <w:numId w:val="53"/>
        </w:numPr>
        <w:spacing w:lineRule="auto" w:line="276"/>
        <w:rPr/>
      </w:pPr>
      <w:r>
        <w:rPr/>
        <w:t>Lorsque η &gt; 1,0 (mode relance), chaque acte productif génère plus de valeur que l'énergie strictement brûlée. L'économie est stimulée pour compenser une léthargie.</w:t>
      </w:r>
    </w:p>
    <w:p>
      <w:pPr>
        <w:pStyle w:val="BodyText"/>
        <w:numPr>
          <w:ilvl w:val="0"/>
          <w:numId w:val="53"/>
        </w:numPr>
        <w:spacing w:lineRule="auto" w:line="276"/>
        <w:rPr/>
      </w:pPr>
      <w:r>
        <w:rPr/>
        <w:t>Lorsque η = 1,0 (mode neutre), la conversion énergétique est standard, le système respire normalement.</w:t>
      </w:r>
    </w:p>
    <w:p>
      <w:pPr>
        <w:pStyle w:val="BodyText"/>
        <w:numPr>
          <w:ilvl w:val="0"/>
          <w:numId w:val="53"/>
        </w:numPr>
        <w:spacing w:lineRule="auto" w:line="276"/>
        <w:rPr/>
      </w:pPr>
      <w:r>
        <w:rPr/>
        <w:t>Lorsque η &lt; 1,0 (mode freinage), la création de valeur est ralentie pour éviter la surchauffe économique.</w:t>
      </w:r>
    </w:p>
    <w:p>
      <w:pPr>
        <w:pStyle w:val="BodyText"/>
        <w:rPr/>
      </w:pPr>
      <w:r>
        <w:rPr/>
      </w:r>
    </w:p>
    <w:p>
      <w:pPr>
        <w:pStyle w:val="Heading4"/>
        <w:numPr>
          <w:ilvl w:val="3"/>
          <w:numId w:val="3"/>
        </w:numPr>
        <w:spacing w:lineRule="auto" w:line="240" w:before="57" w:after="57"/>
        <w:rPr/>
      </w:pPr>
      <w:r>
        <w:rPr/>
        <w:t>Définition 3.4 (Le régulateur de liquidité κ).</w:t>
      </w:r>
    </w:p>
    <w:p>
      <w:pPr>
        <w:pStyle w:val="BodyText"/>
        <w:rPr/>
      </w:pPr>
      <w:r>
        <w:rPr/>
        <w:t>κ (kappa) contrôle l'accès à la monnaie d'usage depuis la valeur stockée. C'est le poumon de la demande effective.</w:t>
      </w:r>
    </w:p>
    <w:p>
      <w:pPr>
        <w:pStyle w:val="BodyText"/>
        <w:numPr>
          <w:ilvl w:val="0"/>
          <w:numId w:val="54"/>
        </w:numPr>
        <w:spacing w:lineRule="auto" w:line="276"/>
        <w:rPr/>
      </w:pPr>
      <w:r>
        <w:rPr/>
        <w:t>Lorsque κ &gt; 1,0 (facilitation de liquidité), la conversion V→U est favorisée, stimulant la demande et l'investissement.</w:t>
      </w:r>
    </w:p>
    <w:p>
      <w:pPr>
        <w:pStyle w:val="BodyText"/>
        <w:numPr>
          <w:ilvl w:val="0"/>
          <w:numId w:val="54"/>
        </w:numPr>
        <w:spacing w:lineRule="auto" w:line="276"/>
        <w:rPr/>
      </w:pPr>
      <w:r>
        <w:rPr/>
        <w:t>Lorsque κ = 1,0 (conversion standard), nous observons la neutralité.</w:t>
      </w:r>
    </w:p>
    <w:p>
      <w:pPr>
        <w:pStyle w:val="BodyText"/>
        <w:numPr>
          <w:ilvl w:val="0"/>
          <w:numId w:val="54"/>
        </w:numPr>
        <w:spacing w:lineRule="auto" w:line="276"/>
        <w:rPr/>
      </w:pPr>
      <w:r>
        <w:rPr/>
        <w:t>Lorsque κ &lt; 1,0 (restriction de liquidité), l'accès à (U) est limité pour refroidir une économie surchauffée.</w:t>
      </w:r>
    </w:p>
    <w:p>
      <w:pPr>
        <w:pStyle w:val="BodyText"/>
        <w:rPr/>
      </w:pPr>
      <w:r>
        <w:rPr/>
      </w:r>
    </w:p>
    <w:p>
      <w:pPr>
        <w:pStyle w:val="Heading4"/>
        <w:numPr>
          <w:ilvl w:val="3"/>
          <w:numId w:val="3"/>
        </w:numPr>
        <w:spacing w:lineRule="auto" w:line="240" w:before="57" w:after="57"/>
        <w:rPr/>
      </w:pPr>
      <w:r>
        <w:rPr/>
        <w:t>Axiome 3.2 (Plage opérationnelle commune).</w:t>
      </w:r>
    </w:p>
    <w:p>
      <w:pPr>
        <w:pStyle w:val="BodyText"/>
        <w:rPr/>
      </w:pPr>
      <w:r>
        <w:rPr/>
        <w:t>Les paramètres η et κ opèrent dans la plage suivante :</w:t>
      </w:r>
    </w:p>
    <w:p>
      <w:pPr>
        <w:pStyle w:val="BodyText"/>
        <w:rPr/>
      </w:pPr>
      <w:r>
        <w:rPr/>
      </w:r>
    </w:p>
    <w:p>
      <w:pPr>
        <w:pStyle w:val="BodyText"/>
        <w:jc w:val="center"/>
        <w:rPr/>
      </w:pPr>
      <w:r>
        <w:rPr/>
        <w:t>η, κ ∈ [0,5 ; 2,0]</w:t>
      </w:r>
    </w:p>
    <w:p>
      <w:pPr>
        <w:pStyle w:val="BodyText"/>
        <w:rPr/>
      </w:pPr>
      <w:r>
        <w:rPr/>
      </w:r>
    </w:p>
    <w:p>
      <w:pPr>
        <w:pStyle w:val="BodyText"/>
        <w:rPr/>
      </w:pPr>
      <w:r>
        <w:rPr/>
        <w:t>Ces bornes garantissent qu'aucun paramètre ne peut varier de plus d'un facteur quatre (de 0,5 à 2,0). Cette limitation évite les chocs régulateurs brutaux : même en crise profonde, le système ne peut diviser par plus de deux l'efficacité productive ou la liquidité. Inversement, même en relance maximale, il ne peut doubler ces coefficients. Cette contrainte force une régulation progressive et continue.</w:t>
      </w:r>
    </w:p>
    <w:p>
      <w:pPr>
        <w:pStyle w:val="BodyText"/>
        <w:rPr/>
      </w:pPr>
      <w:r>
        <w:rPr/>
      </w:r>
    </w:p>
    <w:p>
      <w:pPr>
        <w:pStyle w:val="Heading4"/>
        <w:numPr>
          <w:ilvl w:val="3"/>
          <w:numId w:val="3"/>
        </w:numPr>
        <w:spacing w:lineRule="auto" w:line="240" w:before="57" w:after="57"/>
        <w:rPr/>
      </w:pPr>
      <w:r>
        <w:rPr/>
        <w:t>Définition 3.5 (Les trois capteurs système).</w:t>
      </w:r>
    </w:p>
    <w:p>
      <w:pPr>
        <w:pStyle w:val="BodyText"/>
        <w:rPr/>
      </w:pPr>
      <w:r>
        <w:rPr/>
        <w:t>Pour ajuster η et κ, l'Exchange surveille en permanence trois indicateurs essentiels.</w:t>
      </w:r>
    </w:p>
    <w:p>
      <w:pPr>
        <w:pStyle w:val="BodyText"/>
        <w:rPr/>
      </w:pPr>
      <w:r>
        <w:rPr/>
        <w:t>Le ratio investissement-consommation (r_ic) mesure la tension entre les engagements futurs et la valeur présente disponible :</w:t>
      </w:r>
    </w:p>
    <w:p>
      <w:pPr>
        <w:pStyle w:val="BodyText"/>
        <w:rPr/>
      </w:pPr>
      <w:r>
        <w:rPr/>
      </w:r>
    </w:p>
    <w:p>
      <w:pPr>
        <w:pStyle w:val="BodyText"/>
        <w:jc w:val="center"/>
        <w:rPr/>
      </w:pPr>
      <w:r>
        <w:rPr/>
        <w:t>r_ic = (D_TAP + D_stack) / V_t^(on)</w:t>
      </w:r>
    </w:p>
    <w:p>
      <w:pPr>
        <w:pStyle w:val="BodyText"/>
        <w:rPr/>
      </w:pPr>
      <w:r>
        <w:rPr/>
      </w:r>
    </w:p>
    <w:p>
      <w:pPr>
        <w:pStyle w:val="BodyText"/>
        <w:rPr/>
      </w:pPr>
      <w:r>
        <w:rPr/>
        <w:t>Lorsque r_ic dépasse l'unité, cela signifie que les promesses d'avenir excèdent la richesse actuelle : le système vit « à crédit sur lui-même ». À l'inverse, un r_ic trop faible signale un manque de confiance ou de projets, une économie qui n'ose pas s'engager dans le futur.</w:t>
      </w:r>
    </w:p>
    <w:p>
      <w:pPr>
        <w:pStyle w:val="BodyText"/>
        <w:rPr/>
      </w:pPr>
      <w:r>
        <w:rPr/>
        <w:t>La vitesse de circulation effective (ν_eff) mesure la vigueur de l'activité économique réelle :</w:t>
      </w:r>
    </w:p>
    <w:p>
      <w:pPr>
        <w:pStyle w:val="BodyText"/>
        <w:rPr/>
      </w:pPr>
      <w:r>
        <w:rPr/>
      </w:r>
    </w:p>
    <w:p>
      <w:pPr>
        <w:pStyle w:val="BodyText"/>
        <w:jc w:val="center"/>
        <w:rPr/>
      </w:pPr>
      <w:r>
        <w:rPr/>
        <w:t>ν_eff = (U_burn + S_burn) / V_(t-1)^(on)</w:t>
      </w:r>
    </w:p>
    <w:p>
      <w:pPr>
        <w:pStyle w:val="BodyText"/>
        <w:rPr/>
      </w:pPr>
      <w:r>
        <w:rPr/>
      </w:r>
    </w:p>
    <w:p>
      <w:pPr>
        <w:pStyle w:val="BodyText"/>
        <w:rPr/>
      </w:pPr>
      <w:r>
        <w:rPr/>
        <w:t>La vitesse de circulation mesure la vigueur de l'activité économique réelle. C'est l'équivalent d'une fréquence cardiaque : elle indique à quelle cadence la valeur accumulée se transforme en actes concrets. Une vitesse faible signale une économie léthargique, où la richesse reste immobile. Une vitesse excessive peut indiquer de la spéculation ou une fébrilité malsaine.</w:t>
      </w:r>
    </w:p>
    <w:p>
      <w:pPr>
        <w:pStyle w:val="BodyText"/>
        <w:rPr/>
      </w:pPr>
      <w:r>
        <w:rPr/>
        <w:t>Le taux d'engagement (τ_eng) évalue la part du revenu universel déjà engagée en stacking :</w:t>
      </w:r>
    </w:p>
    <w:p>
      <w:pPr>
        <w:pStyle w:val="BodyText"/>
        <w:rPr/>
      </w:pPr>
      <w:r>
        <w:rPr/>
      </w:r>
    </w:p>
    <w:p>
      <w:pPr>
        <w:pStyle w:val="BodyText"/>
        <w:jc w:val="center"/>
        <w:rPr/>
      </w:pPr>
      <w:r>
        <w:rPr/>
        <w:t>τ_eng = U_t^(staké) / U_t</w:t>
      </w:r>
    </w:p>
    <w:p>
      <w:pPr>
        <w:pStyle w:val="BodyText"/>
        <w:rPr/>
      </w:pPr>
      <w:r>
        <w:rPr/>
      </w:r>
    </w:p>
    <w:p>
      <w:pPr>
        <w:pStyle w:val="BodyText"/>
        <w:rPr/>
      </w:pPr>
      <w:r>
        <w:rPr/>
        <w:t>Le taux d'engagement évalue la part du revenu universel déjà engagée en stacking, donc la pression sur le pouvoir d'achat immédiat des utilisateurs. Un taux élevé signale que les vivants sacrifient leur présent pour investir dans l'avenir, ce qui peut devenir insoutenable socialement. L'Exchange protège le contrat social en freinant la création et la liquidité lorsque τ_eng devient excessif.</w:t>
      </w:r>
    </w:p>
    <w:p>
      <w:pPr>
        <w:pStyle w:val="BodyText"/>
        <w:rPr/>
      </w:pPr>
      <w:r>
        <w:rPr/>
      </w:r>
    </w:p>
    <w:p>
      <w:pPr>
        <w:pStyle w:val="Heading4"/>
        <w:numPr>
          <w:ilvl w:val="3"/>
          <w:numId w:val="3"/>
        </w:numPr>
        <w:spacing w:lineRule="auto" w:line="240" w:before="57" w:after="57"/>
        <w:rPr/>
      </w:pPr>
      <w:r>
        <w:rPr/>
        <w:t>Axiome 3.3 (Périodicité fixe en Couche 1).</w:t>
      </w:r>
    </w:p>
    <w:p>
      <w:pPr>
        <w:pStyle w:val="BodyText"/>
        <w:rPr/>
      </w:pPr>
      <w:r>
        <w:rPr/>
        <w:t>En Couche 1, la fréquence des cycles reste constante :</w:t>
      </w:r>
    </w:p>
    <w:p>
      <w:pPr>
        <w:pStyle w:val="BodyText"/>
        <w:rPr/>
      </w:pPr>
      <w:r>
        <w:rPr/>
      </w:r>
    </w:p>
    <w:p>
      <w:pPr>
        <w:pStyle w:val="BodyText"/>
        <w:jc w:val="center"/>
        <w:rPr/>
      </w:pPr>
      <w:r>
        <w:rPr/>
        <w:t>T = 12 cycles par an (≈ 30 jours par cycle)</w:t>
      </w:r>
    </w:p>
    <w:p>
      <w:pPr>
        <w:pStyle w:val="BodyText"/>
        <w:rPr/>
      </w:pPr>
      <w:r>
        <w:rPr/>
      </w:r>
    </w:p>
    <w:p>
      <w:pPr>
        <w:pStyle w:val="BodyText"/>
        <w:rPr/>
      </w:pPr>
      <w:r>
        <w:rPr/>
        <w:t>Cette stabilité temporelle simplifie considérablement la régulation décentralisée : chaque agent sait que le prochain cycle débutera dans trente jours, sans nécessiter de coordination globale complexe. Le temps devient un repère universel, comme le rythme circadien pour un organisme vivant.</w:t>
      </w:r>
    </w:p>
    <w:p>
      <w:pPr>
        <w:pStyle w:val="BodyText"/>
        <w:rPr/>
      </w:pPr>
      <w:r>
        <w:rPr/>
      </w:r>
    </w:p>
    <w:p>
      <w:pPr>
        <w:pStyle w:val="Heading4"/>
        <w:numPr>
          <w:ilvl w:val="3"/>
          <w:numId w:val="3"/>
        </w:numPr>
        <w:spacing w:lineRule="auto" w:line="240" w:before="57" w:after="57"/>
        <w:rPr/>
      </w:pPr>
      <w:r>
        <w:rPr/>
        <w:t>Proposition 3.2 (Suffisance de la Couche 1).</w:t>
      </w:r>
    </w:p>
    <w:p>
      <w:pPr>
        <w:pStyle w:val="BodyText"/>
        <w:rPr/>
      </w:pPr>
      <w:r>
        <w:rPr/>
        <w:t>Cette couche garantit une régulation décentralisée, calculable localement par chaque agent sans nécessiter de synchronisation parfaite. Elle constitue le socle respiratoire minimal d'IRIS, suffisant pour maintenir l'équilibre thermodynamique dans quatre-vingt-quinze pour cent des situations économiques normales.</w:t>
      </w:r>
    </w:p>
    <w:p>
      <w:pPr>
        <w:pStyle w:val="BodyText"/>
        <w:rPr/>
      </w:pPr>
      <w:r>
        <w:rPr/>
      </w:r>
    </w:p>
    <w:p>
      <w:pPr>
        <w:pStyle w:val="Heading4"/>
        <w:numPr>
          <w:ilvl w:val="3"/>
          <w:numId w:val="3"/>
        </w:numPr>
        <w:spacing w:lineRule="auto" w:line="240" w:before="57" w:after="57"/>
        <w:rPr/>
      </w:pPr>
      <w:r>
        <w:rPr/>
        <w:t xml:space="preserve"> </w:t>
      </w:r>
      <w:r>
        <w:rPr/>
        <w:t>Couche 2 : Module sectoriel (activation conditionnelle)</w:t>
      </w:r>
    </w:p>
    <w:p>
      <w:pPr>
        <w:pStyle w:val="BodyText"/>
        <w:rPr/>
      </w:pPr>
      <w:r>
        <w:rPr/>
        <w:t>Cette couche s'active lorsque l'économie atteint une maturité suffisante et qu'une divergence sectorielle significative est détectée. Elle représente une sophistication de la respiration, non un remplacement de la Couche 1.</w:t>
      </w:r>
    </w:p>
    <w:p>
      <w:pPr>
        <w:pStyle w:val="BodyText"/>
        <w:rPr/>
      </w:pPr>
      <w:r>
        <w:rPr/>
      </w:r>
    </w:p>
    <w:p>
      <w:pPr>
        <w:pStyle w:val="Heading4"/>
        <w:numPr>
          <w:ilvl w:val="3"/>
          <w:numId w:val="3"/>
        </w:numPr>
        <w:spacing w:lineRule="auto" w:line="240" w:before="57" w:after="57"/>
        <w:rPr/>
      </w:pPr>
      <w:r>
        <w:rPr/>
        <w:t>Définition 3.6 (Justification conceptuelle de la décomposition).</w:t>
      </w:r>
    </w:p>
    <w:p>
      <w:pPr>
        <w:pStyle w:val="BodyText"/>
        <w:rPr/>
      </w:pPr>
      <w:r>
        <w:rPr/>
        <w:t>Dans une économie mature, les services et les produits peuvent évoluer à des rythmes très différents. Les services (prestations immatérielles, abonnements, savoir-faire) ont des cycles courts et une vitesse de circulation élevée. Les produits (biens matériels, immobilisations, infrastructures) ont des cycles longs et une inertie importante.</w:t>
      </w:r>
    </w:p>
    <w:p>
      <w:pPr>
        <w:pStyle w:val="BodyText"/>
        <w:rPr/>
      </w:pPr>
      <w:r>
        <w:rPr/>
        <w:t>Si ces deux secteurs divergent fortement par exemple, une explosion des services numériques pendant une stagnation industrielle une régulation globale uniforme risque de commettre deux erreurs simultanées : sur-stimuler les services déjà en expansion (bulle spéculative) et sous-stimuler les produits en difficulté (dépression industrielle).</w:t>
      </w:r>
    </w:p>
    <w:p>
      <w:pPr>
        <w:pStyle w:val="BodyText"/>
        <w:rPr/>
      </w:pPr>
      <w:r>
        <w:rPr/>
        <w:t>La décomposition sectorielle permet de réguler différemment chaque secteur selon ses besoins propres, tout en maintenant une cohérence globale.</w:t>
      </w:r>
    </w:p>
    <w:p>
      <w:pPr>
        <w:pStyle w:val="BodyText"/>
        <w:rPr/>
      </w:pPr>
      <w:r>
        <w:rPr/>
      </w:r>
    </w:p>
    <w:p>
      <w:pPr>
        <w:pStyle w:val="Heading4"/>
        <w:numPr>
          <w:ilvl w:val="3"/>
          <w:numId w:val="3"/>
        </w:numPr>
        <w:spacing w:lineRule="auto" w:line="240" w:before="57" w:after="57"/>
        <w:rPr/>
      </w:pPr>
      <w:r>
        <w:rPr/>
        <w:t>Axiome 3.4 (Conditions d'activation de la Couche 2).</w:t>
      </w:r>
    </w:p>
    <w:p>
      <w:pPr>
        <w:pStyle w:val="BodyText"/>
        <w:rPr/>
      </w:pPr>
      <w:r>
        <w:rPr/>
        <w:t>La Couche 2 ne s'active que si trois critères sont simultanément remplis.</w:t>
      </w:r>
    </w:p>
    <w:p>
      <w:pPr>
        <w:pStyle w:val="BodyText"/>
        <w:rPr/>
      </w:pPr>
      <w:r>
        <w:rPr/>
      </w:r>
    </w:p>
    <w:p>
      <w:pPr>
        <w:pStyle w:val="BodyText"/>
        <w:numPr>
          <w:ilvl w:val="0"/>
          <w:numId w:val="55"/>
        </w:numPr>
        <w:rPr/>
      </w:pPr>
      <w:r>
        <w:rPr/>
        <w:t>Premièrement,maturité temporelle : le système doit avoir au moins deux ans d'existence. Durant les premières années, l'économie IRIS est encore en phase de structuration. Les secteurs ne sont pas suffisamment développés pour justifier une régulation différenciée. Imposer prématurément cette complexité risquerait de créer des artefacts régulateurs sans bénéfice réel.</w:t>
      </w:r>
    </w:p>
    <w:p>
      <w:pPr>
        <w:pStyle w:val="BodyText"/>
        <w:numPr>
          <w:ilvl w:val="0"/>
          <w:numId w:val="55"/>
        </w:numPr>
        <w:rPr/>
      </w:pPr>
      <w:r>
        <w:rPr/>
        <w:t>Deuxièmement,déséquilibre sectoriel : le ratio V_services / V_produits doit sortir de la plage [0,4 ; 2,5]. Un ratio de deux virgule cinq signifie que les services pèsent deux fois et demie plus que les produits (ou inversement). Au-delà, la divergence devient suffisamment forte pour justifier une régulation spécifique. En deçà, la régulation globale suffit.</w:t>
      </w:r>
    </w:p>
    <w:p>
      <w:pPr>
        <w:pStyle w:val="BodyText"/>
        <w:numPr>
          <w:ilvl w:val="0"/>
          <w:numId w:val="0"/>
        </w:numPr>
        <w:ind w:hanging="0" w:left="720"/>
        <w:rPr/>
      </w:pPr>
      <w:r>
        <w:rPr/>
      </w:r>
    </w:p>
    <w:p>
      <w:pPr>
        <w:pStyle w:val="BodyText"/>
        <w:numPr>
          <w:ilvl w:val="0"/>
          <w:numId w:val="55"/>
        </w:numPr>
        <w:rPr/>
      </w:pPr>
      <w:r>
        <w:rPr/>
        <w:t>Troisièmement,validation démocratique : vote DAO avec majorité qualifiée supérieure ou égale à soixante pour cent. L'activation de la Couche 2 augmente la complexité du système. Ce n'est pas une décision technique automatique, mais un choix collectif. La gouvernance décentralisée doit valider que cette sophistication est désirée et comprise par la communauté.</w:t>
      </w:r>
    </w:p>
    <w:p>
      <w:pPr>
        <w:pStyle w:val="BodyText"/>
        <w:numPr>
          <w:ilvl w:val="0"/>
          <w:numId w:val="0"/>
        </w:numPr>
        <w:ind w:hanging="0" w:left="720"/>
        <w:rPr/>
      </w:pPr>
      <w:r>
        <w:rPr/>
      </w:r>
    </w:p>
    <w:p>
      <w:pPr>
        <w:pStyle w:val="Heading4"/>
        <w:numPr>
          <w:ilvl w:val="3"/>
          <w:numId w:val="3"/>
        </w:numPr>
        <w:spacing w:lineRule="auto" w:line="240" w:before="57" w:after="57"/>
        <w:rPr/>
      </w:pPr>
      <w:r>
        <w:rPr/>
        <w:t>Proposition 3.3 (Mécanismes sectoriels).</w:t>
      </w:r>
    </w:p>
    <w:p>
      <w:pPr>
        <w:pStyle w:val="BodyText"/>
        <w:rPr/>
      </w:pPr>
      <w:r>
        <w:rPr/>
      </w:r>
    </w:p>
    <w:p>
      <w:pPr>
        <w:pStyle w:val="BodyText"/>
        <w:rPr/>
      </w:pPr>
      <w:r>
        <w:rPr/>
        <w:t>Une fois activée, la Couche 2 décompose les grandeurs principales :</w:t>
      </w:r>
    </w:p>
    <w:p>
      <w:pPr>
        <w:pStyle w:val="BodyText"/>
        <w:rPr/>
      </w:pPr>
      <w:r>
        <w:rPr/>
      </w:r>
    </w:p>
    <w:p>
      <w:pPr>
        <w:pStyle w:val="BodyText"/>
        <w:rPr/>
      </w:pPr>
      <w:r>
        <w:rPr/>
        <w:t xml:space="preserve">Valeur vivante : </w:t>
      </w:r>
    </w:p>
    <w:p>
      <w:pPr>
        <w:pStyle w:val="BodyText"/>
        <w:rPr/>
      </w:pPr>
      <w:r>
        <w:rPr/>
      </w:r>
    </w:p>
    <w:p>
      <w:pPr>
        <w:pStyle w:val="BodyText"/>
        <w:jc w:val="center"/>
        <w:rPr/>
      </w:pPr>
      <w:r>
        <w:rPr/>
        <w:t>V_t^(on) = V_s,t^(on) + V_p,t^(on)</w:t>
      </w:r>
    </w:p>
    <w:p>
      <w:pPr>
        <w:pStyle w:val="BodyText"/>
        <w:rPr/>
      </w:pPr>
      <w:r>
        <w:rPr/>
      </w:r>
    </w:p>
    <w:p>
      <w:pPr>
        <w:pStyle w:val="BodyText"/>
        <w:rPr/>
      </w:pPr>
      <w:r>
        <w:rPr/>
        <w:t xml:space="preserve">Passif thermométrique : </w:t>
      </w:r>
    </w:p>
    <w:p>
      <w:pPr>
        <w:pStyle w:val="BodyText"/>
        <w:rPr/>
      </w:pPr>
      <w:r>
        <w:rPr/>
      </w:r>
    </w:p>
    <w:p>
      <w:pPr>
        <w:pStyle w:val="BodyText"/>
        <w:jc w:val="center"/>
        <w:rPr/>
      </w:pPr>
      <w:r>
        <w:rPr/>
        <w:t>D_t = D_s,t + D_p,t + D_TAP,t + D_stack,t + D_CR,t</w:t>
      </w:r>
    </w:p>
    <w:p>
      <w:pPr>
        <w:pStyle w:val="BodyText"/>
        <w:rPr/>
      </w:pPr>
      <w:r>
        <w:rPr/>
      </w:r>
    </w:p>
    <w:p>
      <w:pPr>
        <w:pStyle w:val="BodyText"/>
        <w:rPr/>
      </w:pPr>
      <w:r>
        <w:rPr/>
        <w:t xml:space="preserve">Ratios thermométriques : </w:t>
      </w:r>
    </w:p>
    <w:p>
      <w:pPr>
        <w:pStyle w:val="BodyText"/>
        <w:rPr/>
      </w:pPr>
      <w:r>
        <w:rPr/>
      </w:r>
    </w:p>
    <w:p>
      <w:pPr>
        <w:pStyle w:val="BodyText"/>
        <w:jc w:val="center"/>
        <w:rPr/>
      </w:pPr>
      <w:r>
        <w:rPr/>
        <w:t>r_s,t = D_s,t / V_s,t^(on) et r_p,t = D_p,t / V_p,t^(on)</w:t>
      </w:r>
    </w:p>
    <w:p>
      <w:pPr>
        <w:pStyle w:val="BodyText"/>
        <w:rPr/>
      </w:pPr>
      <w:r>
        <w:rPr/>
      </w:r>
    </w:p>
    <w:p>
      <w:pPr>
        <w:pStyle w:val="BodyText"/>
        <w:rPr/>
      </w:pPr>
      <w:r>
        <w:rPr/>
        <w:t>Vitesses de circulation : ν_s,t et ν_p,t mesurées indépendamment</w:t>
      </w:r>
    </w:p>
    <w:p>
      <w:pPr>
        <w:pStyle w:val="BodyText"/>
        <w:rPr/>
      </w:pPr>
      <w:r>
        <w:rPr/>
      </w:r>
    </w:p>
    <w:p>
      <w:pPr>
        <w:pStyle w:val="BodyText"/>
        <w:rPr/>
      </w:pPr>
      <w:r>
        <w:rPr/>
        <w:t>Les paramètres η et κ deviennent des moyennes pondérées des valeurs sectorielles :</w:t>
      </w:r>
    </w:p>
    <w:p>
      <w:pPr>
        <w:pStyle w:val="BodyText"/>
        <w:rPr/>
      </w:pPr>
      <w:r>
        <w:rPr/>
      </w:r>
    </w:p>
    <w:p>
      <w:pPr>
        <w:pStyle w:val="BodyText"/>
        <w:jc w:val="center"/>
        <w:rPr/>
      </w:pPr>
      <w:r>
        <w:rPr/>
        <w:t>η_t = θ_s,t × η_s,t + θ_p,t × η_p,t</w:t>
      </w:r>
    </w:p>
    <w:p>
      <w:pPr>
        <w:pStyle w:val="BodyText"/>
        <w:rPr/>
      </w:pPr>
      <w:r>
        <w:rPr/>
      </w:r>
    </w:p>
    <w:p>
      <w:pPr>
        <w:pStyle w:val="BodyText"/>
        <w:jc w:val="center"/>
        <w:rPr/>
      </w:pPr>
      <w:r>
        <w:rPr/>
        <w:t>κ_t = θ_s,t × κ_s,t + θ_p,t × κ_p,t</w:t>
      </w:r>
    </w:p>
    <w:p>
      <w:pPr>
        <w:pStyle w:val="BodyText"/>
        <w:rPr/>
      </w:pPr>
      <w:r>
        <w:rPr/>
      </w:r>
    </w:p>
    <w:p>
      <w:pPr>
        <w:pStyle w:val="BodyText"/>
        <w:rPr/>
      </w:pPr>
      <w:r>
        <w:rPr/>
        <w:t>où les poids θ_s et θ_p sont proportionnels à la valeur vivante de chaque secteur :</w:t>
      </w:r>
    </w:p>
    <w:p>
      <w:pPr>
        <w:pStyle w:val="BodyText"/>
        <w:rPr/>
      </w:pPr>
      <w:r>
        <w:rPr/>
      </w:r>
    </w:p>
    <w:p>
      <w:pPr>
        <w:pStyle w:val="BodyText"/>
        <w:jc w:val="center"/>
        <w:rPr/>
      </w:pPr>
      <w:r>
        <w:rPr/>
        <w:t>θ_s,t = V_s,t^(on) / V_t^(on) et θ_p,t = V_p,t^(on) / V_t^(on)</w:t>
      </w:r>
    </w:p>
    <w:p>
      <w:pPr>
        <w:pStyle w:val="BodyText"/>
        <w:rPr/>
      </w:pPr>
      <w:r>
        <w:rPr/>
      </w:r>
    </w:p>
    <w:p>
      <w:pPr>
        <w:pStyle w:val="BodyText"/>
        <w:rPr/>
      </w:pPr>
      <w:r>
        <w:rPr/>
        <w:t>Cette pondération garantit que la régulation globale reste cohérente : un secteur dominant (par exemple, soixante-dix pour cent de la valeur) influence davantage les paramètres globaux qu'un secteur minoritaire (trente pour cent). Mais chaque secteur conserve sa propre dynamique régulée, évitant que l'un ne masque les déséquilibres de l'autre.</w:t>
      </w:r>
    </w:p>
    <w:p>
      <w:pPr>
        <w:pStyle w:val="BodyText"/>
        <w:rPr/>
      </w:pPr>
      <w:r>
        <w:rPr/>
      </w:r>
    </w:p>
    <w:p>
      <w:pPr>
        <w:pStyle w:val="BodyText"/>
        <w:rPr>
          <w:b/>
          <w:bCs/>
        </w:rPr>
      </w:pPr>
      <w:r>
        <w:rPr>
          <w:b/>
          <w:bCs/>
        </w:rPr>
        <w:t>Définition 3.7 (Cibles différenciées).</w:t>
      </w:r>
    </w:p>
    <w:p>
      <w:pPr>
        <w:pStyle w:val="BodyText"/>
        <w:rPr/>
      </w:pPr>
      <w:r>
        <w:rPr/>
      </w:r>
    </w:p>
    <w:p>
      <w:pPr>
        <w:pStyle w:val="BodyText"/>
        <w:rPr/>
      </w:pPr>
      <w:r>
        <w:rPr/>
        <w:t>Les services et les produits ont des rythmes naturels différents, ce qui justifie des cibles de vitesse distinctes :</w:t>
      </w:r>
    </w:p>
    <w:p>
      <w:pPr>
        <w:pStyle w:val="BodyText"/>
        <w:numPr>
          <w:ilvl w:val="0"/>
          <w:numId w:val="56"/>
        </w:numPr>
        <w:rPr/>
      </w:pPr>
      <w:r>
        <w:rPr/>
        <w:t>ν_target,s = 0,25 : les services circulent rapidement (abonnements mensuels, prestations récurrentes)</w:t>
      </w:r>
    </w:p>
    <w:p>
      <w:pPr>
        <w:pStyle w:val="BodyText"/>
        <w:numPr>
          <w:ilvl w:val="0"/>
          <w:numId w:val="56"/>
        </w:numPr>
        <w:rPr/>
      </w:pPr>
      <w:r>
        <w:rPr/>
        <w:t>ν_target,p = 0,15 : les produits ont des cycles plus longs (biens durables, immobilisations)</w:t>
      </w:r>
    </w:p>
    <w:p>
      <w:pPr>
        <w:pStyle w:val="BodyText"/>
        <w:rPr/>
      </w:pPr>
      <w:r>
        <w:rPr/>
      </w:r>
    </w:p>
    <w:p>
      <w:pPr>
        <w:pStyle w:val="BodyText"/>
        <w:rPr/>
      </w:pPr>
      <w:r>
        <w:rPr/>
        <w:t>Cette différenciation reconnaît que les deux secteurs ne peuvent être jugés selon les mêmes critères de « santé économique ». Un service qui circule lentement est probablement en difficulté, mais un produit qui circule très vite peut signaler une spéculation malsaine (revente rapide sans usage réel).</w:t>
      </w:r>
    </w:p>
    <w:p>
      <w:pPr>
        <w:pStyle w:val="BodyText"/>
        <w:rPr/>
      </w:pPr>
      <w:r>
        <w:rPr/>
      </w:r>
    </w:p>
    <w:p>
      <w:pPr>
        <w:pStyle w:val="Heading4"/>
        <w:numPr>
          <w:ilvl w:val="3"/>
          <w:numId w:val="3"/>
        </w:numPr>
        <w:spacing w:lineRule="auto" w:line="240" w:before="57" w:after="57"/>
        <w:rPr/>
      </w:pPr>
      <w:r>
        <w:rPr/>
        <w:t>Proposition 3.4 (Réversibilité de la Couche 2).</w:t>
      </w:r>
    </w:p>
    <w:p>
      <w:pPr>
        <w:pStyle w:val="BodyText"/>
        <w:rPr/>
      </w:pPr>
      <w:r>
        <w:rPr/>
        <w:t>Si le déséquilibre sectoriel se résorbe durablement (ratio revenu dans [0,5 ; 2,0] pendant douze cycles consécutifs), la Couche 2 peut être désactivée par vote DAO. La transition se fait progressivement sur trois cycles pour éviter toute rupture.</w:t>
      </w:r>
    </w:p>
    <w:p>
      <w:pPr>
        <w:pStyle w:val="BodyText"/>
        <w:rPr/>
      </w:pPr>
      <w:r>
        <w:rPr/>
        <w:t>Cette réversibilité garantit que la complexité n'est activée que lorsque nécessaire, respectant le principe de simplicité maximale.</w:t>
      </w:r>
    </w:p>
    <w:p>
      <w:pPr>
        <w:pStyle w:val="BodyText"/>
        <w:rPr/>
      </w:pPr>
      <w:r>
        <w:rPr/>
      </w:r>
    </w:p>
    <w:p>
      <w:pPr>
        <w:pStyle w:val="Heading4"/>
        <w:numPr>
          <w:ilvl w:val="3"/>
          <w:numId w:val="3"/>
        </w:numPr>
        <w:spacing w:lineRule="auto" w:line="240" w:before="57" w:after="57"/>
        <w:rPr/>
      </w:pPr>
      <w:r>
        <w:rPr/>
        <w:t xml:space="preserve"> </w:t>
      </w:r>
      <w:r>
        <w:rPr/>
        <w:t>Couche 3 : Régulation d'urgence (activation exceptionnelle)</w:t>
      </w:r>
    </w:p>
    <w:p>
      <w:pPr>
        <w:pStyle w:val="BodyText"/>
        <w:rPr/>
      </w:pPr>
      <w:r>
        <w:rPr/>
        <w:t>Cette couche ne s'active qu'en situation de crise systémique avérée, validée par super-majorité de la gouvernance décentralisée. Elle constitue le levier ultime de régulation, permettant des interventions temporaires qui seraient impossibles en régime normal.</w:t>
      </w:r>
    </w:p>
    <w:p>
      <w:pPr>
        <w:pStyle w:val="BodyText"/>
        <w:rPr/>
      </w:pPr>
      <w:r>
        <w:rPr/>
      </w:r>
    </w:p>
    <w:p>
      <w:pPr>
        <w:pStyle w:val="Heading4"/>
        <w:numPr>
          <w:ilvl w:val="3"/>
          <w:numId w:val="3"/>
        </w:numPr>
        <w:spacing w:lineRule="auto" w:line="240" w:before="57" w:after="57"/>
        <w:rPr/>
      </w:pPr>
      <w:r>
        <w:rPr/>
        <w:t>Axiome 3.5 (Philosophie de la Couche 3).</w:t>
      </w:r>
    </w:p>
    <w:p>
      <w:pPr>
        <w:pStyle w:val="BodyText"/>
        <w:rPr/>
      </w:pPr>
      <w:r>
        <w:rPr/>
        <w:t>Le principe de subsidiarité impose que la régulation normale (Couches 1 et 2) doit suffire dans la quasi-totalité des cas. La Couche 3 n'intervient qu'en dernier recours, lorsque les ajustements de η et κ atteignent leurs limites (bornes 0,5 ou 2,0) sans parvenir à stabiliser le système, lorsqu'une crise exogène majeure frappe le système (pandémie, guerre, catastrophe naturelle), ou lorsqu'un risque systémique menace la survie même du protocole.</w:t>
      </w:r>
    </w:p>
    <w:p>
      <w:pPr>
        <w:pStyle w:val="BodyText"/>
        <w:rPr/>
      </w:pPr>
      <w:r>
        <w:rPr/>
      </w:r>
    </w:p>
    <w:p>
      <w:pPr>
        <w:pStyle w:val="Heading4"/>
        <w:numPr>
          <w:ilvl w:val="3"/>
          <w:numId w:val="3"/>
        </w:numPr>
        <w:spacing w:lineRule="auto" w:line="240" w:before="57" w:after="57"/>
        <w:rPr/>
      </w:pPr>
      <w:r>
        <w:rPr/>
        <w:t>Théorème 3.2 (Garanties démocratiques strictes).</w:t>
      </w:r>
    </w:p>
    <w:p>
      <w:pPr>
        <w:pStyle w:val="BodyText"/>
        <w:rPr/>
      </w:pPr>
      <w:r>
        <w:rPr/>
        <w:t>Toute activation de la Couche 3 nécessite une super-majorité DAO (supérieure ou égale à soixante-quinze pour cent des membres actifs), une durée limitée prédéfinie (six cycles maximum, soit environ six mois), un plan de retour à la normale établi dès l'activation, et une transparence totale où tous les logs de décision sont publiés dans la DHT.</w:t>
      </w:r>
    </w:p>
    <w:p>
      <w:pPr>
        <w:pStyle w:val="BodyText"/>
        <w:rPr/>
      </w:pPr>
      <w:r>
        <w:rPr/>
        <w:t>Ces exigences garantissent qu'aucune dérive autoritaire n'est possible. La Couche 3 n'est pas un pouvoir d'exception confié à une autorité, mais une mobilisation collective validée démocratiquement, limitée dans le temps et réversible à tout moment par vote majoritaire.</w:t>
      </w:r>
    </w:p>
    <w:p>
      <w:pPr>
        <w:pStyle w:val="BodyText"/>
        <w:rPr/>
      </w:pPr>
      <w:r>
        <w:rPr/>
      </w:r>
    </w:p>
    <w:p>
      <w:pPr>
        <w:pStyle w:val="Heading4"/>
        <w:numPr>
          <w:ilvl w:val="3"/>
          <w:numId w:val="3"/>
        </w:numPr>
        <w:spacing w:lineRule="auto" w:line="240" w:before="57" w:after="57"/>
        <w:rPr/>
      </w:pPr>
      <w:r>
        <w:rPr/>
        <w:t>Définition 3.8 (Conditions d'activation strictes).</w:t>
      </w:r>
    </w:p>
    <w:p>
      <w:pPr>
        <w:pStyle w:val="BodyText"/>
        <w:rPr/>
      </w:pPr>
      <w:r>
        <w:rPr/>
        <w:t>Trois types de crises peuvent déclencher une proposition d'activation.</w:t>
      </w:r>
    </w:p>
    <w:p>
      <w:pPr>
        <w:pStyle w:val="BodyText"/>
        <w:rPr/>
      </w:pPr>
      <w:r>
        <w:rPr/>
      </w:r>
    </w:p>
    <w:p>
      <w:pPr>
        <w:pStyle w:val="BodyText"/>
        <w:numPr>
          <w:ilvl w:val="0"/>
          <w:numId w:val="57"/>
        </w:numPr>
        <w:rPr/>
      </w:pPr>
      <w:r>
        <w:rPr/>
        <w:t>Crise thermométrique : |r_t - 1| &gt; 0,3 pendant trois cycles consécutifs. Le thermomètre global sort durablement de sa zone de sécurité. Un r supérieur à un virgule trois signale une surchauffe dangereuse (les promesses excèdent de trente pour cent la richesse réelle). Un r inférieur à zéro virgule sept signale un effondrement de confiance (les engagements sont trente pour cent inférieurs aux capacités).</w:t>
      </w:r>
    </w:p>
    <w:p>
      <w:pPr>
        <w:pStyle w:val="BodyText"/>
        <w:numPr>
          <w:ilvl w:val="0"/>
          <w:numId w:val="57"/>
        </w:numPr>
        <w:rPr/>
      </w:pPr>
      <w:r>
        <w:rPr/>
        <w:t>Crise circulatoire : ν_eff &lt; 0,1 pendant trois cycles consécutifs. L'activité économique s'effondre à moins de cinquante pour cent de sa cible normale. Le système entre en léthargie profonde, la circulation monétaire se fige, les transactions se raréfient. C'est l'équivalent d'une bradycardie économique potentiellement mortelle.</w:t>
      </w:r>
    </w:p>
    <w:p>
      <w:pPr>
        <w:pStyle w:val="BodyText"/>
        <w:numPr>
          <w:ilvl w:val="0"/>
          <w:numId w:val="57"/>
        </w:numPr>
        <w:rPr/>
      </w:pPr>
      <w:r>
        <w:rPr/>
        <w:t>Crise sociale : τ_eng &gt; 0,7 pendant deux cycles consécutifs. Plus de soixante-dix pour cent du revenu universel est déjà engagé en stacking. Les utilisateurs ont sacrifié l'essentiel de leur pouvoir d'achat présent pour des engagements futurs. Le contrat social est menacé : les vivants ne peuvent plus subvenir à leurs besoins immédiats.</w:t>
      </w:r>
    </w:p>
    <w:p>
      <w:pPr>
        <w:pStyle w:val="BodyText"/>
        <w:rPr/>
      </w:pPr>
      <w:r>
        <w:rPr/>
      </w:r>
    </w:p>
    <w:p>
      <w:pPr>
        <w:pStyle w:val="Heading4"/>
        <w:numPr>
          <w:ilvl w:val="3"/>
          <w:numId w:val="3"/>
        </w:numPr>
        <w:spacing w:lineRule="auto" w:line="240" w:before="57" w:after="57"/>
        <w:rPr/>
      </w:pPr>
      <w:r>
        <w:rPr/>
        <w:t>Définition 3.9 (Les deux leviers exceptionnels).</w:t>
      </w:r>
    </w:p>
    <w:p>
      <w:pPr>
        <w:pStyle w:val="BodyText"/>
        <w:rPr/>
      </w:pPr>
      <w:r>
        <w:rPr/>
        <w:t>La Couche 3 débloque deux mécanismes normalement inaccessibles.</w:t>
      </w:r>
    </w:p>
    <w:p>
      <w:pPr>
        <w:pStyle w:val="BodyText"/>
        <w:rPr/>
      </w:pPr>
      <w:r>
        <w:rPr/>
      </w:r>
    </w:p>
    <w:p>
      <w:pPr>
        <w:pStyle w:val="BodyText"/>
        <w:rPr>
          <w:b/>
          <w:bCs/>
        </w:rPr>
      </w:pPr>
      <w:r>
        <w:rPr>
          <w:b/>
          <w:bCs/>
        </w:rPr>
        <w:t>A. Ajustement temporaire de la périodicité (T)</w:t>
      </w:r>
    </w:p>
    <w:p>
      <w:pPr>
        <w:pStyle w:val="BodyText"/>
        <w:rPr/>
      </w:pPr>
      <w:r>
        <w:rPr/>
        <w:t>En régime normal, T est fixe (douze cycles par an, soit environ trente jours). En crise validée, T devient ajustable dans une plage limitée :</w:t>
      </w:r>
    </w:p>
    <w:p>
      <w:pPr>
        <w:pStyle w:val="BodyText"/>
        <w:rPr/>
      </w:pPr>
      <w:r>
        <w:rPr/>
      </w:r>
    </w:p>
    <w:p>
      <w:pPr>
        <w:pStyle w:val="BodyText"/>
        <w:rPr/>
      </w:pPr>
      <w:r>
        <w:rPr/>
        <w:t>T_crise ∈ [T_base / 1,5 ; T_base × 1,5] soit concrètement [20 jours ; 45 jours]</w:t>
      </w:r>
    </w:p>
    <w:p>
      <w:pPr>
        <w:pStyle w:val="BodyText"/>
        <w:rPr/>
      </w:pPr>
      <w:r>
        <w:rPr/>
      </w:r>
    </w:p>
    <w:p>
      <w:pPr>
        <w:pStyle w:val="BodyText"/>
        <w:rPr/>
      </w:pPr>
      <w:r>
        <w:rPr/>
        <w:t>Raccourcir les cycles (T → 20 jours) en cas de crise aiguë permet d'accélérer la respiration du système : le RU est redistribué plus fréquemment, soutenant immédiatement le pouvoir d'achat ; les ajustements de η et κ opèrent plus rapidement ; la réactivité face à l'évolution de la crise est augmentée.</w:t>
      </w:r>
    </w:p>
    <w:p>
      <w:pPr>
        <w:pStyle w:val="BodyText"/>
        <w:rPr/>
      </w:pPr>
      <w:r>
        <w:rPr/>
        <w:t>Allonger les cycles (T → 45 jours) en cas de volatilité excessive permet de ralentir le rythme : laisse le temps aux agents de s'adapter sans panique ; réduit la fréquence des burns de (U), préservant le pouvoir d'achat plus longtemps ; stabilise les oscillations en augmentant l'inertie temporelle.</w:t>
      </w:r>
    </w:p>
    <w:p>
      <w:pPr>
        <w:pStyle w:val="BodyText"/>
        <w:rPr/>
      </w:pPr>
      <w:r>
        <w:rPr/>
        <w:t>L'ajustement de T ne s'applique jamais brutalement. Il se déploie progressivement sur trois cycles, permettant à l'ensemble du réseau décentralisé de converger vers le nouveau rythme sans rupture de coordination.</w:t>
      </w:r>
    </w:p>
    <w:p>
      <w:pPr>
        <w:pStyle w:val="BodyText"/>
        <w:rPr/>
      </w:pPr>
      <w:r>
        <w:rPr/>
      </w:r>
    </w:p>
    <w:p>
      <w:pPr>
        <w:pStyle w:val="BodyText"/>
        <w:rPr>
          <w:b/>
          <w:bCs/>
        </w:rPr>
      </w:pPr>
      <w:r>
        <w:rPr>
          <w:b/>
          <w:bCs/>
        </w:rPr>
        <w:t>B. Activation du facteur de productivité vivante (Π)</w:t>
      </w:r>
    </w:p>
    <w:p>
      <w:pPr>
        <w:pStyle w:val="BodyText"/>
        <w:rPr/>
      </w:pPr>
      <w:r>
        <w:rPr/>
        <w:t>Le paramètre Π (Pi majuscule) représente un multiplicateur d'efficacité systémique temporaire. Il amplifie ou réduit la création de valeur au-delà de ce que η peut faire seul.</w:t>
      </w:r>
    </w:p>
    <w:p>
      <w:pPr>
        <w:pStyle w:val="BodyText"/>
        <w:rPr/>
      </w:pPr>
      <w:r>
        <w:rPr/>
        <w:t>La formule de création devient :</w:t>
      </w:r>
    </w:p>
    <w:p>
      <w:pPr>
        <w:pStyle w:val="BodyText"/>
        <w:rPr/>
      </w:pPr>
      <w:r>
        <w:rPr/>
      </w:r>
    </w:p>
    <w:p>
      <w:pPr>
        <w:pStyle w:val="BodyText"/>
        <w:jc w:val="center"/>
        <w:rPr/>
      </w:pPr>
      <w:r>
        <w:rPr/>
        <w:t>ΔV_t^(créa) = η × Π × Δt × E_t</w:t>
      </w:r>
    </w:p>
    <w:p>
      <w:pPr>
        <w:pStyle w:val="BodyText"/>
        <w:rPr/>
      </w:pPr>
      <w:r>
        <w:rPr/>
      </w:r>
    </w:p>
    <w:p>
      <w:pPr>
        <w:pStyle w:val="BodyText"/>
        <w:rPr/>
      </w:pPr>
      <w:r>
        <w:rPr/>
        <w:t>avec</w:t>
      </w:r>
    </w:p>
    <w:p>
      <w:pPr>
        <w:pStyle w:val="BodyText"/>
        <w:rPr/>
      </w:pPr>
      <w:r>
        <w:rPr/>
      </w:r>
    </w:p>
    <w:p>
      <w:pPr>
        <w:pStyle w:val="BodyText"/>
        <w:jc w:val="center"/>
        <w:rPr/>
      </w:pPr>
      <w:r>
        <w:rPr/>
        <w:t>Π ∈ [0,8 ; 1,3]</w:t>
      </w:r>
    </w:p>
    <w:p>
      <w:pPr>
        <w:pStyle w:val="BodyText"/>
        <w:rPr/>
      </w:pPr>
      <w:r>
        <w:rPr/>
      </w:r>
    </w:p>
    <w:p>
      <w:pPr>
        <w:pStyle w:val="Heading4"/>
        <w:numPr>
          <w:ilvl w:val="3"/>
          <w:numId w:val="3"/>
        </w:numPr>
        <w:spacing w:lineRule="auto" w:line="240" w:before="57" w:after="57"/>
        <w:rPr/>
      </w:pPr>
      <w:r>
        <w:rPr/>
        <w:t>Proposition 3.5 (Interprétation conceptuelle de Π).</w:t>
      </w:r>
    </w:p>
    <w:p>
      <w:pPr>
        <w:pStyle w:val="BodyText"/>
        <w:rPr/>
      </w:pPr>
      <w:r>
        <w:rPr/>
        <w:t>Lorsque Π = 1,0, nous observons la productivité normale (valeur par défaut en Couches 1 et 2).</w:t>
      </w:r>
    </w:p>
    <w:p>
      <w:pPr>
        <w:pStyle w:val="BodyText"/>
        <w:rPr/>
      </w:pPr>
      <w:r>
        <w:rPr/>
        <w:t>Lorsque Π &gt; 1,0, nous observons une amplification de la productivité collective. Cas d'usage : mobilisation nationale exceptionnelle, effort de reconstruction post-catastrophe, coordination renforcée face à une menace commune. Lorsque la société se mobilise collectivement, l'efficacité réelle augmente au-delà des capacités individuelles habituelles. Les infrastructures critiques sont priorisées, les gaspillages diminuent, la coordination s'améliore. Π &gt; 1 reconnaît cette amplification réelle, sans création monétaire magique.</w:t>
      </w:r>
    </w:p>
    <w:p>
      <w:pPr>
        <w:pStyle w:val="BodyText"/>
        <w:rPr/>
      </w:pPr>
      <w:r>
        <w:rPr/>
        <w:t>Lorsque Π &lt; 1,0, nous observons une réduction de la productivité observée. Cas d'usage : désorganisation systémique suite à une catastrophe, perte d'infrastructures critiques (énergie, transports, communication), effondrement des chaînes logistiques. Même avec le même effort (S burn) et le même usage (U burn), la valeur créée est moindre car les conditions matérielles sont dégradées. Π &lt; 1 reflète honnêtement cette perte d'efficacité, évitant de gonfler artificiellement la valeur créée.</w:t>
      </w:r>
    </w:p>
    <w:p>
      <w:pPr>
        <w:pStyle w:val="BodyText"/>
        <w:rPr/>
      </w:pPr>
      <w:r>
        <w:rPr/>
      </w:r>
    </w:p>
    <w:p>
      <w:pPr>
        <w:pStyle w:val="Heading4"/>
        <w:numPr>
          <w:ilvl w:val="3"/>
          <w:numId w:val="3"/>
        </w:numPr>
        <w:spacing w:lineRule="auto" w:line="240" w:before="57" w:after="57"/>
        <w:rPr/>
      </w:pPr>
      <w:r>
        <w:rPr/>
        <w:t>Théorème 3.3 (Différence fondamentale entre η et Π).</w:t>
      </w:r>
    </w:p>
    <w:p>
      <w:pPr>
        <w:pStyle w:val="BodyText"/>
        <w:rPr/>
      </w:pPr>
      <w:r>
        <w:rPr/>
        <w:t>η régule l'incitation à produire (stimulation ou freinage économique par les prix relatifs), tandis que Π reflète l'efficacité réelle des infrastructures et de la coordination sociale.</w:t>
      </w:r>
    </w:p>
    <w:p>
      <w:pPr>
        <w:pStyle w:val="BodyText"/>
        <w:rPr/>
      </w:pPr>
      <w:r>
        <w:rPr/>
        <w:t>η est un choix de politique économique (plus ou moins de relance). Π est un constat de réalité physique (les usines sont-elles opérationnelles ? Les routes praticables ? Les réseaux de communication fonctionnels ?).</w:t>
      </w:r>
    </w:p>
    <w:p>
      <w:pPr>
        <w:pStyle w:val="BodyText"/>
        <w:rPr/>
      </w:pPr>
      <w:r>
        <w:rPr/>
      </w:r>
    </w:p>
    <w:p>
      <w:pPr>
        <w:pStyle w:val="Heading4"/>
        <w:numPr>
          <w:ilvl w:val="3"/>
          <w:numId w:val="3"/>
        </w:numPr>
        <w:spacing w:lineRule="auto" w:line="240" w:before="57" w:after="57"/>
        <w:rPr/>
      </w:pPr>
      <w:r>
        <w:rPr/>
        <w:t>Définition 3.10 (Loi de variation de Π).</w:t>
      </w:r>
    </w:p>
    <w:p>
      <w:pPr>
        <w:pStyle w:val="BodyText"/>
        <w:rPr/>
      </w:pPr>
      <w:r>
        <w:rPr/>
        <w:t>Contrairement à η et κ qui s'ajustent selon des formules automatiques, Π est initialement fixé par vote DAO lors de l'activation de la Couche 3, puis évolue selon une loi naturelle :</w:t>
      </w:r>
    </w:p>
    <w:p>
      <w:pPr>
        <w:pStyle w:val="BodyText"/>
        <w:rPr/>
      </w:pPr>
      <w:r>
        <w:rPr/>
      </w:r>
    </w:p>
    <w:p>
      <w:pPr>
        <w:pStyle w:val="BodyText"/>
        <w:jc w:val="center"/>
        <w:rPr/>
      </w:pPr>
      <w:r>
        <w:rPr/>
        <w:t>ΔΠ_t = +ξ_1 × I_t + ξ_2 × M_t + ξ_3 × C_Rout,t - δ_Π × (Π_t - 1)</w:t>
      </w:r>
    </w:p>
    <w:p>
      <w:pPr>
        <w:pStyle w:val="BodyText"/>
        <w:rPr/>
      </w:pPr>
      <w:r>
        <w:rPr/>
      </w:r>
    </w:p>
    <w:p>
      <w:pPr>
        <w:pStyle w:val="BodyText"/>
        <w:rPr/>
      </w:pPr>
      <w:r>
        <w:rPr/>
        <w:t>où I_t représente le flux d'investissement productif traçable (TAPs honorés, équipements financés, infrastructures reconstruites), M_t représente le flux de maintenance et réparation d'actifs productifs (entretien d'infrastructures critiques), C_Rout,t représente la réinjection validée par la Chambre de Relance (actifs recyclés remis en production), et δ_Π représente le coefficient de retour spontané à la neutralité (typiquement 0,15).</w:t>
      </w:r>
    </w:p>
    <w:p>
      <w:pPr>
        <w:pStyle w:val="BodyText"/>
        <w:rPr/>
      </w:pPr>
      <w:r>
        <w:rPr/>
        <w:t>Cette loi exprime que Π n'est pas arbitraire : il augmente lorsque des efforts réels d'investissement et de maintenance sont constatés, et diminue spontanément en l'absence de tels efforts. Le terme -δ_Π × (Π - 1) assure un retour progressif vers Π = 1 dès que les flux de soutien cessent.</w:t>
      </w:r>
    </w:p>
    <w:p>
      <w:pPr>
        <w:pStyle w:val="BodyText"/>
        <w:rPr/>
      </w:pPr>
      <w:r>
        <w:rPr/>
      </w:r>
    </w:p>
    <w:p>
      <w:pPr>
        <w:pStyle w:val="Heading4"/>
        <w:numPr>
          <w:ilvl w:val="3"/>
          <w:numId w:val="3"/>
        </w:numPr>
        <w:spacing w:lineRule="auto" w:line="240" w:before="57" w:after="57"/>
        <w:rPr/>
      </w:pPr>
      <w:r>
        <w:rPr/>
        <w:t>Proposition 3.6 (Interactions entre T et Π).</w:t>
      </w:r>
    </w:p>
    <w:p>
      <w:pPr>
        <w:pStyle w:val="BodyText"/>
        <w:rPr/>
      </w:pPr>
      <w:r>
        <w:rPr/>
        <w:t>Les deux leviers peuvent être activés simultanément, avec des effets combinés.</w:t>
      </w:r>
    </w:p>
    <w:p>
      <w:pPr>
        <w:pStyle w:val="BodyText"/>
        <w:rPr/>
      </w:pPr>
      <w:r>
        <w:rPr/>
        <w:t>En cas de crise aiguë avec capacité productive intacte : T réduit (accélération), Π = 1,0 (pas de modification). Exemple : crise de confiance financière sans dégâts physiques. Le système circule plus vite sans perte de productivité.</w:t>
      </w:r>
    </w:p>
    <w:p>
      <w:pPr>
        <w:pStyle w:val="BodyText"/>
        <w:rPr/>
      </w:pPr>
      <w:r>
        <w:rPr/>
        <w:t>En cas de catastrophe infrastructurelle avec société résiliente : T normal, Π réduit temporairement. Exemple : tremblement de terre détruisant des usines. Le système maintient son rythme mais accepte honnêtement la baisse de rendement.</w:t>
      </w:r>
    </w:p>
    <w:p>
      <w:pPr>
        <w:pStyle w:val="BodyText"/>
        <w:rPr/>
      </w:pPr>
      <w:r>
        <w:rPr/>
        <w:t>En cas de mobilisation exceptionnelle : T légèrement accéléré, Π augmenté. Exemple : reconstruction d'urgence, effort de guerre économique. La coordination renforcée permet à η × Π d'atteindre temporairement deux virgule trois (au-delà des limites normales).</w:t>
      </w:r>
    </w:p>
    <w:p>
      <w:pPr>
        <w:pStyle w:val="BodyText"/>
        <w:rPr/>
      </w:pPr>
      <w:r>
        <w:rPr/>
      </w:r>
    </w:p>
    <w:p>
      <w:pPr>
        <w:pStyle w:val="Heading4"/>
        <w:numPr>
          <w:ilvl w:val="3"/>
          <w:numId w:val="3"/>
        </w:numPr>
        <w:spacing w:lineRule="auto" w:line="240" w:before="57" w:after="57"/>
        <w:rPr/>
      </w:pPr>
      <w:r>
        <w:rPr/>
        <w:t>Axiome 3.6 (Garde-fou absolu).</w:t>
      </w:r>
    </w:p>
    <w:p>
      <w:pPr>
        <w:pStyle w:val="BodyText"/>
        <w:rPr/>
      </w:pPr>
      <w:r>
        <w:rPr/>
        <w:t>Même en Couche 3, le produit η × Π ne peut excéder deux virgule cinq, évitant les emballements hyperinflationnistes.</w:t>
      </w:r>
    </w:p>
    <w:p>
      <w:pPr>
        <w:pStyle w:val="BodyText"/>
        <w:rPr/>
      </w:pPr>
      <w:r>
        <w:rPr/>
      </w:r>
    </w:p>
    <w:p>
      <w:pPr>
        <w:pStyle w:val="Heading4"/>
        <w:numPr>
          <w:ilvl w:val="3"/>
          <w:numId w:val="3"/>
        </w:numPr>
        <w:spacing w:lineRule="auto" w:line="240" w:before="57" w:after="57"/>
        <w:rPr/>
      </w:pPr>
      <w:r>
        <w:rPr/>
        <w:t>Proposition 3.7 (Retour à la normale).</w:t>
      </w:r>
    </w:p>
    <w:p>
      <w:pPr>
        <w:pStyle w:val="BodyText"/>
        <w:rPr/>
      </w:pPr>
      <w:r>
        <w:rPr/>
        <w:t>La Couche 3 n'est jamais permanente. Un mécanisme de retour automatique est intégré dès l'activation.</w:t>
      </w:r>
    </w:p>
    <w:p>
      <w:pPr>
        <w:pStyle w:val="BodyText"/>
        <w:rPr/>
      </w:pPr>
      <w:r>
        <w:rPr/>
        <w:t>Lorsque les indicateurs de crise se normalisent (r_t revenu dans [0,85 ; 1,15], ν_eff &gt; 0,12, τ_eng &lt; 0,55, tous maintenus pendant au moins trois cycles), une proposition de retour est automatiquement émise vers la DAO.</w:t>
      </w:r>
    </w:p>
    <w:p>
      <w:pPr>
        <w:pStyle w:val="BodyText"/>
        <w:rPr/>
      </w:pPr>
      <w:r>
        <w:rPr/>
        <w:t>La sortie de crise nécessite seulement une majorité simple (supérieure à cinquante pour cent), car elle est moins risquée que l'activation. Le retour se fait progressivement : pour T, transition sur trois cycles minimum vers T_base = 30 jours ; pour Π, suit sa loi naturelle de variation jusqu'à stabilisation dans [0,95 ; 1,05], puis désactivation automatique.</w:t>
      </w:r>
    </w:p>
    <w:p>
      <w:pPr>
        <w:pStyle w:val="BodyText"/>
        <w:rPr/>
      </w:pPr>
      <w:r>
        <w:rPr/>
        <w:t>Chaque crise est archivée intégralement dans la DHT : logs de décision, évolution des paramètres, analyse post-mortem réalisée par la Chambre Administrative. Cette mémoire collective permet d'apprendre des crises passées et d'affiner les réponses futures.</w:t>
      </w:r>
    </w:p>
    <w:p>
      <w:pPr>
        <w:pStyle w:val="BodyText"/>
        <w:rPr/>
      </w:pPr>
      <w:r>
        <w:rPr/>
      </w:r>
    </w:p>
    <w:p>
      <w:pPr>
        <w:pStyle w:val="Heading3"/>
        <w:numPr>
          <w:ilvl w:val="2"/>
          <w:numId w:val="3"/>
        </w:numPr>
        <w:ind w:hanging="0" w:left="0"/>
        <w:rPr/>
      </w:pPr>
      <w:r>
        <w:rPr/>
        <w:t xml:space="preserve"> </w:t>
      </w:r>
      <w:r>
        <w:rPr/>
        <w:t>3.1.4. Fédération et fusion des Exchanges</w:t>
      </w:r>
    </w:p>
    <w:p>
      <w:pPr>
        <w:pStyle w:val="BodyText"/>
        <w:rPr/>
      </w:pPr>
      <w:r>
        <w:rPr/>
        <w:t>L'architecture d'IRIS autorise l'existence de plusieurs instances d'Exchange opérant dans des zones économiques distinctes. Cette décentralisation géographique ou culturelle permet à chaque communauté de démarrer son propre écosystème IRIS tout en restant compatible avec les autres.</w:t>
      </w:r>
    </w:p>
    <w:p>
      <w:pPr>
        <w:pStyle w:val="BodyText"/>
        <w:rPr/>
      </w:pPr>
      <w:r>
        <w:rPr/>
      </w:r>
    </w:p>
    <w:p>
      <w:pPr>
        <w:pStyle w:val="Heading4"/>
        <w:numPr>
          <w:ilvl w:val="3"/>
          <w:numId w:val="3"/>
        </w:numPr>
        <w:spacing w:lineRule="auto" w:line="240" w:before="57" w:after="57"/>
        <w:rPr/>
      </w:pPr>
      <w:r>
        <w:rPr/>
        <w:t>Définition 3.11 (Principe de fédération).</w:t>
      </w:r>
    </w:p>
    <w:p>
      <w:pPr>
        <w:pStyle w:val="BodyText"/>
        <w:rPr/>
      </w:pPr>
      <w:r>
        <w:rPr/>
        <w:t>Chaque Exchange peut calculer son revenu universel local tout en demeurant cohérent avec la dynamique globale grâce au principe de fédération. Les lois économiques fondamentales restent identiques partout : (S) + (U) →^(EX) (V) (la création de valeur obéit toujours à la même loi énergétique), (V) →^κ (U) (la conversion suit les mêmes règles thermodynamiques), ΔV^(avance) = ΔD (l'invariance énergétique est universelle).</w:t>
      </w:r>
    </w:p>
    <w:p>
      <w:pPr>
        <w:pStyle w:val="BodyText"/>
        <w:rPr/>
      </w:pPr>
      <w:r>
        <w:rPr/>
        <w:t>Ce qui varie entre zones, ce sont les conditions initiales (V₀, D₀), les paramètres de régulation (η, κ peuvent différer légèrement), et la gouvernance locale (chaque DAO est souveraine).</w:t>
      </w:r>
    </w:p>
    <w:p>
      <w:pPr>
        <w:pStyle w:val="BodyText"/>
        <w:rPr/>
      </w:pPr>
      <w:r>
        <w:rPr/>
      </w:r>
    </w:p>
    <w:p>
      <w:pPr>
        <w:pStyle w:val="Heading4"/>
        <w:numPr>
          <w:ilvl w:val="3"/>
          <w:numId w:val="3"/>
        </w:numPr>
        <w:spacing w:lineRule="auto" w:line="240" w:before="57" w:after="57"/>
        <w:rPr/>
      </w:pPr>
      <w:r>
        <w:rPr/>
        <w:t>Proposition 3.8 (Équation fédérative).</w:t>
      </w:r>
    </w:p>
    <w:p>
      <w:pPr>
        <w:pStyle w:val="BodyText"/>
        <w:rPr/>
      </w:pPr>
      <w:r>
        <w:rPr/>
        <w:t>Le revenu universel d'une fédération d'Exchanges se calcule selon :</w:t>
      </w:r>
    </w:p>
    <w:p>
      <w:pPr>
        <w:pStyle w:val="BodyText"/>
        <w:rPr/>
      </w:pPr>
      <w:r>
        <w:rPr/>
      </w:r>
    </w:p>
    <w:p>
      <w:pPr>
        <w:pStyle w:val="BodyText"/>
        <w:jc w:val="center"/>
        <w:rPr/>
      </w:pPr>
      <w:r>
        <w:rPr/>
        <w:t>U_t^(fédération) = (1 - ρ_t) × V_(t-1)^(on,fédération) / (T × ∑_z N_t^(z))</w:t>
      </w:r>
    </w:p>
    <w:p>
      <w:pPr>
        <w:pStyle w:val="BodyText"/>
        <w:rPr/>
      </w:pPr>
      <w:r>
        <w:rPr/>
      </w:r>
    </w:p>
    <w:p>
      <w:pPr>
        <w:pStyle w:val="BodyText"/>
        <w:rPr/>
      </w:pPr>
      <w:r>
        <w:rPr/>
        <w:t>où la valeur vivante fédérée agrège l'ensemble des zones :</w:t>
      </w:r>
    </w:p>
    <w:p>
      <w:pPr>
        <w:pStyle w:val="BodyText"/>
        <w:rPr/>
      </w:pPr>
      <w:r>
        <w:rPr/>
      </w:r>
    </w:p>
    <w:p>
      <w:pPr>
        <w:pStyle w:val="BodyText"/>
        <w:jc w:val="center"/>
        <w:rPr/>
      </w:pPr>
      <w:r>
        <w:rPr/>
        <w:t>V_t^(on,fédération) = ∑_z (∑ V^(z) - ∑ V^(NFT_financiers,z))</w:t>
      </w:r>
    </w:p>
    <w:p>
      <w:pPr>
        <w:pStyle w:val="BodyText"/>
        <w:rPr/>
      </w:pPr>
      <w:r>
        <w:rPr/>
      </w:r>
    </w:p>
    <w:p>
      <w:pPr>
        <w:pStyle w:val="BodyText"/>
        <w:rPr/>
      </w:pPr>
      <w:r>
        <w:rPr/>
        <w:t>Cette formulation garantit que chaque zone conserve son autonomie de régulation locale, que la masse monétaire totale (U) reste proportionnelle à la valeur vivante totale vérifiée, et que les NFT financiers immobilisés sont correctement exclus du calcul, quelle que soit leur localisation.</w:t>
      </w:r>
    </w:p>
    <w:p>
      <w:pPr>
        <w:pStyle w:val="BodyText"/>
        <w:rPr/>
      </w:pPr>
      <w:r>
        <w:rPr/>
      </w:r>
    </w:p>
    <w:p>
      <w:pPr>
        <w:pStyle w:val="Heading4"/>
        <w:numPr>
          <w:ilvl w:val="3"/>
          <w:numId w:val="3"/>
        </w:numPr>
        <w:spacing w:lineRule="auto" w:line="240" w:before="57" w:after="57"/>
        <w:rPr/>
      </w:pPr>
      <w:r>
        <w:rPr/>
        <w:t>Corollaire 3.2 (Exclusion des NFT financiers).</w:t>
      </w:r>
    </w:p>
    <w:p>
      <w:pPr>
        <w:pStyle w:val="BodyText"/>
        <w:rPr/>
      </w:pPr>
      <w:r>
        <w:rPr/>
        <w:t>L'exclusion des NFT financiers est cruciale : elle évite qu'une zone ne gonfle artificiellement son RU par une capitalisation boursière spéculative. Seule la valeur « respirante », effectivement disponible pour l'usage collectif, compte dans le calcul du revenu universel.</w:t>
      </w:r>
    </w:p>
    <w:p>
      <w:pPr>
        <w:pStyle w:val="BodyText"/>
        <w:rPr/>
      </w:pPr>
      <w:r>
        <w:rPr/>
      </w:r>
    </w:p>
    <w:p>
      <w:pPr>
        <w:pStyle w:val="Heading4"/>
        <w:numPr>
          <w:ilvl w:val="3"/>
          <w:numId w:val="3"/>
        </w:numPr>
        <w:spacing w:lineRule="auto" w:line="240" w:before="57" w:after="57"/>
        <w:rPr/>
      </w:pPr>
      <w:r>
        <w:rPr/>
        <w:t>Théorème 3.4 (Respiration fédérale coordonnée).</w:t>
      </w:r>
    </w:p>
    <w:p>
      <w:pPr>
        <w:pStyle w:val="BodyText"/>
        <w:rPr/>
      </w:pPr>
      <w:r>
        <w:rPr/>
        <w:t>Les Exchanges fédérés ne respirent pas en totale indépendance : leurs cycles se synchronisent naturellement par les transactions inter-zones.</w:t>
      </w:r>
    </w:p>
    <w:p>
      <w:pPr>
        <w:pStyle w:val="BodyText"/>
        <w:rPr/>
      </w:pPr>
      <w:r>
        <w:rPr/>
        <w:t>Lorsqu'un utilisateur de la zone A achète un bien produit dans la zone B, les deux Exchanges enregistrent simultanément : dans la zone A, burn de (U) et (S) de l'acheteur, transfert de NFT ; dans la zone B, création de (V) pour le vendeur, mise à jour de V^(on).</w:t>
      </w:r>
    </w:p>
    <w:p>
      <w:pPr>
        <w:pStyle w:val="BodyText"/>
        <w:rPr/>
      </w:pPr>
      <w:r>
        <w:rPr/>
        <w:t>Cette respiration croisée crée une convergence douce des paramètres η et κ entre zones proches économiquement. Les zones très connectées tendent à harmoniser leurs régulations, tandis que les zones isolées conservent leur spécificité.</w:t>
      </w:r>
    </w:p>
    <w:p>
      <w:pPr>
        <w:pStyle w:val="BodyText"/>
        <w:rPr/>
      </w:pPr>
      <w:r>
        <w:rPr/>
      </w:r>
    </w:p>
    <w:p>
      <w:pPr>
        <w:pStyle w:val="Heading4"/>
        <w:numPr>
          <w:ilvl w:val="3"/>
          <w:numId w:val="3"/>
        </w:numPr>
        <w:spacing w:lineRule="auto" w:line="240" w:before="57" w:after="57"/>
        <w:rPr/>
      </w:pPr>
      <w:r>
        <w:rPr/>
        <w:t>Définition 3.12 (Processus de fusion).</w:t>
      </w:r>
    </w:p>
    <w:p>
      <w:pPr>
        <w:pStyle w:val="BodyText"/>
        <w:rPr/>
      </w:pPr>
      <w:r>
        <w:rPr/>
        <w:t>En cas de compatibilité thermométrique durable (|r_A - r_B| ≤ 0,15 pendant au moins six cycles) et de validation par les DAO respectives (supérieure ou égale à soixante pour cent dans chaque zone), deux Exchanges peuvent fusionner. Ce processus n'est jamais imposé, mais toujours volontaire et progressif.</w:t>
      </w:r>
    </w:p>
    <w:p>
      <w:pPr>
        <w:pStyle w:val="BodyText"/>
        <w:rPr/>
      </w:pPr>
      <w:r>
        <w:rPr/>
        <w:t>La séquence de fusion comprend :</w:t>
      </w:r>
    </w:p>
    <w:p>
      <w:pPr>
        <w:pStyle w:val="BodyText"/>
        <w:rPr/>
      </w:pPr>
      <w:r>
        <w:rPr/>
        <w:t>Phase de synchronisation (trois cycles) : harmonisation progressive des paramètres η et κ ; publication croisée des agrégats statistiques dans les DHT respectives ; les utilisateurs peuvent tester les transactions inter-zones avec friction minimale.</w:t>
      </w:r>
    </w:p>
    <w:p>
      <w:pPr>
        <w:pStyle w:val="BodyText"/>
        <w:rPr/>
      </w:pPr>
      <w:r>
        <w:rPr/>
        <w:t>Vote de fusion : chaque zone vote indépendamment (seuil : soixante-quinze pour cent en super-majorité) ; les deux votes doivent être positifs simultanément ; période de délibération minimum de deux cycles.</w:t>
      </w:r>
    </w:p>
    <w:p>
      <w:pPr>
        <w:pStyle w:val="BodyText"/>
        <w:rPr/>
      </w:pPr>
      <w:r>
        <w:rPr/>
        <w:t>Création de la DAO unifiée : gouvernance commune intégrant proportionnellement les membres des deux zones ; maintien des chambres locales (Administrative, Législative, Mémorielle) avec coordination fédérale ; élection d'un conseil de coordination inter-zones.</w:t>
      </w:r>
    </w:p>
    <w:p>
      <w:pPr>
        <w:pStyle w:val="BodyText"/>
        <w:rPr/>
      </w:pPr>
      <w:r>
        <w:rPr/>
        <w:t>Unification des registres : fusion des DHT avec préservation intégrale de l'identité énergétique (∑V₀ = ∑D₀) ; les preuves d'origine (NFT fondateurs, actes d'initialisation) restent immuables ; chaque transaction passée conserve sa traçabilité complète.</w:t>
      </w:r>
    </w:p>
    <w:p>
      <w:pPr>
        <w:pStyle w:val="BodyText"/>
        <w:rPr/>
      </w:pPr>
      <w:r>
        <w:rPr/>
        <w:t>Chambre de Relance commune : intégration des actifs orphelins des deux zones ; harmonisation des procédures d'adjudication ; calendrier commun de cycles de relance.</w:t>
      </w:r>
    </w:p>
    <w:p>
      <w:pPr>
        <w:pStyle w:val="BodyText"/>
        <w:rPr/>
      </w:pPr>
      <w:r>
        <w:rPr/>
      </w:r>
    </w:p>
    <w:p>
      <w:pPr>
        <w:pStyle w:val="Heading4"/>
        <w:numPr>
          <w:ilvl w:val="3"/>
          <w:numId w:val="3"/>
        </w:numPr>
        <w:spacing w:lineRule="auto" w:line="240" w:before="57" w:after="57"/>
        <w:rPr/>
      </w:pPr>
      <w:r>
        <w:rPr/>
        <w:t>Proposition 3.9 (Scalabilité organique).</w:t>
      </w:r>
    </w:p>
    <w:p>
      <w:pPr>
        <w:pStyle w:val="BodyText"/>
        <w:rPr/>
      </w:pPr>
      <w:r>
        <w:rPr/>
        <w:t>Ce processus démontre la scalabilité organique d'IRIS : la fédération préserve la diversité locale et l'autonomie gouvernementale, tandis que la fusion volontaire permet de créer des ensembles économiques cohérents lorsque cela fait sens. L'économie peut ainsi grandir par agrégation naturelle, sans jamais imposer une unification centralisée.</w:t>
      </w:r>
    </w:p>
    <w:p>
      <w:pPr>
        <w:pStyle w:val="BodyText"/>
        <w:rPr/>
      </w:pPr>
      <w:r>
        <w:rPr/>
      </w:r>
    </w:p>
    <w:p>
      <w:pPr>
        <w:pStyle w:val="Heading4"/>
        <w:numPr>
          <w:ilvl w:val="3"/>
          <w:numId w:val="3"/>
        </w:numPr>
        <w:spacing w:lineRule="auto" w:line="240" w:before="57" w:after="57"/>
        <w:rPr/>
      </w:pPr>
      <w:r>
        <w:rPr/>
        <w:t>Corollaire 3.3 (Réversibilité de la fusion).</w:t>
      </w:r>
    </w:p>
    <w:p>
      <w:pPr>
        <w:pStyle w:val="BodyText"/>
        <w:rPr/>
      </w:pPr>
      <w:r>
        <w:rPr/>
        <w:t>Une fusion peut être défaite par vote inverse (supérieur ou égal à soixante-quinze pour cent dans la zone demandant la séparation) si des divergences insurmontables apparaissent ultérieurement. La séparation respecte alors le même processus progressif, garantissant qu'aucune valeur n'est perdue et que chaque zone repart avec sa part équitable du patrimoine commun.</w:t>
      </w:r>
    </w:p>
    <w:p>
      <w:pPr>
        <w:pStyle w:val="BodyText"/>
        <w:rPr/>
      </w:pPr>
      <w:r>
        <w:rPr/>
      </w:r>
    </w:p>
    <w:p>
      <w:pPr>
        <w:pStyle w:val="Heading3"/>
        <w:numPr>
          <w:ilvl w:val="0"/>
          <w:numId w:val="0"/>
        </w:numPr>
        <w:ind w:hanging="0" w:left="0"/>
        <w:rPr/>
      </w:pPr>
      <w:r>
        <w:rPr/>
        <w:t>3.1.5. Séquence transactionnelle et transmission sélective</w:t>
      </w:r>
    </w:p>
    <w:p>
      <w:pPr>
        <w:pStyle w:val="Heading3"/>
        <w:numPr>
          <w:ilvl w:val="2"/>
          <w:numId w:val="3"/>
        </w:numPr>
        <w:spacing w:before="68" w:after="68"/>
        <w:rPr/>
      </w:pPr>
      <w:r>
        <w:rPr/>
      </w:r>
    </w:p>
    <w:p>
      <w:pPr>
        <w:pStyle w:val="BodyText"/>
        <w:rPr/>
      </w:pPr>
      <w:r>
        <w:rPr/>
        <w:t>Chaque transaction opérée par l'Exchange suit une séquence stricte, garantissant simultanément la traçabilité des preuves, la neutralité énergétique et la confidentialité des données sensibles.</w:t>
      </w:r>
    </w:p>
    <w:p>
      <w:pPr>
        <w:pStyle w:val="BodyText"/>
        <w:rPr/>
      </w:pPr>
      <w:r>
        <w:rPr/>
      </w:r>
    </w:p>
    <w:p>
      <w:pPr>
        <w:pStyle w:val="Heading4"/>
        <w:numPr>
          <w:ilvl w:val="3"/>
          <w:numId w:val="3"/>
        </w:numPr>
        <w:spacing w:lineRule="auto" w:line="240" w:before="57" w:after="57"/>
        <w:rPr/>
      </w:pPr>
      <w:r>
        <w:rPr/>
        <w:t>Définition 3.13 (Les sept étapes de la transaction).</w:t>
      </w:r>
    </w:p>
    <w:p>
      <w:pPr>
        <w:pStyle w:val="BodyText"/>
        <w:rPr/>
      </w:pPr>
      <w:r>
        <w:rPr/>
        <w:t>Première étape : Émission d'un NFT adossé à un Stipulat (S)</w:t>
      </w:r>
    </w:p>
    <w:p>
      <w:pPr>
        <w:pStyle w:val="BodyText"/>
        <w:rPr/>
      </w:pPr>
      <w:r>
        <w:rPr/>
        <w:t>Le vendeur (Compte Entreprise généralement) crée un NFT représentant le bien ou service. Ce NFT reste inerte tant qu'il n'est pas adossé à un Stipulat, c'est-à-dire à la preuve cryptographique d'un effort réel investi dans sa création. Le Stipulat porte la mémoire de l'engagement : temps de travail, énergie mobilisée, savoir-faire appliqué.</w:t>
      </w:r>
    </w:p>
    <w:p>
      <w:pPr>
        <w:pStyle w:val="BodyText"/>
        <w:rPr/>
      </w:pPr>
      <w:r>
        <w:rPr/>
      </w:r>
    </w:p>
    <w:p>
      <w:pPr>
        <w:pStyle w:val="BodyText"/>
        <w:rPr/>
      </w:pPr>
      <w:r>
        <w:rPr/>
        <w:t>Deuxième étape : Validation cryptographique EX (TU/VC)</w:t>
      </w:r>
    </w:p>
    <w:p>
      <w:pPr>
        <w:pStyle w:val="BodyText"/>
        <w:rPr/>
      </w:pPr>
      <w:r>
        <w:rPr/>
        <w:t>L'acheteur signe la transaction avec sa clé privée, attestant de son identité unique (TU/VC). Cette signature prouve qu'un être humain vivant et unique a réellement consenti à l'échange. Aucune transaction ne peut être exécutée sans cette preuve d'existence et de volonté.</w:t>
      </w:r>
    </w:p>
    <w:p>
      <w:pPr>
        <w:pStyle w:val="BodyText"/>
        <w:rPr/>
      </w:pPr>
      <w:r>
        <w:rPr/>
      </w:r>
    </w:p>
    <w:p>
      <w:pPr>
        <w:pStyle w:val="BodyText"/>
        <w:rPr/>
      </w:pPr>
      <w:r>
        <w:rPr/>
        <w:t>Troisième étape : Burn simultané des unités d'usage (U) et du Stipulat (S)</w:t>
      </w:r>
    </w:p>
    <w:p>
      <w:pPr>
        <w:pStyle w:val="BodyText"/>
        <w:rPr/>
      </w:pPr>
      <w:r>
        <w:rPr/>
        <w:t>C'est le moment de conversion énergétique parfaite. L'acheteur détruit définitivement les (U) nécessaires (issues de son RU ou converties depuis ses V). Le vendeur détruit le Stipulat adossé au NFT. Cette double combustion garantit que la transaction est irréversible et énergétiquement neutre : rien n'est créé ex nihilo, tout provient d'une destruction préalable.</w:t>
      </w:r>
    </w:p>
    <w:p>
      <w:pPr>
        <w:pStyle w:val="BodyText"/>
        <w:rPr/>
      </w:pPr>
      <w:r>
        <w:rPr/>
      </w:r>
    </w:p>
    <w:p>
      <w:pPr>
        <w:pStyle w:val="BodyText"/>
        <w:jc w:val="center"/>
        <w:rPr/>
      </w:pPr>
      <w:r>
        <w:rPr/>
        <w:t>E_t = w_S × s_burn,t + w_U × u_burn,t</w:t>
      </w:r>
    </w:p>
    <w:p>
      <w:pPr>
        <w:pStyle w:val="BodyText"/>
        <w:rPr/>
      </w:pPr>
      <w:r>
        <w:rPr/>
      </w:r>
    </w:p>
    <w:p>
      <w:pPr>
        <w:pStyle w:val="BodyText"/>
        <w:rPr/>
      </w:pPr>
      <w:r>
        <w:rPr/>
        <w:t>Cette équation exprime la symétrie fondamentale : la moitié de l'énergie vient de l'effort (S), l'autre de l'usage (U). Sans cette dualité, aucune valeur ne peut naître.</w:t>
      </w:r>
    </w:p>
    <w:p>
      <w:pPr>
        <w:pStyle w:val="BodyText"/>
        <w:rPr/>
      </w:pPr>
      <w:r>
        <w:rPr/>
      </w:r>
    </w:p>
    <w:p>
      <w:pPr>
        <w:pStyle w:val="BodyText"/>
        <w:rPr/>
      </w:pPr>
      <w:r>
        <w:rPr/>
        <w:t>Quatrième étape : Crédit en (V) sur le compte du vendeur</w:t>
      </w:r>
    </w:p>
    <w:p>
      <w:pPr>
        <w:pStyle w:val="BodyText"/>
        <w:rPr/>
      </w:pPr>
      <w:r>
        <w:rPr/>
        <w:t>La valeur créée est calculée selon :</w:t>
      </w:r>
    </w:p>
    <w:p>
      <w:pPr>
        <w:pStyle w:val="BodyText"/>
        <w:rPr/>
      </w:pPr>
      <w:r>
        <w:rPr/>
      </w:r>
    </w:p>
    <w:p>
      <w:pPr>
        <w:pStyle w:val="BodyText"/>
        <w:jc w:val="center"/>
        <w:rPr/>
      </w:pPr>
      <w:r>
        <w:rPr/>
        <w:t>ΔV_t^(créa) = η × Δt × E_t</w:t>
      </w:r>
    </w:p>
    <w:p>
      <w:pPr>
        <w:pStyle w:val="BodyText"/>
        <w:rPr/>
      </w:pPr>
      <w:r>
        <w:rPr/>
      </w:r>
    </w:p>
    <w:p>
      <w:pPr>
        <w:pStyle w:val="BodyText"/>
        <w:rPr/>
      </w:pPr>
      <w:r>
        <w:rPr/>
        <w:t>Le multiplicateur η (déterminé par l'état global du système) module cette création. En période de relance, η &gt; 1 amplifie la récompense pour les actes productifs. En période de surchauffe, η &lt; 1 tempère la création. Le vendeur reçoit ainsi une quantité de (V) proportionnelle à l'effort réel, ajustée par la respiration collective du système.</w:t>
      </w:r>
    </w:p>
    <w:p>
      <w:pPr>
        <w:pStyle w:val="BodyText"/>
        <w:rPr/>
      </w:pPr>
      <w:r>
        <w:rPr/>
      </w:r>
    </w:p>
    <w:p>
      <w:pPr>
        <w:pStyle w:val="BodyText"/>
        <w:rPr/>
      </w:pPr>
      <w:r>
        <w:rPr/>
        <w:t>Cinquième étape : Transfert du NFT activé</w:t>
      </w:r>
    </w:p>
    <w:p>
      <w:pPr>
        <w:pStyle w:val="BodyText"/>
        <w:rPr/>
      </w:pPr>
      <w:r>
        <w:rPr/>
        <w:t>Le NFT, désormais activé par la combustion de (S) et la création de (V), est transféré vers le Compte NFT Privé (CNP) de l'acheteur s'il s'agit d'un bien de consommation finale, ou vers un Compte Entreprise s'il s'agit d'un intrant productif destiné à une nouvelle transformation. Le NFT conserve dans ses métadonnées l'intégralité de sa généalogie : arbre de valeur, composants, producteurs successifs, transformations subies. Cette mémoire complète garantit la traçabilité intégrale du réel.</w:t>
      </w:r>
    </w:p>
    <w:p>
      <w:pPr>
        <w:pStyle w:val="BodyText"/>
        <w:rPr/>
      </w:pPr>
      <w:r>
        <w:rPr/>
      </w:r>
    </w:p>
    <w:p>
      <w:pPr>
        <w:pStyle w:val="BodyText"/>
        <w:rPr/>
      </w:pPr>
      <w:r>
        <w:rPr/>
        <w:t>Sixième étape : Transmission sélective des métadonnées</w:t>
      </w:r>
    </w:p>
    <w:p>
      <w:pPr>
        <w:pStyle w:val="BodyText"/>
        <w:rPr/>
      </w:pPr>
      <w:r>
        <w:rPr/>
        <w:t>L'Exchange opère ici une fonction cruciale de ségrégation informationnelle : toutes les données ne vont pas au même endroit, préservant la confidentialité tout en assurant la transparence nécessaire.</w:t>
      </w:r>
    </w:p>
    <w:p>
      <w:pPr>
        <w:pStyle w:val="BodyText"/>
        <w:rPr/>
      </w:pPr>
      <w:r>
        <w:rPr/>
        <w:t>Vers la Chambre Administrative : produit (nature, catégorie services/produits), arbre de valeur (structure complète du NFT, composants, filiation), généalogie productive (historique des transformations et des producteurs successifs). Ces informations permettent de construire le cadastre économique, de mesurer les flux sectoriels (V_s vs V_p), et d'auditer la cohérence globale.</w:t>
      </w:r>
    </w:p>
    <w:p>
      <w:pPr>
        <w:pStyle w:val="BodyText"/>
        <w:rPr/>
      </w:pPr>
      <w:r>
        <w:rPr/>
        <w:t>Vers la Chambre Législative : identité cryptographique (hash du TU/VC, jamais l'identité en clair), référentiel contractuel (type de contrat : vente simple, stacking, TAP, abonnement), conformité juridique (validation que la transaction respecte les règles établies par la DAO). Ces informations permettent de détecter les fraudes, d'appliquer les sanctions éventuelles, et de garantir l'État de droit sans surveillance totale.</w:t>
      </w:r>
    </w:p>
    <w:p>
      <w:pPr>
        <w:pStyle w:val="BodyText"/>
        <w:rPr/>
      </w:pPr>
      <w:r>
        <w:rPr/>
        <w:t>Stockage local chiffré (chez les agents) : prix exact (montant en (U) et (V), jamais publié globalement), clés privées (signatures, preuves cryptographiques personnelles), historiques détaillés (conversation contractuelle, négociation, conditions particulières), flux énergétiques internes (détail des burns, conversions, allocations). Ces données sensibles ne quittent jamais les nœuds des parties prenantes. Elles restent sous contrôle souverain de leurs détenteurs.</w:t>
      </w:r>
    </w:p>
    <w:p>
      <w:pPr>
        <w:pStyle w:val="BodyText"/>
        <w:rPr/>
      </w:pPr>
      <w:r>
        <w:rPr/>
      </w:r>
    </w:p>
    <w:p>
      <w:pPr>
        <w:pStyle w:val="BodyText"/>
        <w:rPr/>
      </w:pPr>
      <w:r>
        <w:rPr/>
        <w:t>Septième étape : Enregistrement par hash et horodatage</w:t>
      </w:r>
    </w:p>
    <w:p>
      <w:pPr>
        <w:pStyle w:val="BodyText"/>
        <w:rPr/>
      </w:pPr>
      <w:r>
        <w:rPr/>
        <w:t>Chaque opération est résumée par un hash cryptographique unique, lié temporellement (timestamp) et généalogiquement (hash parent). Ce hash est publié dans la DHT, constituant une preuve d'existence indélébile. Mais ce hash ne révèle rien des données sous-jacentes : il atteste simplement qu'une transaction conforme a eu lieu, à tel moment, entre tels acteurs (identifiés par leurs hash publics), sans divulguer le prix, les conditions particulières, ou les motivations.</w:t>
      </w:r>
    </w:p>
    <w:p>
      <w:pPr>
        <w:pStyle w:val="BodyText"/>
        <w:rPr/>
      </w:pPr>
      <w:r>
        <w:rPr/>
      </w:r>
    </w:p>
    <w:p>
      <w:pPr>
        <w:pStyle w:val="Heading4"/>
        <w:numPr>
          <w:ilvl w:val="3"/>
          <w:numId w:val="3"/>
        </w:numPr>
        <w:spacing w:lineRule="auto" w:line="240" w:before="57" w:after="57"/>
        <w:rPr/>
      </w:pPr>
      <w:r>
        <w:rPr/>
        <w:t>Théorème 3.5 (Double garantie de confiance).</w:t>
      </w:r>
    </w:p>
    <w:p>
      <w:pPr>
        <w:pStyle w:val="BodyText"/>
        <w:rPr/>
      </w:pPr>
      <w:r>
        <w:rPr/>
        <w:t>Cette architecture établit une double garantie de confiance.</w:t>
      </w:r>
    </w:p>
    <w:p>
      <w:pPr>
        <w:pStyle w:val="BodyText"/>
        <w:rPr/>
      </w:pPr>
      <w:r>
        <w:rPr/>
        <w:t>Transparence systémique : les flux globaux (V, (U), D) sont vérifiables par tous. La Chambre Administrative peut auditer l'économie réelle. La Chambre Législative peut faire respecter les règles. Aucune transaction ne peut être dissimulée.</w:t>
      </w:r>
    </w:p>
    <w:p>
      <w:pPr>
        <w:pStyle w:val="BodyText"/>
        <w:rPr/>
      </w:pPr>
      <w:r>
        <w:rPr/>
        <w:t>Confidentialité individuelle : les détails privés (prix, conditions, identités réelles) restent chiffrés et décentralisés. Aucune autorité centrale ne peut reconstituer l'historique complet d'une personne. La surveillance de masse est structurellement impossible.</w:t>
      </w:r>
    </w:p>
    <w:p>
      <w:pPr>
        <w:pStyle w:val="BodyText"/>
        <w:rPr/>
      </w:pPr>
      <w:r>
        <w:rPr/>
        <w:t>L'Exchange se positionne ainsi comme le point d'équilibre entre preuve publique et secret privé : il rend la transaction vérifiable sans jamais en dévoiler les dimensions sensibles. Chaque opération, inscrite par son empreinte cryptographique, participe à la construction d'une mémoire économique incorruptible et respectueuse des libertés individuelles.</w:t>
      </w:r>
    </w:p>
    <w:p>
      <w:pPr>
        <w:pStyle w:val="BodyText"/>
        <w:rPr/>
      </w:pPr>
      <w:r>
        <w:rPr/>
      </w:r>
    </w:p>
    <w:p>
      <w:pPr>
        <w:pStyle w:val="Heading2"/>
        <w:numPr>
          <w:ilvl w:val="1"/>
          <w:numId w:val="3"/>
        </w:numPr>
        <w:ind w:hanging="0" w:left="0"/>
        <w:rPr/>
      </w:pPr>
      <w:r>
        <w:rPr/>
        <w:t>3.2. La respiration économique fondamentale.</w:t>
      </w:r>
    </w:p>
    <w:p>
      <w:pPr>
        <w:pStyle w:val="BodyText"/>
        <w:rPr/>
      </w:pPr>
      <w:r>
        <w:rPr/>
      </w:r>
    </w:p>
    <w:p>
      <w:pPr>
        <w:pStyle w:val="Heading3"/>
        <w:numPr>
          <w:ilvl w:val="2"/>
          <w:numId w:val="3"/>
        </w:numPr>
        <w:ind w:hanging="0" w:left="0"/>
        <w:rPr/>
      </w:pPr>
      <w:r>
        <w:rPr/>
        <w:t>3.2.1. La triade vitale : RU, Stacking et TAPs</w:t>
      </w:r>
    </w:p>
    <w:p>
      <w:pPr>
        <w:pStyle w:val="BodyText"/>
        <w:rPr/>
      </w:pPr>
      <w:r>
        <w:rPr/>
      </w:r>
    </w:p>
    <w:p>
      <w:pPr>
        <w:pStyle w:val="BodyText"/>
        <w:rPr/>
      </w:pPr>
      <w:r>
        <w:rPr/>
        <w:t>L'équilibre du système IRIS repose sur l'interaction dynamique entre trois flux essentiels, formant un triangle de régulation où chaque sommet influence les deux autres. Cette triade incarne les trois temps de la vie économique : le présent garanti, le futur engagé et la production investie.</w:t>
      </w:r>
    </w:p>
    <w:p>
      <w:pPr>
        <w:pStyle w:val="BodyText"/>
        <w:rPr/>
      </w:pPr>
      <w:r>
        <w:rPr/>
      </w:r>
    </w:p>
    <w:p>
      <w:pPr>
        <w:pStyle w:val="Heading4"/>
        <w:numPr>
          <w:ilvl w:val="3"/>
          <w:numId w:val="3"/>
        </w:numPr>
        <w:spacing w:lineRule="auto" w:line="240" w:before="57" w:after="57"/>
        <w:rPr/>
      </w:pPr>
      <w:r>
        <w:rPr/>
        <w:t>Définition 3.14 (Le Revenu Universel : l'inspiration de base).</w:t>
      </w:r>
    </w:p>
    <w:p>
      <w:pPr>
        <w:pStyle w:val="BodyText"/>
        <w:rPr/>
      </w:pPr>
      <w:r>
        <w:rPr/>
        <w:t>Le RU constitue le souffle économique fondamental, le flux continu qui garantit la stabilité sociale et alimente la demande de base. C'est la respiration autonome du système, celle qui ne cesse jamais, même en période de faible activité productive.</w:t>
      </w:r>
    </w:p>
    <w:p>
      <w:pPr>
        <w:pStyle w:val="BodyText"/>
        <w:rPr/>
      </w:pPr>
      <w:r>
        <w:rPr/>
        <w:t>Le RU n'est pas une charité, ni une aide conditionnelle, ni un dispositif d'assistance. C'est un droit énergétique : chaque être humain vivant et actif dans IRIS reçoit automatiquement sa part du flux collectif, calculée mécaniquement à partir de la richesse réelle vérifiée.</w:t>
      </w:r>
    </w:p>
    <w:p>
      <w:pPr>
        <w:pStyle w:val="BodyText"/>
        <w:rPr/>
      </w:pPr>
      <w:r>
        <w:rPr/>
        <w:t>Sans ce flux régulier, l'économie IRIS s'asphyxierait : les utilisateurs perdraient tout pouvoir d'achat, la circulation monétaire s'effondrerait, et le système entrerait en déflation mortelle. Le RU est l'oxygène permanent de l'économie, la garantie que la demande de base ne peut jamais s'effondrer totalement.</w:t>
      </w:r>
    </w:p>
    <w:p>
      <w:pPr>
        <w:pStyle w:val="BodyText"/>
        <w:rPr/>
      </w:pPr>
      <w:r>
        <w:rPr/>
      </w:r>
    </w:p>
    <w:p>
      <w:pPr>
        <w:pStyle w:val="Heading4"/>
        <w:numPr>
          <w:ilvl w:val="3"/>
          <w:numId w:val="3"/>
        </w:numPr>
        <w:spacing w:lineRule="auto" w:line="240" w:before="57" w:after="57"/>
        <w:rPr/>
      </w:pPr>
      <w:r>
        <w:rPr/>
        <w:t>Proposition 3.10 (Périodicité et non-accumulabilité).</w:t>
      </w:r>
    </w:p>
    <w:p>
      <w:pPr>
        <w:pStyle w:val="BodyText"/>
        <w:rPr/>
      </w:pPr>
      <w:r>
        <w:rPr/>
        <w:t>Le RU est périodique et non-accumulable. Chaque cycle distribue un nouveau RU, mais les unités (U) non utilisées à la fin du cycle sont brûlées automatiquement.</w:t>
      </w:r>
    </w:p>
    <w:p>
      <w:pPr>
        <w:pStyle w:val="BodyText"/>
        <w:rPr/>
      </w:pPr>
      <w:r>
        <w:rPr/>
        <w:t>Cette extinction force la circulation : personne ne peut thésauriser indéfiniment des U. La monnaie d'usage reste véritablement un flux, non un stock.</w:t>
      </w:r>
    </w:p>
    <w:p>
      <w:pPr>
        <w:pStyle w:val="BodyText"/>
        <w:rPr/>
      </w:pPr>
      <w:r>
        <w:rPr/>
      </w:r>
    </w:p>
    <w:p>
      <w:pPr>
        <w:pStyle w:val="Heading4"/>
        <w:numPr>
          <w:ilvl w:val="3"/>
          <w:numId w:val="3"/>
        </w:numPr>
        <w:spacing w:lineRule="auto" w:line="240" w:before="57" w:after="57"/>
        <w:rPr/>
      </w:pPr>
      <w:r>
        <w:rPr/>
        <w:t>Définition 3.15 (Le Stacking : la cadence respiratoire modulée).</w:t>
      </w:r>
    </w:p>
    <w:p>
      <w:pPr>
        <w:pStyle w:val="BodyText"/>
        <w:rPr/>
      </w:pPr>
      <w:r>
        <w:rPr/>
        <w:t>Le stacking permet d'engager une partie du revenu futur pour financer un achat présent. Il représente la capacité du système à « retenir son souffle » temporairement, à différer la consommation pour permettre un investissement immédiat.</w:t>
      </w:r>
    </w:p>
    <w:p>
      <w:pPr>
        <w:pStyle w:val="BodyText"/>
        <w:rPr/>
      </w:pPr>
      <w:r>
        <w:rPr/>
        <w:t>Contrairement au crédit bancaire classique (qui crée de la monnaie ex nihilo avec intérêts), le stacking anticipe un flux réel : les (U) futurs qui seront distribués automatiquement. Aucune création monétaire n'intervient, seulement une réorganisation temporelle.</w:t>
      </w:r>
    </w:p>
    <w:p>
      <w:pPr>
        <w:pStyle w:val="BodyText"/>
        <w:rPr/>
      </w:pPr>
      <w:r>
        <w:rPr/>
      </w:r>
    </w:p>
    <w:p>
      <w:pPr>
        <w:pStyle w:val="Heading4"/>
        <w:numPr>
          <w:ilvl w:val="3"/>
          <w:numId w:val="3"/>
        </w:numPr>
        <w:spacing w:lineRule="auto" w:line="240" w:before="57" w:after="57"/>
        <w:rPr/>
      </w:pPr>
      <w:r>
        <w:rPr/>
        <w:t>Proposition 3.11 (Mécanisme énergétique du stacking).</w:t>
      </w:r>
    </w:p>
    <w:p>
      <w:pPr>
        <w:pStyle w:val="BodyText"/>
        <w:rPr/>
      </w:pPr>
      <w:r>
        <w:rPr/>
        <w:t>Au moment de l'achat, le vendeur reçoit immédiatement (V) (création de valeur). En contrepartie, le RAD enregistre ΔD_stack = V_avancé (passif thermométrique). À chaque cycle suivant, une fraction du RU de l'acheteur est automatiquement brûlée. Chaque burn de (U) réduit D_stack d'autant :</w:t>
      </w:r>
    </w:p>
    <w:p>
      <w:pPr>
        <w:pStyle w:val="BodyText"/>
        <w:rPr/>
      </w:pPr>
      <w:r>
        <w:rPr/>
      </w:r>
    </w:p>
    <w:p>
      <w:pPr>
        <w:pStyle w:val="BodyText"/>
        <w:jc w:val="center"/>
        <w:rPr/>
      </w:pPr>
      <w:r>
        <w:rPr/>
        <w:t>D_stack,t = D_stack,t-1 - U_burn,t^(stack)</w:t>
      </w:r>
    </w:p>
    <w:p>
      <w:pPr>
        <w:pStyle w:val="BodyText"/>
        <w:rPr/>
      </w:pPr>
      <w:r>
        <w:rPr/>
      </w:r>
    </w:p>
    <w:p>
      <w:pPr>
        <w:pStyle w:val="BodyText"/>
        <w:rPr/>
      </w:pPr>
      <w:r>
        <w:rPr/>
        <w:t>Invariance énergétique : ΔV^(avance) = ΔD_stack au moment de la vente, puis ∑ U_burn^(stack) = D_stack,0 sur la durée totale du contrat. Aucune énergie n'est créée ni perdue : le stacking ne fait que réorganiser temporellement des flux qui existeront de toute façon.</w:t>
      </w:r>
    </w:p>
    <w:p>
      <w:pPr>
        <w:pStyle w:val="BodyText"/>
        <w:rPr/>
      </w:pPr>
      <w:r>
        <w:rPr/>
      </w:r>
    </w:p>
    <w:p>
      <w:pPr>
        <w:pStyle w:val="Heading4"/>
        <w:numPr>
          <w:ilvl w:val="3"/>
          <w:numId w:val="3"/>
        </w:numPr>
        <w:spacing w:lineRule="auto" w:line="240" w:before="57" w:after="57"/>
        <w:rPr/>
      </w:pPr>
      <w:r>
        <w:rPr/>
        <w:t>Corollaire 3.4 (Suivi par l'actif).</w:t>
      </w:r>
    </w:p>
    <w:p>
      <w:pPr>
        <w:pStyle w:val="BodyText"/>
        <w:rPr/>
      </w:pPr>
      <w:r>
        <w:rPr/>
        <w:t>Le contrat de stacking est attaché au NFT du bien financé. Si l'acheteur revend le bien avant extinction du stacking, l'engagement suit l'actif : le nouveau propriétaire hérite du contrat et doit assumer les cycles restants.</w:t>
      </w:r>
    </w:p>
    <w:p>
      <w:pPr>
        <w:pStyle w:val="BodyText"/>
        <w:rPr/>
      </w:pPr>
      <w:r>
        <w:rPr/>
        <w:t>Cette transférabilité évite les défauts et garantit que le passif D_stack sera toujours éteint, quelle que soit l'identité finale du détenteur.</w:t>
      </w:r>
    </w:p>
    <w:p>
      <w:pPr>
        <w:pStyle w:val="BodyText"/>
        <w:rPr/>
      </w:pPr>
      <w:r>
        <w:rPr/>
      </w:r>
    </w:p>
    <w:p>
      <w:pPr>
        <w:pStyle w:val="Heading4"/>
        <w:numPr>
          <w:ilvl w:val="3"/>
          <w:numId w:val="3"/>
        </w:numPr>
        <w:spacing w:lineRule="auto" w:line="240" w:before="57" w:after="57"/>
        <w:rPr/>
      </w:pPr>
      <w:r>
        <w:rPr/>
        <w:t>Définition 3.16 (Les TAPs : l'expiration productive).</w:t>
      </w:r>
    </w:p>
    <w:p>
      <w:pPr>
        <w:pStyle w:val="BodyText"/>
        <w:rPr/>
      </w:pPr>
      <w:r>
        <w:rPr/>
        <w:t>Les Titres à Promesse Productive transforment la confiance collective en capacité de production réelle. Ils représentent l'expiration du système : la conversion de l'air (la liquidité disponible) en énergie (la valeur créée par un projet concret).</w:t>
      </w:r>
    </w:p>
    <w:p>
      <w:pPr>
        <w:pStyle w:val="BodyText"/>
        <w:rPr/>
      </w:pPr>
      <w:r>
        <w:rPr/>
        <w:t>Un TAP n'est pas une dette au sens classique, mais un engagement thermodynamique : une entreprise reçoit une avance de valeur (V) pour financer un projet productif (construction d'une usine, développement d'un logiciel, plantation d'une forêt), et s'engage à rembourser cette valeur par des actes créateurs futurs.</w:t>
      </w:r>
    </w:p>
    <w:p>
      <w:pPr>
        <w:pStyle w:val="BodyText"/>
        <w:rPr/>
      </w:pPr>
      <w:r>
        <w:rPr/>
      </w:r>
    </w:p>
    <w:p>
      <w:pPr>
        <w:pStyle w:val="Heading4"/>
        <w:numPr>
          <w:ilvl w:val="3"/>
          <w:numId w:val="3"/>
        </w:numPr>
        <w:spacing w:lineRule="auto" w:line="240" w:before="57" w:after="57"/>
        <w:rPr/>
      </w:pPr>
      <w:r>
        <w:rPr/>
        <w:t>Proposition 3.12 (Adossement aux NFT financiers).</w:t>
      </w:r>
    </w:p>
    <w:p>
      <w:pPr>
        <w:pStyle w:val="BodyText"/>
        <w:rPr/>
      </w:pPr>
      <w:r>
        <w:rPr/>
        <w:t>Chaque TAP est garanti par une capitalisation vivante : la somme des NFT financiers émis par l'entreprise constitue une réserve bloquée (C_reserve = V_trésorerie + V_marché-financier).</w:t>
      </w:r>
    </w:p>
    <w:p>
      <w:pPr>
        <w:pStyle w:val="BodyText"/>
        <w:rPr/>
      </w:pPr>
      <w:r>
        <w:rPr/>
        <w:t>Le montant d'un TAP ne peut jamais excéder cette réserve, garantissant qu'en cas de défaillance, les investisseurs seront remboursés par prélèvement sur la capitalisation.</w:t>
      </w:r>
    </w:p>
    <w:p>
      <w:pPr>
        <w:pStyle w:val="BodyText"/>
        <w:rPr/>
      </w:pPr>
      <w:r>
        <w:rPr/>
        <w:t>Ce mécanisme crée une autorégulation organique : plus une entreprise honore ses TAPs sans perte, plus sa réputation thermodynamique (Φ_trust) augmente, attirant davantage d'investisseurs et permettant des TAPs plus importants. Inversement, les défauts répétés dégradent la confiance et limitent l'accès au financement.</w:t>
      </w:r>
    </w:p>
    <w:p>
      <w:pPr>
        <w:pStyle w:val="BodyText"/>
        <w:rPr/>
      </w:pPr>
      <w:r>
        <w:rPr/>
      </w:r>
    </w:p>
    <w:p>
      <w:pPr>
        <w:pStyle w:val="Heading4"/>
        <w:numPr>
          <w:ilvl w:val="3"/>
          <w:numId w:val="3"/>
        </w:numPr>
        <w:spacing w:lineRule="auto" w:line="240" w:before="57" w:after="57"/>
        <w:rPr/>
      </w:pPr>
      <w:r>
        <w:rPr/>
        <w:t>Proposition 3.13 (Remboursement énergétique).</w:t>
      </w:r>
    </w:p>
    <w:p>
      <w:pPr>
        <w:pStyle w:val="BodyText"/>
        <w:rPr/>
      </w:pPr>
      <w:r>
        <w:rPr/>
        <w:t>Les entreprises ne disposent pas de monnaie d'usage (U). Le remboursement des TAPs se fait donc exclusivement en valeur vivante (V), envoyée directement dans la Chambre de Combustion :</w:t>
      </w:r>
    </w:p>
    <w:p>
      <w:pPr>
        <w:pStyle w:val="BodyText"/>
        <w:rPr/>
      </w:pPr>
      <w:r>
        <w:rPr/>
      </w:r>
    </w:p>
    <w:p>
      <w:pPr>
        <w:pStyle w:val="BodyText"/>
        <w:jc w:val="center"/>
        <w:rPr/>
      </w:pPr>
      <w:r>
        <w:rPr/>
        <w:t>D_TAP,t = D_TAP,t-1 - V_burn,t^(TAP)</w:t>
      </w:r>
    </w:p>
    <w:p>
      <w:pPr>
        <w:pStyle w:val="BodyText"/>
        <w:rPr/>
      </w:pPr>
      <w:r>
        <w:rPr/>
      </w:r>
    </w:p>
    <w:p>
      <w:pPr>
        <w:pStyle w:val="BodyText"/>
        <w:rPr/>
      </w:pPr>
      <w:r>
        <w:rPr/>
        <w:t>Chaque unité de (V) brûlée éteint le passif thermométrique correspondant, restaurant progressivement l'équilibre. Cette combustion mesure la productivité effective du TAP : un projet qui génère rapidement de la valeur (V) peut rembourser vite, tandis qu'un projet improductif accumule du passif.</w:t>
      </w:r>
    </w:p>
    <w:p>
      <w:pPr>
        <w:pStyle w:val="BodyText"/>
        <w:rPr/>
      </w:pPr>
      <w:r>
        <w:rPr/>
      </w:r>
    </w:p>
    <w:p>
      <w:pPr>
        <w:pStyle w:val="Heading4"/>
        <w:numPr>
          <w:ilvl w:val="3"/>
          <w:numId w:val="3"/>
        </w:numPr>
        <w:spacing w:lineRule="auto" w:line="240" w:before="57" w:after="57"/>
        <w:rPr/>
      </w:pPr>
      <w:r>
        <w:rPr/>
        <w:t>Théorème 3.6 (Dynamique triangulaire).</w:t>
      </w:r>
    </w:p>
    <w:p>
      <w:pPr>
        <w:pStyle w:val="BodyText"/>
        <w:rPr/>
      </w:pPr>
      <w:r>
        <w:rPr/>
        <w:t>La régulation consiste à maintenir l'équilibre dynamique entre ces trois forces. Leur interaction forme un système d'équations couplées.</w:t>
      </w:r>
    </w:p>
    <w:p>
      <w:pPr>
        <w:pStyle w:val="BodyText"/>
        <w:rPr/>
      </w:pPr>
      <w:r>
        <w:rPr/>
        <w:t>Trop de TAPs sans stacking suffisant conduit à une surchauffe productive : les entreprises obtiennent trop de financement par rapport à la demande finale réelle ; la production excède la capacité d'absorption du marché (stockage improductif) ; le ratio r_ic = (D_TAP + D_stack) / V^(on) augmente dangereusement (&gt; 1,3). Réponse automatique : η baisse (freinage de la création), κ baisse (restriction de liquidité).</w:t>
      </w:r>
    </w:p>
    <w:p>
      <w:pPr>
        <w:pStyle w:val="BodyText"/>
        <w:rPr/>
      </w:pPr>
      <w:r>
        <w:rPr/>
        <w:t>Trop de stacking sans TAPs conduit à une inflation stagnante : trop de monnaie d'usage chasse trop peu de biens disponibles ; la vitesse ν_eff chute malgré une masse (U) élevée (les (U) circulent sans trouver de contrepartie réelle) ; le taux d'engagement τ_eng monte excessivement (pouvoir d'achat futur hypothéqué). Réponse automatique : η monte (stimulation de la production), κ baisse temporairement (restriction pour refroidir la demande).</w:t>
      </w:r>
    </w:p>
    <w:p>
      <w:pPr>
        <w:pStyle w:val="BodyText"/>
        <w:rPr/>
      </w:pPr>
      <w:r>
        <w:rPr/>
        <w:t>RU insuffisant provoque une rupture du contrat social : la demande de base s'effondre, personne ne peut plus consommer ; l'économie entre en spirale déflationniste (moins de transactions → moins de (V) créée → moins de RU → encore moins de transactions) ; le système perd sa légitimité sociale, risque d'abandon collectif. Protection structurelle : le RU ne peut baisser de plus de dix pour cent par cycle (lissage α), et la Couche 3 peut être activée si la crise persiste.</w:t>
      </w:r>
    </w:p>
    <w:p>
      <w:pPr>
        <w:pStyle w:val="BodyText"/>
        <w:rPr/>
      </w:pPr>
      <w:r>
        <w:rPr/>
      </w:r>
    </w:p>
    <w:p>
      <w:pPr>
        <w:pStyle w:val="Heading4"/>
        <w:numPr>
          <w:ilvl w:val="3"/>
          <w:numId w:val="3"/>
        </w:numPr>
        <w:spacing w:lineRule="auto" w:line="240" w:before="57" w:after="57"/>
        <w:rPr/>
      </w:pPr>
      <w:r>
        <w:rPr/>
        <w:t>Corollaire 3.5 (Attracteur étrange).</w:t>
      </w:r>
    </w:p>
    <w:p>
      <w:pPr>
        <w:pStyle w:val="BodyText"/>
        <w:rPr/>
      </w:pPr>
      <w:r>
        <w:rPr/>
        <w:t>Ce triangle forme un attracteur étrange en théorie des systèmes dynamiques : le système oscille naturellement autour d'un point d'équilibre sans jamais s'y fixer parfaitement.</w:t>
      </w:r>
    </w:p>
    <w:p>
      <w:pPr>
        <w:pStyle w:val="BodyText"/>
        <w:rPr/>
      </w:pPr>
      <w:r>
        <w:rPr/>
        <w:t>Ces oscillations sont saines, elles traduisent la respiration vivante de l'économie. Seules les divergences excessives (sortie de la zone d'attraction) déclenchent des régulations fortes.</w:t>
      </w:r>
    </w:p>
    <w:p>
      <w:pPr>
        <w:pStyle w:val="BodyText"/>
        <w:rPr/>
      </w:pPr>
      <w:r>
        <w:rPr/>
      </w:r>
    </w:p>
    <w:p>
      <w:pPr>
        <w:pStyle w:val="Heading3"/>
        <w:numPr>
          <w:ilvl w:val="2"/>
          <w:numId w:val="3"/>
        </w:numPr>
        <w:ind w:hanging="0" w:left="0"/>
        <w:rPr/>
      </w:pPr>
      <w:r>
        <w:rPr/>
        <w:t>3.2.2. Le calcul du Revenu Universel : le rythme cardiaque du système</w:t>
      </w:r>
    </w:p>
    <w:p>
      <w:pPr>
        <w:pStyle w:val="BodyText"/>
        <w:rPr/>
      </w:pPr>
      <w:r>
        <w:rPr/>
      </w:r>
    </w:p>
    <w:p>
      <w:pPr>
        <w:pStyle w:val="BodyText"/>
        <w:rPr/>
      </w:pPr>
      <w:r>
        <w:rPr/>
        <w:t>Le Revenu Universel n'est pas une création arbitraire, ni une décision politique, ni une allocation budgétaire. Il est le flux périodique automatique qui redistribue la valeur collective en fonction de la richesse réelle vérifiée du système.</w:t>
      </w:r>
    </w:p>
    <w:p>
      <w:pPr>
        <w:pStyle w:val="BodyText"/>
        <w:rPr/>
      </w:pPr>
      <w:r>
        <w:rPr/>
      </w:r>
    </w:p>
    <w:p>
      <w:pPr>
        <w:pStyle w:val="Heading4"/>
        <w:numPr>
          <w:ilvl w:val="3"/>
          <w:numId w:val="3"/>
        </w:numPr>
        <w:spacing w:lineRule="auto" w:line="240" w:before="57" w:after="57"/>
        <w:rPr/>
      </w:pPr>
      <w:r>
        <w:rPr/>
        <w:t>Définition 3.17 (Formule fondamentale du RU).</w:t>
      </w:r>
    </w:p>
    <w:p>
      <w:pPr>
        <w:pStyle w:val="BodyText"/>
        <w:rPr/>
      </w:pPr>
      <w:r>
        <w:rPr/>
      </w:r>
    </w:p>
    <w:p>
      <w:pPr>
        <w:pStyle w:val="BodyText"/>
        <w:jc w:val="center"/>
        <w:rPr/>
      </w:pPr>
      <w:r>
        <w:rPr/>
        <w:t>U_t = (1 - ρ_t) × V_(t-1)^(on) / (T × N_t)</w:t>
      </w:r>
    </w:p>
    <w:p>
      <w:pPr>
        <w:pStyle w:val="BodyText"/>
        <w:rPr/>
      </w:pPr>
      <w:r>
        <w:rPr/>
      </w:r>
    </w:p>
    <w:p>
      <w:pPr>
        <w:pStyle w:val="BodyText"/>
        <w:rPr/>
      </w:pPr>
      <w:r>
        <w:rPr/>
        <w:t>Cette équation, d'apparence simple, contient toute la philosophie économique d'IRIS.</w:t>
      </w:r>
    </w:p>
    <w:p>
      <w:pPr>
        <w:pStyle w:val="BodyText"/>
        <w:rPr/>
      </w:pPr>
      <w:r>
        <w:rPr/>
        <w:t>U_t : Revenu Universel par utilisateur pour le cycle t. C'est la quantité de monnaie d'usage que chaque être humain actif reçoit automatiquement en début de cycle. Ce montant est strictement identique pour tous, sans exception, sans condition, sans discrimination. Le vivant, par sa seule existence vérifiée, mérite sa part du souffle collectif.</w:t>
      </w:r>
    </w:p>
    <w:p>
      <w:pPr>
        <w:pStyle w:val="BodyText"/>
        <w:rPr/>
      </w:pPr>
      <w:r>
        <w:rPr/>
        <w:t>V_(t-1)^(on) : Valeur vivante « en ligne » à la fin du cycle précédent. Seule compte la richesse effectivement disponible pour l'usage collectif. Les valeurs immobilisées dans des NFT financiers (investissements productifs gelés) sont exclues du calcul. Cette exclusion évite qu'une capitalisation boursière spéculative ne gonfle artificiellement le RU : on ne peut distribuer que ce qui respire, non ce qui est figé.</w:t>
      </w:r>
    </w:p>
    <w:p>
      <w:pPr>
        <w:pStyle w:val="BodyText"/>
        <w:rPr/>
      </w:pPr>
      <w:r>
        <w:rPr/>
        <w:t>L'utilisation de V_(t-1) (valeur du cycle précédent) plutôt que V_t (valeur du cycle en cours) est cruciale : elle évite toute circularité. Le RU d'aujourd'hui dépend uniquement de la richesse connue et finalisée d'hier, garantissant la déterminabilité du calcul. Personne ne peut manipuler le RU en créant artificiellement de la valeur durant le cycle en cours.</w:t>
      </w:r>
    </w:p>
    <w:p>
      <w:pPr>
        <w:pStyle w:val="BodyText"/>
        <w:rPr/>
      </w:pPr>
      <w:r>
        <w:rPr/>
        <w:t>ρ_t : Taux de conservation (0 ≤ ρ_t ≤ 0,3). Une petite fraction (maximum trente pour cent) de la valeur disponible est mise en réserve pour la stabilité long terme. Cette réserve agit comme un amortisseur : en période d'expansion, ρ peut augmenter légèrement (constitution de réserves), en période de contraction, ρ peut diminuer (utilisation des réserves pour soutenir le RU).</w:t>
      </w:r>
    </w:p>
    <w:p>
      <w:pPr>
        <w:pStyle w:val="BodyText"/>
        <w:rPr/>
      </w:pPr>
      <w:r>
        <w:rPr/>
        <w:t>Ce mécanisme évite que le RU ne fluctue trop brutalement en réponse à des variations de V^(on). La société se constitue ainsi une « graisse économique » lui permettant de traverser les périodes difficiles sans effondrement du pouvoir d'achat de base.T : Fréquence des cycles (T = 12 cycles par an en régime normal). La périodicité fixe garantit la prévisibilité. Chaque utilisateur sait que dans environ trente jours, un nouveau RU sera distribué. Cette régularité temporelle structure la vie économique comme le rythme circadien structure la vie biologique.</w:t>
      </w:r>
    </w:p>
    <w:p>
      <w:pPr>
        <w:pStyle w:val="BodyText"/>
        <w:rPr/>
      </w:pPr>
      <w:r>
        <w:rPr/>
        <w:t>En Couche 3 (régulation d'urgence), T peut être ajusté temporairement, mais c'est l'exception, non la règle. La stabilité temporelle est une valeur fondamentale d'IRIS.</w:t>
      </w:r>
    </w:p>
    <w:p>
      <w:pPr>
        <w:pStyle w:val="BodyText"/>
        <w:rPr/>
      </w:pPr>
      <w:r>
        <w:rPr/>
        <w:t>N_t : Nombre d'utilisateurs vivants et actifs au cycle t. Seuls les êtres humains vivants, avec un TU/VC valide et actif, comptent dans le calcul. Les comptes dormants, les NFT orphelins, les entreprises, ne reçoivent jamais de RU. Cette limitation garantit que la distribution reste strictement humaine : IRIS reconnaît le vivant, non les abstractions juridiques.</w:t>
      </w:r>
    </w:p>
    <w:p>
      <w:pPr>
        <w:pStyle w:val="BodyText"/>
        <w:rPr/>
      </w:pPr>
      <w:r>
        <w:rPr/>
      </w:r>
    </w:p>
    <w:p>
      <w:pPr>
        <w:pStyle w:val="Heading4"/>
        <w:numPr>
          <w:ilvl w:val="3"/>
          <w:numId w:val="3"/>
        </w:numPr>
        <w:spacing w:lineRule="auto" w:line="240" w:before="57" w:after="57"/>
        <w:rPr/>
      </w:pPr>
      <w:r>
        <w:rPr/>
        <w:t>Théorème 3.7 (Principe de proportionnalité vivante).</w:t>
      </w:r>
    </w:p>
    <w:p>
      <w:pPr>
        <w:pStyle w:val="BodyText"/>
        <w:rPr/>
      </w:pPr>
      <w:r>
        <w:rPr/>
        <w:t>La formule exprime une vérité profonde : le revenu de chacun croît avec la richesse collective.</w:t>
      </w:r>
    </w:p>
    <w:p>
      <w:pPr>
        <w:pStyle w:val="BodyText"/>
        <w:rPr/>
      </w:pPr>
      <w:r>
        <w:rPr/>
        <w:t>Plus la société produit de valeur réelle vérifiée (V^(on) augmente), plus chaque individu reçoit. Plus il y a de participants actifs (N augmente), plus le gâteau se divise finement, mais le gâteau lui-même grandit par l'apport productif des nouveaux entrants.</w:t>
      </w:r>
    </w:p>
    <w:p>
      <w:pPr>
        <w:pStyle w:val="BodyText"/>
        <w:rPr/>
      </w:pPr>
      <w:r>
        <w:rPr/>
        <w:t>Ce mécanisme crée une incitation coopérative : enrichir la communauté, c'est s'enrichir soi-même. Contrairement aux systèmes compétitifs (où ma richesse peut provenir de ton appauvrissement), IRIS aligne les intérêts : la prospérité est un bien collectif non-rival.</w:t>
      </w:r>
    </w:p>
    <w:p>
      <w:pPr>
        <w:pStyle w:val="BodyText"/>
        <w:rPr/>
      </w:pPr>
      <w:r>
        <w:rPr/>
      </w:r>
    </w:p>
    <w:p>
      <w:pPr>
        <w:pStyle w:val="Heading4"/>
        <w:numPr>
          <w:ilvl w:val="3"/>
          <w:numId w:val="3"/>
        </w:numPr>
        <w:spacing w:lineRule="auto" w:line="240" w:before="57" w:after="57"/>
        <w:rPr/>
      </w:pPr>
      <w:r>
        <w:rPr/>
        <w:t>Définition 3.18 (Valeur « en ligne »).</w:t>
      </w:r>
    </w:p>
    <w:p>
      <w:pPr>
        <w:pStyle w:val="BodyText"/>
        <w:rPr/>
      </w:pPr>
      <w:r>
        <w:rPr/>
        <w:t>La valeur vivante on-chain représente la richesse réellement disponible pour l'usage collectif. Elle se calcule selon une équation de conservation complète :</w:t>
      </w:r>
    </w:p>
    <w:p>
      <w:pPr>
        <w:pStyle w:val="BodyText"/>
        <w:rPr/>
      </w:pPr>
      <w:r>
        <w:rPr/>
      </w:r>
    </w:p>
    <w:p>
      <w:pPr>
        <w:pStyle w:val="BodyText"/>
        <w:jc w:val="center"/>
        <w:rPr/>
      </w:pPr>
      <w:r>
        <w:rPr/>
        <w:t>V_t^(on) = V_(t-1)^(on) + ΔV_t^(créa) - (V_t→U + V_burn,t^(TAP)) - ΔV_t^(immo) + ΔV_t^(désimmo) + R_t</w:t>
      </w:r>
    </w:p>
    <w:p>
      <w:pPr>
        <w:pStyle w:val="BodyText"/>
        <w:rPr/>
      </w:pPr>
      <w:r>
        <w:rPr/>
      </w:r>
    </w:p>
    <w:p>
      <w:pPr>
        <w:pStyle w:val="BodyText"/>
        <w:rPr/>
      </w:pPr>
      <w:r>
        <w:rPr/>
        <w:t>Chaque terme a une signification précise.</w:t>
      </w:r>
    </w:p>
    <w:p>
      <w:pPr>
        <w:pStyle w:val="BodyText"/>
        <w:rPr/>
      </w:pPr>
      <w:r>
        <w:rPr/>
      </w:r>
    </w:p>
    <w:p>
      <w:pPr>
        <w:pStyle w:val="BodyText"/>
        <w:rPr/>
      </w:pPr>
      <w:r>
        <w:rPr/>
        <w:t>ΔV_t^(créa) : Valeur créée par les actes productifs du cycle t. C'est la somme de toutes les combustions d'énergie (S + U) transformées en valeur durable (V) par la formule ΔV_t^(créa) = η × Δt × E_t où E_t = w_S × s_burn,t + w_U × u_burn,t. Cette création mesure la productivité effective de la société durant le cycle : combien d'effort humain (S) et de circulation monétaire (U) ont été convertis en richesse durable (V).</w:t>
      </w:r>
    </w:p>
    <w:p>
      <w:pPr>
        <w:pStyle w:val="BodyText"/>
        <w:rPr/>
      </w:pPr>
      <w:r>
        <w:rPr/>
      </w:r>
    </w:p>
    <w:p>
      <w:pPr>
        <w:pStyle w:val="BodyText"/>
        <w:rPr/>
      </w:pPr>
      <w:r>
        <w:rPr/>
        <w:t>V_t→U : Valeur convertie en monnaie d'usage. Certains détenteurs de (V) choisissent de convertir une partie de leur patrimoine en (U) pour consommer ou investir. Cette conversion, régulée par κ, réduit le stock V^(on) (la valeur devient circulante plutôt que conservée).</w:t>
      </w:r>
    </w:p>
    <w:p>
      <w:pPr>
        <w:pStyle w:val="BodyText"/>
        <w:rPr/>
      </w:pPr>
      <w:r>
        <w:rPr/>
      </w:r>
    </w:p>
    <w:p>
      <w:pPr>
        <w:pStyle w:val="BodyText"/>
        <w:rPr/>
      </w:pPr>
      <w:r>
        <w:rPr/>
        <w:t>V_burn,t^(TAP) : Valeur brûlée lors du remboursement de TAP. Lorsqu'une entreprise rembourse un TAP, elle envoie (V) directement dans la Chambre de Combustion. Cette destruction pure réduit V^(on), mais éteint simultanément D_TAP, rééquilibrant le thermomètre global.</w:t>
      </w:r>
    </w:p>
    <w:p>
      <w:pPr>
        <w:pStyle w:val="BodyText"/>
        <w:rPr/>
      </w:pPr>
      <w:r>
        <w:rPr/>
      </w:r>
    </w:p>
    <w:p>
      <w:pPr>
        <w:pStyle w:val="BodyText"/>
        <w:rPr/>
      </w:pPr>
      <w:r>
        <w:rPr/>
        <w:t>ΔV_t^(immo) : Valeur immobilisée dans de nouveaux NFT financiers. Lorsque des utilisateurs investissent massivement dans des entreprises (achat de NFT financiers), une partie de la valeur circulante se fige temporairement. Cette immobilisation réduit V^(on), donc le RU du cycle suivant, créant une contre-pression naturelle à la spéculation : acheter trop de NFT financiers appauvrit le revenu universel collectif.</w:t>
      </w:r>
    </w:p>
    <w:p>
      <w:pPr>
        <w:pStyle w:val="BodyText"/>
        <w:rPr/>
      </w:pPr>
      <w:r>
        <w:rPr/>
      </w:r>
    </w:p>
    <w:p>
      <w:pPr>
        <w:pStyle w:val="BodyText"/>
        <w:rPr/>
      </w:pPr>
      <w:r>
        <w:rPr/>
        <w:t>ΔV_t^(désimmo) : Valeur désimmobilisée (NFT financiers arrivés à échéance). Lorsqu'un TAP est entièrement remboursé, les NFT financiers associés sont libérés. La valeur revient dans le circuit circulant, augmentant V^(on) et donc le RU futur. Ce mécanisme récompense la patience des investisseurs : leur capital immobilisé contribue finalement à enrichir toute la communauté.</w:t>
      </w:r>
    </w:p>
    <w:p>
      <w:pPr>
        <w:pStyle w:val="BodyText"/>
        <w:rPr/>
      </w:pPr>
      <w:r>
        <w:rPr/>
      </w:r>
    </w:p>
    <w:p>
      <w:pPr>
        <w:pStyle w:val="BodyText"/>
        <w:rPr/>
      </w:pPr>
      <w:r>
        <w:rPr/>
        <w:t>R_t : Terme de régénération. R_t = ρ_CR × C_Rout,t + ρ_inv × I_t + ρ_maint × M_t. Ce terme représente la respiration régénérative du système : C_Rout,t (réinjection validée par la Chambre de Relance, actifs orphelins recyclés), I_t (flux d'investissement productif traçable, TAPs honorés, équipements installés), M_t (maintenance et réparation d'actifs existants, entretien d'infrastructures). Les coefficients ρ (typiquement ≤ 1) modulent l'impact de chaque flux. R_t ne crée jamais de valeur ex nihilo : il requalifie des flux existants.</w:t>
      </w:r>
    </w:p>
    <w:p>
      <w:pPr>
        <w:pStyle w:val="BodyText"/>
        <w:rPr/>
      </w:pPr>
      <w:r>
        <w:rPr/>
      </w:r>
    </w:p>
    <w:p>
      <w:pPr>
        <w:pStyle w:val="Heading4"/>
        <w:numPr>
          <w:ilvl w:val="3"/>
          <w:numId w:val="3"/>
        </w:numPr>
        <w:spacing w:lineRule="auto" w:line="240" w:before="57" w:after="57"/>
        <w:rPr/>
      </w:pPr>
      <w:r>
        <w:rPr/>
        <w:t>Proposition 3.14 (Mécanisme de lissage).</w:t>
      </w:r>
    </w:p>
    <w:p>
      <w:pPr>
        <w:pStyle w:val="BodyText"/>
        <w:rPr/>
      </w:pPr>
      <w:r>
        <w:rPr/>
        <w:t>Pour préserver la stabilité sociale et éviter les chocs brutaux de pouvoir d'achat, le RU est soumis à une contrainte de variation maximale :</w:t>
      </w:r>
    </w:p>
    <w:p>
      <w:pPr>
        <w:pStyle w:val="BodyText"/>
        <w:rPr/>
      </w:pPr>
      <w:r>
        <w:rPr/>
      </w:r>
    </w:p>
    <w:p>
      <w:pPr>
        <w:pStyle w:val="BodyText"/>
        <w:jc w:val="center"/>
        <w:rPr/>
      </w:pPr>
      <w:r>
        <w:rPr/>
        <w:t>|U_t - U_(t-1)| ≤ α × U_(t-1) avec α = 0,1 (dix pour cent)</w:t>
      </w:r>
    </w:p>
    <w:p>
      <w:pPr>
        <w:pStyle w:val="BodyText"/>
        <w:rPr/>
      </w:pPr>
      <w:r>
        <w:rPr/>
      </w:r>
    </w:p>
    <w:p>
      <w:pPr>
        <w:pStyle w:val="BodyText"/>
        <w:rPr/>
      </w:pPr>
      <w:r>
        <w:rPr/>
        <w:t>Ce lissage garantit que même en cas de forte variation de V^(on) (par exemple, un krach de trente pour cent sur un cycle), le revenu de base des utilisateurs ne s'effondre pas brutalement. L'ajustement se fait progressivement sur plusieurs cycles, donnant au système le temps de réagir (activation des régulations η et κ) et aux agents le temps de s'adapter (anticipation, réorganisation productive).</w:t>
      </w:r>
    </w:p>
    <w:p>
      <w:pPr>
        <w:pStyle w:val="BodyText"/>
        <w:rPr/>
      </w:pPr>
      <w:r>
        <w:rPr/>
      </w:r>
    </w:p>
    <w:p>
      <w:pPr>
        <w:pStyle w:val="Heading4"/>
        <w:numPr>
          <w:ilvl w:val="3"/>
          <w:numId w:val="3"/>
        </w:numPr>
        <w:spacing w:lineRule="auto" w:line="240" w:before="57" w:after="57"/>
        <w:rPr/>
      </w:pPr>
      <w:r>
        <w:rPr/>
        <w:t>Corollaire 3.6 (Extinction périodique et renouvellement).</w:t>
      </w:r>
    </w:p>
    <w:p>
      <w:pPr>
        <w:pStyle w:val="BodyText"/>
        <w:rPr/>
      </w:pPr>
      <w:r>
        <w:rPr/>
        <w:t>Le RU n'est pas un stock accumulable, mais un flux renouvelable. Cette propriété fondamentale transforme la monnaie d'usage en un véritable rythme respiratoire.</w:t>
      </w:r>
    </w:p>
    <w:p>
      <w:pPr>
        <w:pStyle w:val="BodyText"/>
        <w:rPr/>
      </w:pPr>
      <w:r>
        <w:rPr/>
        <w:t>Inspiration (début de cycle) : U_t est distribué à tous les utilisateurs actifs simultanément. Circulation (durant le cycle) : (U) circule via les transactions, changeant de mains mais restant constant en quantité. Expiration (fin de cycle) : les (U) non dépensés sont automatiquement brûlés, disparaissent définitivement. Nouvelle inspiration (cycle suivant) : un nouveau U_t est calculé et distribué, indépendamment du précédent.</w:t>
      </w:r>
    </w:p>
    <w:p>
      <w:pPr>
        <w:pStyle w:val="BodyText"/>
        <w:rPr/>
      </w:pPr>
      <w:r>
        <w:rPr/>
        <w:t>Ce cycle permanent évite trois écueils majeurs : l'accumulation improductive (personne ne peut thésauriser indéfiniment des (U) sans les utiliser, la monnaie reste véritablement un flux, non un trésor mort) ; l'inflation par surabondance (puisque les (U) disparaissent périodiquement, la masse monétaire totale reste bornée, ≤ U_t × N_t à tout instant, aucune accumulation infinie n'est possible) ; la déconnexion richesse/revenu (le RU reste toujours proportionnel à V^(on), garantissant qu'on ne distribue jamais plus de pouvoir d'achat que la richesse réelle ne le permet).</w:t>
      </w:r>
    </w:p>
    <w:p>
      <w:pPr>
        <w:pStyle w:val="BodyText"/>
        <w:rPr/>
      </w:pPr>
      <w:r>
        <w:rPr/>
      </w:r>
    </w:p>
    <w:p>
      <w:pPr>
        <w:pStyle w:val="Heading3"/>
        <w:numPr>
          <w:ilvl w:val="2"/>
          <w:numId w:val="3"/>
        </w:numPr>
        <w:ind w:hanging="0" w:left="0"/>
        <w:rPr/>
      </w:pPr>
      <w:r>
        <w:rPr/>
        <w:t>3.2.3. Création de valeur par acte réel</w:t>
      </w:r>
    </w:p>
    <w:p>
      <w:pPr>
        <w:pStyle w:val="Heading3"/>
        <w:numPr>
          <w:ilvl w:val="2"/>
          <w:numId w:val="3"/>
        </w:numPr>
        <w:ind w:hanging="0" w:left="0"/>
        <w:rPr/>
      </w:pPr>
      <w:r>
        <w:rPr/>
      </w:r>
    </w:p>
    <w:p>
      <w:pPr>
        <w:pStyle w:val="BodyText"/>
        <w:rPr/>
      </w:pPr>
      <w:r>
        <w:rPr/>
        <w:t>Dans IRIS, la valeur ne se crée pas par décret, par spéculation, par endettement, ni par aucune forme d'abstraction financière. Elle naît uniquement de la preuve d'un acte réel vérifié, obéissant à une loi thermodynamique fondamentale qui exprime la transformation de l'effort et de l'usage en valeur durable.</w:t>
      </w:r>
    </w:p>
    <w:p>
      <w:pPr>
        <w:pStyle w:val="BodyText"/>
        <w:rPr/>
      </w:pPr>
      <w:r>
        <w:rPr/>
      </w:r>
    </w:p>
    <w:p>
      <w:pPr>
        <w:pStyle w:val="Heading4"/>
        <w:numPr>
          <w:ilvl w:val="3"/>
          <w:numId w:val="3"/>
        </w:numPr>
        <w:spacing w:lineRule="auto" w:line="240" w:before="57" w:after="57"/>
        <w:rPr/>
      </w:pPr>
      <w:r>
        <w:rPr/>
        <w:t>Définition 3.19 (Loi de création énergétique).</w:t>
      </w:r>
    </w:p>
    <w:p>
      <w:pPr>
        <w:pStyle w:val="BodyText"/>
        <w:rPr/>
      </w:pPr>
      <w:r>
        <w:rPr/>
      </w:r>
    </w:p>
    <w:p>
      <w:pPr>
        <w:pStyle w:val="BodyText"/>
        <w:jc w:val="center"/>
        <w:rPr/>
      </w:pPr>
      <w:r>
        <w:rPr/>
        <w:t>ΔV_t^(créa) = η × Δt × E_t</w:t>
      </w:r>
    </w:p>
    <w:p>
      <w:pPr>
        <w:pStyle w:val="BodyText"/>
        <w:rPr/>
      </w:pPr>
      <w:r>
        <w:rPr/>
      </w:r>
    </w:p>
    <w:p>
      <w:pPr>
        <w:pStyle w:val="BodyText"/>
        <w:rPr/>
      </w:pPr>
      <w:r>
        <w:rPr/>
        <w:t>Où E_t représente l'énergie économique brûlée pendant le cycle :</w:t>
      </w:r>
    </w:p>
    <w:p>
      <w:pPr>
        <w:pStyle w:val="BodyText"/>
        <w:rPr/>
      </w:pPr>
      <w:r>
        <w:rPr/>
      </w:r>
    </w:p>
    <w:p>
      <w:pPr>
        <w:pStyle w:val="BodyText"/>
        <w:jc w:val="center"/>
        <w:rPr/>
      </w:pPr>
      <w:r>
        <w:rPr/>
        <w:t>E_t = w_S × s_burn,t + w_U × u_burn,t avec w_S + w_U = 1</w:t>
      </w:r>
    </w:p>
    <w:p>
      <w:pPr>
        <w:pStyle w:val="BodyText"/>
        <w:rPr/>
      </w:pPr>
      <w:r>
        <w:rPr/>
      </w:r>
    </w:p>
    <w:p>
      <w:pPr>
        <w:pStyle w:val="BodyText"/>
        <w:rPr/>
      </w:pPr>
      <w:r>
        <w:rPr/>
        <w:t>Cette formulation exprime une vérité profonde : la valeur émerge de la combinaison symétrique entre le travail vivant (S) l'effort, le temps, le savoir-faire, l'énergie humaine investie et la circulation monétaire (U) le pouvoir d'achat mobilisé, la demande effective.</w:t>
      </w:r>
    </w:p>
    <w:p>
      <w:pPr>
        <w:pStyle w:val="BodyText"/>
        <w:rPr/>
      </w:pPr>
      <w:r>
        <w:rPr/>
        <w:t>Le Stipulat n'est pas une abstraction comptable, mais la trace cryptographique d'un engagement réel : quelqu'un a consacré de l'attention, du soin, de la compétence à transformer la matière ou à accomplir un service. Sans (U) brûlé, même le travail le plus acharné ne génère pas de valeur dans IRIS : il faut qu'un autre vivant reconnaisse cette valeur en acceptant de détruire une partie de son revenu pour l'acquérir.</w:t>
      </w:r>
    </w:p>
    <w:p>
      <w:pPr>
        <w:pStyle w:val="BodyText"/>
        <w:rPr/>
      </w:pPr>
      <w:r>
        <w:rPr/>
        <w:t>Les coefficients w_S et w_U (typiquement zéro virgule cinq chacun en équilibre) indiquent que ni le travail seul, ni la monnaie seule ne suffisent : la valeur naît de leur rencontre vérifiée.</w:t>
      </w:r>
    </w:p>
    <w:p>
      <w:pPr>
        <w:pStyle w:val="BodyText"/>
        <w:rPr/>
      </w:pPr>
      <w:r>
        <w:rPr/>
      </w:r>
    </w:p>
    <w:p>
      <w:pPr>
        <w:pStyle w:val="Heading4"/>
        <w:numPr>
          <w:ilvl w:val="3"/>
          <w:numId w:val="3"/>
        </w:numPr>
        <w:spacing w:lineRule="auto" w:line="240" w:before="57" w:after="57"/>
        <w:rPr/>
      </w:pPr>
      <w:r>
        <w:rPr/>
        <w:t>Corollaire 3.7 (Symétrie fondamentale).</w:t>
      </w:r>
    </w:p>
    <w:p>
      <w:pPr>
        <w:pStyle w:val="BodyText"/>
        <w:rPr/>
      </w:pPr>
      <w:r>
        <w:rPr/>
        <w:t>Cette symétrie évite deux écueils classiques : l'économie soviétique (travail sans demande) où l'on produit mais personne ne peut acheter ; l'économie de rente (monnaie sans travail) où l'on imprime mais rien n'est créé réellement.</w:t>
      </w:r>
    </w:p>
    <w:p>
      <w:pPr>
        <w:pStyle w:val="BodyText"/>
        <w:rPr/>
      </w:pPr>
      <w:r>
        <w:rPr/>
        <w:t>IRIS exige la convergence des deux : un effort authentique ET une reconnaissance monétaire de cet effort.</w:t>
      </w:r>
    </w:p>
    <w:p>
      <w:pPr>
        <w:pStyle w:val="BodyText"/>
        <w:rPr/>
      </w:pPr>
      <w:r>
        <w:rPr/>
      </w:r>
    </w:p>
    <w:p>
      <w:pPr>
        <w:pStyle w:val="Heading4"/>
        <w:numPr>
          <w:ilvl w:val="3"/>
          <w:numId w:val="3"/>
        </w:numPr>
        <w:spacing w:lineRule="auto" w:line="240" w:before="57" w:after="57"/>
        <w:rPr/>
      </w:pPr>
      <w:r>
        <w:rPr/>
        <w:t>Théorème 3.8 (Rôle du multiplicateur η).</w:t>
      </w:r>
    </w:p>
    <w:p>
      <w:pPr>
        <w:pStyle w:val="BodyText"/>
        <w:rPr/>
      </w:pPr>
      <w:r>
        <w:rPr/>
        <w:t>Le paramètre η agit comme un catalyseur thermodynamique de l'économie réelle. Il ne change pas la nature de la transformation (S + (U) → (V) reste la loi fondamentale), mais en module l'efficacité selon l'état global du système.</w:t>
      </w:r>
    </w:p>
    <w:p>
      <w:pPr>
        <w:pStyle w:val="BodyText"/>
        <w:rPr/>
      </w:pPr>
      <w:r>
        <w:rPr/>
        <w:t>Lorsque η &gt; 1,0 (mode relance), chaque acte productif génère plus de valeur que l'énergie strictement brûlée. Ce n'est pas une création magique, mais une reconnaissance que l'économie sous-performe : elle possède des capacités productives inutilisées (chômage, sous-emploi, ressources dormantes). En augmentant η, le système incite à mobiliser ces capacités latentes en récompensant davantage les actes créateurs.</w:t>
      </w:r>
    </w:p>
    <w:p>
      <w:pPr>
        <w:pStyle w:val="BodyText"/>
        <w:rPr/>
      </w:pPr>
      <w:r>
        <w:rPr/>
        <w:t>Lorsque η = 1,0 (mode neutre), la conversion énergétique est standard. Le système respire normalement, sans besoin de stimulation artificielle. Chaque unité d'énergie brûlée génère exactement une unité de valeur : E = V. C'est l'état d'équilibre thermodynamique, où l'économie tourne à son rythme naturel.</w:t>
      </w:r>
    </w:p>
    <w:p>
      <w:pPr>
        <w:pStyle w:val="BodyText"/>
        <w:rPr/>
      </w:pPr>
      <w:r>
        <w:rPr/>
        <w:t>Lorsque η &lt; 1,0 (mode freinage), la création de valeur est volontairement ralentie pour éviter la surchauffe économique. Ce n'est pas une punition, mais une contre-pression préventive : quand les engagements futurs (TAPs + stacking) excèdent dangereusement la richesse présente, le système freine la création pour éviter l'emballement.</w:t>
      </w:r>
    </w:p>
    <w:p>
      <w:pPr>
        <w:pStyle w:val="BodyText"/>
        <w:rPr/>
      </w:pPr>
      <w:r>
        <w:rPr/>
      </w:r>
    </w:p>
    <w:p>
      <w:pPr>
        <w:pStyle w:val="Heading4"/>
        <w:numPr>
          <w:ilvl w:val="3"/>
          <w:numId w:val="3"/>
        </w:numPr>
        <w:spacing w:lineRule="auto" w:line="240" w:before="57" w:after="57"/>
        <w:rPr/>
      </w:pPr>
      <w:r>
        <w:rPr/>
        <w:t>Proposition 3.15 (Mécanisme de burn et validation).</w:t>
      </w:r>
    </w:p>
    <w:p>
      <w:pPr>
        <w:pStyle w:val="BodyText"/>
        <w:rPr/>
      </w:pPr>
      <w:r>
        <w:rPr/>
        <w:t>La création de valeur n'est jamais abstraite : elle nécessite la destruction simultanée des flux d'entrée (U et S) dans le Registre de Combustion. Cette combustion garantit trois propriétés fondamentales.</w:t>
      </w:r>
    </w:p>
    <w:p>
      <w:pPr>
        <w:pStyle w:val="BodyText"/>
        <w:rPr/>
      </w:pPr>
      <w:r>
        <w:rPr/>
        <w:t>Irréversibilité de l'acte : une fois brûlés, (U) et (S) ne peuvent être récupérés. La transaction devient définitive, inscrite dans l'histoire immuable de la chaîne. Cette irréversibilité force la responsabilité : chaque échange est un engagement authentique, non une option réversible.</w:t>
      </w:r>
    </w:p>
    <w:p>
      <w:pPr>
        <w:pStyle w:val="BodyText"/>
        <w:rPr/>
      </w:pPr>
      <w:r>
        <w:rPr/>
        <w:t>Traçabilité énergétique : chaque unité de (V) créée correspond à une combustion enregistrée, horodatée, signée cryptographiquement. On peut toujours remonter à l'origine d'une valeur, identifier les efforts et les usages qui l'ont générée. Cette traçabilité complète interdit la falsification : personne ne peut prétendre avoir créé de la valeur sans en fournir la preuve de combustion.</w:t>
      </w:r>
    </w:p>
    <w:p>
      <w:pPr>
        <w:pStyle w:val="BodyText"/>
        <w:rPr/>
      </w:pPr>
      <w:r>
        <w:rPr/>
        <w:t>Conservation globale : la somme ∑(U_burn + S_burn) reflète exactement l'activité économique réelle du système. C'est le « PIB vivant » d'IRIS : non pas une estimation statistique approximative, mais une mesure exacte et vérifiable de toutes les transformations énergétiques ayant produit de la valeur.</w:t>
      </w:r>
    </w:p>
    <w:p>
      <w:pPr>
        <w:pStyle w:val="BodyText"/>
        <w:rPr/>
      </w:pPr>
      <w:r>
        <w:rPr/>
        <w:t>La validation EX (preuve cryptographique TU/VC) certifie en outre qu'un être humain vivant et unique a réellement effectué l'acte (pas un bot, pas un compte fantôme), que l'effort ou la prestation a bien eu lieu (le Stipulat est authentique), et que les conditions contractuelles sont remplies (accord des deux parties).</w:t>
      </w:r>
    </w:p>
    <w:p>
      <w:pPr>
        <w:pStyle w:val="BodyText"/>
        <w:rPr/>
      </w:pPr>
      <w:r>
        <w:rPr/>
        <w:t>Sans cette triple vérification (burn + validation + traçabilité), aucune valeur (V) ne peut être créée. IRIS refuse catégoriquement toute création ex nihilo.</w:t>
      </w:r>
    </w:p>
    <w:p>
      <w:pPr>
        <w:pStyle w:val="BodyText"/>
        <w:rPr/>
      </w:pPr>
      <w:r>
        <w:rPr/>
      </w:r>
    </w:p>
    <w:p>
      <w:pPr>
        <w:pStyle w:val="Heading2"/>
        <w:numPr>
          <w:ilvl w:val="1"/>
          <w:numId w:val="3"/>
        </w:numPr>
        <w:ind w:hanging="0" w:left="0"/>
        <w:rPr/>
      </w:pPr>
      <w:r>
        <w:rPr/>
        <w:t>3.3. Lois de régulation automatique.</w:t>
      </w:r>
    </w:p>
    <w:p>
      <w:pPr>
        <w:pStyle w:val="BodyText"/>
        <w:ind w:hanging="0" w:left="0"/>
        <w:rPr/>
      </w:pPr>
      <w:r>
        <w:rPr/>
      </w:r>
    </w:p>
    <w:p>
      <w:pPr>
        <w:pStyle w:val="Heading3"/>
        <w:numPr>
          <w:ilvl w:val="2"/>
          <w:numId w:val="3"/>
        </w:numPr>
        <w:ind w:hanging="0" w:left="0"/>
        <w:rPr/>
      </w:pPr>
      <w:r>
        <w:rPr/>
        <w:t>3.3.1. Formulation des lois d'ajustement</w:t>
      </w:r>
    </w:p>
    <w:p>
      <w:pPr>
        <w:pStyle w:val="BodyText"/>
        <w:rPr/>
      </w:pPr>
      <w:r>
        <w:rPr/>
      </w:r>
    </w:p>
    <w:p>
      <w:pPr>
        <w:pStyle w:val="BodyText"/>
        <w:rPr/>
      </w:pPr>
      <w:r>
        <w:rPr/>
        <w:t>Les paramètres η et κ ne sont pas fixés arbitrairement, mais évoluent selon des lois continues qui réagissent aux trois capteurs système : r_ic, ν_eff et τ_eng. Ces lois incarnent la respiration homéostatique du système : inspiration (η et κ augmentent pour stimuler) et expiration (η et κ diminuent pour freiner).</w:t>
      </w:r>
    </w:p>
    <w:p>
      <w:pPr>
        <w:pStyle w:val="BodyText"/>
        <w:rPr/>
      </w:pPr>
      <w:r>
        <w:rPr/>
      </w:r>
    </w:p>
    <w:p>
      <w:pPr>
        <w:pStyle w:val="Heading4"/>
        <w:numPr>
          <w:ilvl w:val="3"/>
          <w:numId w:val="3"/>
        </w:numPr>
        <w:spacing w:lineRule="auto" w:line="240" w:before="57" w:after="57"/>
        <w:rPr/>
      </w:pPr>
      <w:r>
        <w:rPr/>
        <w:t>Définition 3.20 (Loi de variation de η).</w:t>
      </w:r>
    </w:p>
    <w:p>
      <w:pPr>
        <w:pStyle w:val="BodyText"/>
        <w:rPr/>
      </w:pPr>
      <w:r>
        <w:rPr/>
        <w:t>Le multiplicateur de création évolue selon :</w:t>
      </w:r>
    </w:p>
    <w:p>
      <w:pPr>
        <w:pStyle w:val="BodyText"/>
        <w:rPr/>
      </w:pPr>
      <w:r>
        <w:rPr/>
      </w:r>
    </w:p>
    <w:p>
      <w:pPr>
        <w:pStyle w:val="BodyText"/>
        <w:jc w:val="center"/>
        <w:rPr/>
      </w:pPr>
      <w:r>
        <w:rPr/>
        <w:t>Δη_t = +α_η × (1 - r_t-1) + β_η × (ν_target - ν_t-1) - γ_η × (τ_eng - τ_target)</w:t>
      </w:r>
    </w:p>
    <w:p>
      <w:pPr>
        <w:pStyle w:val="BodyText"/>
        <w:rPr/>
      </w:pPr>
      <w:r>
        <w:rPr/>
      </w:r>
    </w:p>
    <w:p>
      <w:pPr>
        <w:pStyle w:val="BodyText"/>
        <w:rPr/>
      </w:pPr>
      <w:r>
        <w:rPr/>
        <w:t>Cette équation exprime que η augmente (relance) lorsque le thermomètre est bas (r &lt; 1, sous-investissement), lorsque la vitesse est insuffisante (ν &lt; ν_target, léthargie), mais diminue (freinage) lorsque l'engagement social devient excessif (τ_eng &gt; τ_target, sacrifice du présent).</w:t>
      </w:r>
    </w:p>
    <w:p>
      <w:pPr>
        <w:pStyle w:val="BodyText"/>
        <w:rPr/>
      </w:pPr>
      <w:r>
        <w:rPr/>
        <w:t>Les coefficients α_η, β_η, γ_η (typiquement respectivement zéro virgule trois, zéro virgule quatre, zéro virgule deux) pondèrent l'influence relative de chaque capteur. Ces valeurs traduisent une hiérarchie d'importance : la vitesse de circulation (β_η) a un poids légèrement supérieur, car elle mesure directement l'activité réelle ; le thermomètre (α_η) vient ensuite, signal d'équilibre global ; le taux d'engagement (γ_η) est le plus faible car c'est un indicateur social de second ordre.</w:t>
      </w:r>
    </w:p>
    <w:p>
      <w:pPr>
        <w:pStyle w:val="BodyText"/>
        <w:rPr/>
      </w:pPr>
      <w:r>
        <w:rPr/>
      </w:r>
    </w:p>
    <w:p>
      <w:pPr>
        <w:pStyle w:val="Heading4"/>
        <w:numPr>
          <w:ilvl w:val="3"/>
          <w:numId w:val="3"/>
        </w:numPr>
        <w:spacing w:lineRule="auto" w:line="240" w:before="57" w:after="57"/>
        <w:rPr/>
      </w:pPr>
      <w:r>
        <w:rPr/>
        <w:t>Définition 3.21 (Loi de variation de κ).</w:t>
      </w:r>
    </w:p>
    <w:p>
      <w:pPr>
        <w:pStyle w:val="BodyText"/>
        <w:rPr/>
      </w:pPr>
      <w:r>
        <w:rPr/>
        <w:t>Le régulateur de liquidité évolue selon :</w:t>
      </w:r>
    </w:p>
    <w:p>
      <w:pPr>
        <w:pStyle w:val="BodyText"/>
        <w:rPr/>
      </w:pPr>
      <w:r>
        <w:rPr/>
      </w:r>
    </w:p>
    <w:p>
      <w:pPr>
        <w:pStyle w:val="BodyText"/>
        <w:jc w:val="center"/>
        <w:rPr/>
      </w:pPr>
      <w:r>
        <w:rPr/>
        <w:t>Δκ_t = +α_κ × (ν_target - ν_t-1) - β_κ × (τ_eng - τ_target) + γ_κ × (1 - r_t-1)</w:t>
      </w:r>
    </w:p>
    <w:p>
      <w:pPr>
        <w:pStyle w:val="BodyText"/>
        <w:rPr/>
      </w:pPr>
      <w:r>
        <w:rPr/>
      </w:r>
    </w:p>
    <w:p>
      <w:pPr>
        <w:pStyle w:val="BodyText"/>
        <w:rPr/>
      </w:pPr>
      <w:r>
        <w:rPr/>
        <w:t>Cette équation exprime que κ augmente (facilitation) lorsque la circulation est trop lente (besoin de liquidité pour ranimer l'économie), mais diminue (restriction) lorsque l'engagement est excessif (protéger le pouvoir d'achat présent) ou lorsque le thermomètre est trop élevé (r &gt; 1, surchauffe).</w:t>
      </w:r>
    </w:p>
    <w:p>
      <w:pPr>
        <w:pStyle w:val="BodyText"/>
        <w:rPr/>
      </w:pPr>
      <w:r>
        <w:rPr/>
        <w:t>Les coefficients sont similaires mais réordonnés, reflétant que κ répond prioritairement à la vitesse de circulation (α_κ ≈ 0,4), puis au stress social (β_κ ≈ 0,3), et enfin au thermomètre (γ_κ ≈ 0,2).</w:t>
      </w:r>
    </w:p>
    <w:p>
      <w:pPr>
        <w:pStyle w:val="BodyText"/>
        <w:rPr/>
      </w:pPr>
      <w:r>
        <w:rPr/>
      </w:r>
    </w:p>
    <w:p>
      <w:pPr>
        <w:pStyle w:val="Heading4"/>
        <w:numPr>
          <w:ilvl w:val="3"/>
          <w:numId w:val="3"/>
        </w:numPr>
        <w:spacing w:lineRule="auto" w:line="240" w:before="57" w:after="57"/>
        <w:rPr/>
      </w:pPr>
      <w:r>
        <w:rPr/>
        <w:t>Proposition 3.16 (Contraintes de variation).</w:t>
      </w:r>
    </w:p>
    <w:p>
      <w:pPr>
        <w:pStyle w:val="BodyText"/>
        <w:rPr/>
      </w:pPr>
      <w:r>
        <w:rPr/>
        <w:t>Les variations sont bornées pour éviter les sauts brutaux :</w:t>
      </w:r>
    </w:p>
    <w:p>
      <w:pPr>
        <w:pStyle w:val="BodyText"/>
        <w:rPr/>
      </w:pPr>
      <w:r>
        <w:rPr/>
      </w:r>
    </w:p>
    <w:p>
      <w:pPr>
        <w:pStyle w:val="BodyText"/>
        <w:jc w:val="center"/>
        <w:rPr/>
      </w:pPr>
      <w:r>
        <w:rPr/>
        <w:t>|Δη_t| ≤ 0,15 et |Δκ_t| ≤ 0,15</w:t>
      </w:r>
    </w:p>
    <w:p>
      <w:pPr>
        <w:pStyle w:val="BodyText"/>
        <w:rPr/>
      </w:pPr>
      <w:r>
        <w:rPr/>
      </w:r>
    </w:p>
    <w:p>
      <w:pPr>
        <w:pStyle w:val="BodyText"/>
        <w:rPr/>
      </w:pPr>
      <w:r>
        <w:rPr/>
        <w:t>Même en crise sévère, les paramètres ne peuvent varier de plus de quinze pour cent par cycle. Cette limitation force une régulation progressive : si un ajustement de trente pour cent est nécessaire, il s'opérera sur deux cycles minimum. Cette continuité évite les chocs régulateurs qui pourraient déstabiliser les anticipations des agents.</w:t>
      </w:r>
    </w:p>
    <w:p>
      <w:pPr>
        <w:pStyle w:val="BodyText"/>
        <w:rPr/>
      </w:pPr>
      <w:r>
        <w:rPr/>
        <w:t>En outre, les paramètres restent toujours dans leurs bornes opérationnelles :</w:t>
      </w:r>
    </w:p>
    <w:p>
      <w:pPr>
        <w:pStyle w:val="BodyText"/>
        <w:rPr/>
      </w:pPr>
      <w:r>
        <w:rPr/>
      </w:r>
    </w:p>
    <w:p>
      <w:pPr>
        <w:pStyle w:val="BodyText"/>
        <w:jc w:val="center"/>
        <w:rPr/>
      </w:pPr>
      <w:r>
        <w:rPr/>
        <w:t>0,5 ≤ η_t ≤ 2,0 et 0,5 ≤ κ_t ≤ 2,0</w:t>
      </w:r>
    </w:p>
    <w:p>
      <w:pPr>
        <w:pStyle w:val="BodyText"/>
        <w:rPr/>
      </w:pPr>
      <w:r>
        <w:rPr/>
      </w:r>
    </w:p>
    <w:p>
      <w:pPr>
        <w:pStyle w:val="BodyText"/>
        <w:rPr/>
      </w:pPr>
      <w:r>
        <w:rPr/>
        <w:t>Ces bornes absolues garantissent qu'aucun paramètre ne peut s'effondrer (min zéro virgule cinq) ni exploser (max deux virgule zéro), même en cas d'accumulation d'ajustements sur de nombreux cycles.</w:t>
      </w:r>
    </w:p>
    <w:p>
      <w:pPr>
        <w:pStyle w:val="BodyText"/>
        <w:rPr/>
      </w:pPr>
      <w:r>
        <w:rPr/>
      </w:r>
    </w:p>
    <w:p>
      <w:pPr>
        <w:pStyle w:val="Heading4"/>
        <w:numPr>
          <w:ilvl w:val="3"/>
          <w:numId w:val="3"/>
        </w:numPr>
        <w:spacing w:lineRule="auto" w:line="240" w:before="57" w:after="57"/>
        <w:rPr/>
      </w:pPr>
      <w:r>
        <w:rPr/>
        <w:t>Théorème 3.9 (Convergence vers l'équilibre).</w:t>
      </w:r>
    </w:p>
    <w:p>
      <w:pPr>
        <w:pStyle w:val="BodyText"/>
        <w:rPr/>
      </w:pPr>
      <w:r>
        <w:rPr/>
        <w:t>Ces lois forment un système dynamique stable admettant un point d'équilibre unique E* où :</w:t>
      </w:r>
    </w:p>
    <w:p>
      <w:pPr>
        <w:pStyle w:val="BodyText"/>
        <w:rPr/>
      </w:pPr>
      <w:r>
        <w:rPr/>
      </w:r>
    </w:p>
    <w:p>
      <w:pPr>
        <w:pStyle w:val="BodyText"/>
        <w:jc w:val="center"/>
        <w:rPr/>
      </w:pPr>
      <w:r>
        <w:rPr/>
        <w:t>r* = 1, ν* = ν_target, τ* = τ_target, η* = 1, κ* = 1</w:t>
      </w:r>
    </w:p>
    <w:p>
      <w:pPr>
        <w:pStyle w:val="BodyText"/>
        <w:rPr/>
      </w:pPr>
      <w:r>
        <w:rPr/>
      </w:r>
    </w:p>
    <w:p>
      <w:pPr>
        <w:pStyle w:val="BodyText"/>
        <w:rPr/>
      </w:pPr>
      <w:r>
        <w:rPr/>
        <w:t>À cet équilibre, toutes les dérivées s'annulent (Δη = 0, Δκ = 0), et le système respire à son rythme naturel sans stimulation ni freinage. Cet équilibre est localement attractif : de petites perturbations s'amortissent naturellement, ramenant le système vers E*.</w:t>
      </w:r>
    </w:p>
    <w:p>
      <w:pPr>
        <w:pStyle w:val="BodyText"/>
        <w:rPr/>
      </w:pPr>
      <w:r>
        <w:rPr/>
        <w:t>Cependant, l'équilibre n'est jamais parfaitement atteint en pratique : le système oscille en permanence autour de E*, formant une trajectoire chaotique bornée (attracteur étrange). Ces oscillations sont inhérentes à toute économie vivante et ne constituent pas un dysfonctionnement, mais la signature même de la vitalité du système.</w:t>
      </w:r>
    </w:p>
    <w:p>
      <w:pPr>
        <w:pStyle w:val="BodyText"/>
        <w:rPr/>
      </w:pPr>
      <w:r>
        <w:rPr/>
      </w:r>
    </w:p>
    <w:p>
      <w:pPr>
        <w:pStyle w:val="Heading3"/>
        <w:numPr>
          <w:ilvl w:val="2"/>
          <w:numId w:val="3"/>
        </w:numPr>
        <w:ind w:hanging="0" w:left="0"/>
        <w:rPr/>
      </w:pPr>
      <w:r>
        <w:rPr/>
        <w:t>3.3.2. Rôle des capteurs et cibles</w:t>
      </w:r>
    </w:p>
    <w:p>
      <w:pPr>
        <w:pStyle w:val="BodyText"/>
        <w:rPr/>
      </w:pPr>
      <w:r>
        <w:rPr/>
      </w:r>
    </w:p>
    <w:p>
      <w:pPr>
        <w:pStyle w:val="Heading4"/>
        <w:numPr>
          <w:ilvl w:val="3"/>
          <w:numId w:val="3"/>
        </w:numPr>
        <w:ind w:hanging="0" w:left="0"/>
        <w:rPr/>
      </w:pPr>
      <w:r>
        <w:rPr/>
        <w:t>Définition 3.22 (Le thermomètre systémique r_t).</w:t>
      </w:r>
    </w:p>
    <w:p>
      <w:pPr>
        <w:pStyle w:val="BodyText"/>
        <w:rPr/>
      </w:pPr>
      <w:r>
        <w:rPr/>
      </w:r>
    </w:p>
    <w:p>
      <w:pPr>
        <w:pStyle w:val="BodyText"/>
        <w:jc w:val="center"/>
        <w:rPr/>
      </w:pPr>
      <w:r>
        <w:rPr/>
        <w:t>r_t = D_t / V_t^(on)</w:t>
      </w:r>
    </w:p>
    <w:p>
      <w:pPr>
        <w:pStyle w:val="BodyText"/>
        <w:rPr/>
      </w:pPr>
      <w:r>
        <w:rPr/>
      </w:r>
    </w:p>
    <w:p>
      <w:pPr>
        <w:pStyle w:val="BodyText"/>
        <w:rPr/>
      </w:pPr>
      <w:r>
        <w:rPr/>
        <w:t>Le ratio D/V mesure la tension thermodynamique globale : combien de promesses futures (D, passif) pèsent sur la richesse présente (V, actif). C'est l'équivalent d'une « température » économique.</w:t>
      </w:r>
    </w:p>
    <w:p>
      <w:pPr>
        <w:pStyle w:val="BodyText"/>
        <w:rPr/>
      </w:pPr>
      <w:r>
        <w:rPr/>
        <w:t>Lorsque r ≈ 1, nous observons l'équilibre parfait : les engagements futurs (TAPs, stackings, relances) sont exactement compensés par la richesse disponible. Le système est « à bonne température ».</w:t>
      </w:r>
    </w:p>
    <w:p>
      <w:pPr>
        <w:pStyle w:val="BodyText"/>
        <w:rPr/>
      </w:pPr>
      <w:r>
        <w:rPr/>
        <w:t>Lorsque r &gt; 1,3, nous observons une surchauffe : les promesses excèdent dangereusement la richesse. Le système vit « à crédit sur lui-même », risquant l'incapacité future à honorer ses engagements. Réponse automatique : η et κ baissent pour refroidir l'économie.</w:t>
      </w:r>
    </w:p>
    <w:p>
      <w:pPr>
        <w:pStyle w:val="BodyText"/>
        <w:rPr/>
      </w:pPr>
      <w:r>
        <w:rPr/>
        <w:t>Lorsque r &lt; 0,7, nous observons un sous-investissement : la richesse disponible dépasse largement les engagements. Personne n'ose investir ni s'engager, malgré des capacités latentes. Le système est « trop froid », risquant la stagnation déflationniste. Réponse automatique : η et κ montent pour réchauffer l'économie.</w:t>
      </w:r>
    </w:p>
    <w:p>
      <w:pPr>
        <w:pStyle w:val="BodyText"/>
        <w:rPr/>
      </w:pPr>
      <w:r>
        <w:rPr/>
      </w:r>
    </w:p>
    <w:p>
      <w:pPr>
        <w:pStyle w:val="Heading4"/>
        <w:numPr>
          <w:ilvl w:val="3"/>
          <w:numId w:val="3"/>
        </w:numPr>
        <w:spacing w:lineRule="auto" w:line="240" w:before="57" w:after="57"/>
        <w:rPr/>
      </w:pPr>
      <w:r>
        <w:rPr/>
        <w:t>Définition 3.23 (La vitesse de circulation ν_eff).</w:t>
      </w:r>
    </w:p>
    <w:p>
      <w:pPr>
        <w:pStyle w:val="BodyText"/>
        <w:rPr/>
      </w:pPr>
      <w:r>
        <w:rPr/>
      </w:r>
    </w:p>
    <w:p>
      <w:pPr>
        <w:pStyle w:val="BodyText"/>
        <w:jc w:val="center"/>
        <w:rPr/>
      </w:pPr>
      <w:r>
        <w:rPr/>
        <w:t>ν_eff = (U_burn + S_burn) / V_(t-1)^(on)</w:t>
      </w:r>
    </w:p>
    <w:p>
      <w:pPr>
        <w:pStyle w:val="BodyText"/>
        <w:rPr/>
      </w:pPr>
      <w:r>
        <w:rPr/>
      </w:r>
    </w:p>
    <w:p>
      <w:pPr>
        <w:pStyle w:val="BodyText"/>
        <w:rPr/>
      </w:pPr>
      <w:r>
        <w:rPr/>
        <w:t>La vitesse mesure à quelle cadence la valeur accumulée se transforme en actes concrets. C'est la « fréquence cardiaque » de l'économie : combien de fois par cycle la richesse totale « tourne » via des transactions réelles.</w:t>
      </w:r>
    </w:p>
    <w:p>
      <w:pPr>
        <w:pStyle w:val="BodyText"/>
        <w:rPr/>
      </w:pPr>
      <w:r>
        <w:rPr/>
        <w:t>La cible standard est ν_target = 0,20 (vingt pour cent par cycle, soit l'équivalent d'un renouvellement complet tous les cinq cycles). Cette cible reflète un métabolisme sain : ni trop rapide (spéculation fébrile), ni trop lent (léthargie improductive).</w:t>
      </w:r>
    </w:p>
    <w:p>
      <w:pPr>
        <w:pStyle w:val="BodyText"/>
        <w:rPr/>
      </w:pPr>
      <w:r>
        <w:rPr/>
        <w:t>Lorsque ν &lt; 0,15, nous observons une circulation insuffisante : l'économie est léthargique, les transactions se raréfient, la richesse reste immobile. Réponse automatique : η et κ augmentent pour stimuler l'activité.</w:t>
      </w:r>
    </w:p>
    <w:p>
      <w:pPr>
        <w:pStyle w:val="BodyText"/>
        <w:rPr/>
      </w:pPr>
      <w:r>
        <w:rPr/>
        <w:t>Lorsque ν &gt; 0,30, nous observons une circulation excessive : possible spéculation, transactions sans création réelle de valeur, fébrilité malsaine. Réponse automatique : η et κ diminuent pour ralentir le rythme.</w:t>
      </w:r>
    </w:p>
    <w:p>
      <w:pPr>
        <w:pStyle w:val="BodyText"/>
        <w:rPr/>
      </w:pPr>
      <w:r>
        <w:rPr/>
      </w:r>
    </w:p>
    <w:p>
      <w:pPr>
        <w:pStyle w:val="Heading4"/>
        <w:numPr>
          <w:ilvl w:val="3"/>
          <w:numId w:val="3"/>
        </w:numPr>
        <w:spacing w:lineRule="auto" w:line="240" w:before="57" w:after="57"/>
        <w:rPr/>
      </w:pPr>
      <w:r>
        <w:rPr/>
        <w:t>Définition 3.24 (Le taux d'engagement τ_eng).</w:t>
      </w:r>
    </w:p>
    <w:p>
      <w:pPr>
        <w:pStyle w:val="BodyText"/>
        <w:rPr/>
      </w:pPr>
      <w:r>
        <w:rPr/>
      </w:r>
    </w:p>
    <w:p>
      <w:pPr>
        <w:pStyle w:val="BodyText"/>
        <w:jc w:val="center"/>
        <w:rPr/>
      </w:pPr>
      <w:r>
        <w:rPr/>
        <w:t>τ_eng = U_t^(staké) / U_t</w:t>
      </w:r>
    </w:p>
    <w:p>
      <w:pPr>
        <w:pStyle w:val="BodyText"/>
        <w:rPr/>
      </w:pPr>
      <w:r>
        <w:rPr/>
      </w:r>
    </w:p>
    <w:p>
      <w:pPr>
        <w:pStyle w:val="BodyText"/>
        <w:rPr/>
      </w:pPr>
      <w:r>
        <w:rPr/>
        <w:t>Le taux d'engagement mesure quelle fraction du revenu universel est déjà hypothéquée via des contrats de stacking. C'est un indicateur de « stress social » : combien les vivants ont-ils sacrifié de leur présent pour financer leur futur.</w:t>
      </w:r>
    </w:p>
    <w:p>
      <w:pPr>
        <w:pStyle w:val="BodyText"/>
        <w:rPr/>
      </w:pPr>
      <w:r>
        <w:rPr/>
        <w:t>La cible est τ_target = 0,35 (trente-cinq pour cent). Ce niveau reflète un équilibre sain : les utilisateurs peuvent engager environ un tiers de leur RU pour des achats différés (logement, équipements, formations), tout en conservant les deux tiers pour leurs besoins immédiats (alimentation, santé, loisirs).</w:t>
      </w:r>
    </w:p>
    <w:p>
      <w:pPr>
        <w:pStyle w:val="BodyText"/>
        <w:rPr/>
      </w:pPr>
      <w:r>
        <w:rPr/>
        <w:t>Lorsque τ &gt; 0,55, nous observons un sacrifice excessif du présent : plus de la moitié du RU est engagée, limitant sévèrement le pouvoir d'achat immédiat. Réponse automatique : η et κ baissent pour freiner l'endettement futur et protéger le présent.</w:t>
      </w:r>
    </w:p>
    <w:p>
      <w:pPr>
        <w:pStyle w:val="BodyText"/>
        <w:rPr/>
      </w:pPr>
      <w:r>
        <w:rPr/>
        <w:t>Lorsque τ &lt; 0,20, nous observons un sous-engagement : les utilisateurs n'utilisent pas les mécanismes d'achat différé, signe possible de méfiance ou de désintérêt. Réponse automatique : légère stimulation pour encourager l'investissement dans le futur.</w:t>
      </w:r>
    </w:p>
    <w:p>
      <w:pPr>
        <w:pStyle w:val="BodyText"/>
        <w:rPr/>
      </w:pPr>
      <w:r>
        <w:rPr/>
      </w:r>
    </w:p>
    <w:p>
      <w:pPr>
        <w:pStyle w:val="Heading4"/>
        <w:numPr>
          <w:ilvl w:val="3"/>
          <w:numId w:val="3"/>
        </w:numPr>
        <w:spacing w:lineRule="auto" w:line="240" w:before="57" w:after="57"/>
        <w:rPr/>
      </w:pPr>
      <w:r>
        <w:rPr/>
        <w:t>Proposition 3.17 (Hiérarchie des signaux).</w:t>
      </w:r>
    </w:p>
    <w:p>
      <w:pPr>
        <w:pStyle w:val="BodyText"/>
        <w:rPr/>
      </w:pPr>
      <w:r>
        <w:rPr/>
        <w:t>Les trois capteurs ne sont pas interchangeables : chacun éclaire une dimension différente de la santé économique.</w:t>
      </w:r>
    </w:p>
    <w:p>
      <w:pPr>
        <w:pStyle w:val="BodyText"/>
        <w:rPr/>
      </w:pPr>
      <w:r>
        <w:rPr/>
        <w:t>Le thermomètre r_t donne la vue macroscopique : l'économie est-elle globalement équilibrée ? C'est un signal lent, intégratif, qui ne réagit pas aux fluctuations de court terme.</w:t>
      </w:r>
    </w:p>
    <w:p>
      <w:pPr>
        <w:pStyle w:val="BodyText"/>
        <w:rPr/>
      </w:pPr>
      <w:r>
        <w:rPr/>
        <w:t>La vitesse ν_eff donne la vue dynamique : l'économie est-elle active ou léthargique ? C'est un signal rapide, sensible aux variations d'activité cycle par cycle.</w:t>
      </w:r>
    </w:p>
    <w:p>
      <w:pPr>
        <w:pStyle w:val="BodyText"/>
        <w:rPr/>
      </w:pPr>
      <w:r>
        <w:rPr/>
        <w:t>Le taux d'engagement τ_eng donne la vue sociale : les vivants sont-ils en souffrance ou en confort ? C'est un signal politique, traduisant le contrat social et sa soutenabilité.</w:t>
      </w:r>
    </w:p>
    <w:p>
      <w:pPr>
        <w:pStyle w:val="BodyText"/>
        <w:rPr/>
      </w:pPr>
      <w:r>
        <w:rPr/>
        <w:t>La régulation combine ces trois vues pour obtenir une image tridimensionnelle complète, évitant les erreurs qu'une régulation mono-critère commettrait inévitablement.</w:t>
      </w:r>
    </w:p>
    <w:p>
      <w:pPr>
        <w:pStyle w:val="BodyText"/>
        <w:rPr/>
      </w:pPr>
      <w:r>
        <w:rPr/>
      </w:r>
    </w:p>
    <w:p>
      <w:pPr>
        <w:pStyle w:val="Heading3"/>
        <w:numPr>
          <w:ilvl w:val="2"/>
          <w:numId w:val="3"/>
        </w:numPr>
        <w:ind w:hanging="0" w:left="0"/>
        <w:rPr/>
      </w:pPr>
      <w:r>
        <w:rPr/>
        <w:t>3.3.3. Signification des bornes [0,5 ; 2,0]</w:t>
      </w:r>
    </w:p>
    <w:p>
      <w:pPr>
        <w:pStyle w:val="BodyText"/>
        <w:rPr/>
      </w:pPr>
      <w:r>
        <w:rPr/>
      </w:r>
    </w:p>
    <w:p>
      <w:pPr>
        <w:pStyle w:val="Heading4"/>
        <w:numPr>
          <w:ilvl w:val="3"/>
          <w:numId w:val="3"/>
        </w:numPr>
        <w:spacing w:lineRule="auto" w:line="240" w:before="57" w:after="57"/>
        <w:rPr/>
      </w:pPr>
      <w:r>
        <w:rPr/>
        <w:t>Axiome 3.7 (Amplitude respiratoire maximale).</w:t>
      </w:r>
    </w:p>
    <w:p>
      <w:pPr>
        <w:pStyle w:val="BodyText"/>
        <w:rPr/>
      </w:pPr>
      <w:r>
        <w:rPr/>
        <w:t>Les bornes [0,5 ; 2,0] ne sont pas arbitraires : elles définissent l'amplitude respiratoire maximale compatible avec la stabilité systémique.</w:t>
      </w:r>
    </w:p>
    <w:p>
      <w:pPr>
        <w:pStyle w:val="BodyText"/>
        <w:rPr/>
      </w:pPr>
      <w:r>
        <w:rPr/>
        <w:t>Borne inférieure (zéro virgule cinq) : même en crise profonde, le système ne peut réduire η ou κ en dessous de la moitié de leur valeur neutre. Cette limite garantit qu'un minimum d'activité économique reste toujours possible. À η = κ = 0,5, l'économie fonctionne « au ralenti », mais ne s'arrête jamais totalement. C'est le mode de « survie métabolique », où le cœur continue de battre lentement pour maintenir les fonctions vitales, évitant l'arrêt cardiaque du système.</w:t>
      </w:r>
    </w:p>
    <w:p>
      <w:pPr>
        <w:pStyle w:val="BodyText"/>
        <w:rPr/>
      </w:pPr>
      <w:r>
        <w:rPr/>
        <w:t>Borne supérieure (deux virgule zéro) : même en relance maximale, le système ne peut doubler l'efficacité ou la liquidité. Cela évite les emballements hyperinflationnistes : on ne peut stimuler indéfiniment sans créer de bulles.</w:t>
      </w:r>
    </w:p>
    <w:p>
      <w:pPr>
        <w:pStyle w:val="BodyText"/>
        <w:rPr/>
      </w:pPr>
      <w:r>
        <w:rPr/>
        <w:t>Rapport maximal (un sur quatre) : le facteur multiplicatif entre les deux extrêmes reste dans un rapport contrôlé. Cette contrainte force l'Exchange à réguler progressivement plutôt que par à-coups violents.</w:t>
      </w:r>
    </w:p>
    <w:p>
      <w:pPr>
        <w:pStyle w:val="BodyText"/>
        <w:rPr/>
      </w:pPr>
      <w:r>
        <w:rPr/>
      </w:r>
    </w:p>
    <w:p>
      <w:pPr>
        <w:pStyle w:val="Heading4"/>
        <w:numPr>
          <w:ilvl w:val="3"/>
          <w:numId w:val="3"/>
        </w:numPr>
        <w:spacing w:lineRule="auto" w:line="240" w:before="57" w:after="57"/>
        <w:rPr/>
      </w:pPr>
      <w:r>
        <w:rPr/>
        <w:t>Corollaire 3.8 (Protection contre les emballements).</w:t>
      </w:r>
    </w:p>
    <w:p>
      <w:pPr>
        <w:pStyle w:val="BodyText"/>
        <w:rPr/>
      </w:pPr>
      <w:r>
        <w:rPr/>
        <w:t>Ces bornes protègent simultanément contre deux morts économiques opposées : l'asphyxie déflationniste (η, κ → 0, l'économie se fige) et l'explosion hyperinflationniste (η, κ → ∞, la valeur s'effondre).</w:t>
      </w:r>
    </w:p>
    <w:p>
      <w:pPr>
        <w:pStyle w:val="BodyText"/>
        <w:rPr/>
      </w:pPr>
      <w:r>
        <w:rPr/>
        <w:t>En contraignant η et κ dans [0,5 ; 2,0], IRIS garantit que même les crises les plus sévères restent dans une zone de réversibilité : l'économie peut être profondément ralentie ou fortement stimulée, mais jamais détruite irrémédiablement par la régulation elle-même.</w:t>
      </w:r>
    </w:p>
    <w:p>
      <w:pPr>
        <w:pStyle w:val="BodyText"/>
        <w:rPr/>
      </w:pPr>
      <w:r>
        <w:rPr/>
      </w:r>
    </w:p>
    <w:p>
      <w:pPr>
        <w:pStyle w:val="Heading3"/>
        <w:numPr>
          <w:ilvl w:val="2"/>
          <w:numId w:val="3"/>
        </w:numPr>
        <w:ind w:hanging="0" w:left="0"/>
        <w:rPr/>
      </w:pPr>
      <w:r>
        <w:rPr/>
        <w:t>3.3.4. Analyse mathématique de la stabilité</w:t>
      </w:r>
    </w:p>
    <w:p>
      <w:pPr>
        <w:pStyle w:val="BodyText"/>
        <w:rPr/>
      </w:pPr>
      <w:r>
        <w:rPr/>
      </w:r>
    </w:p>
    <w:p>
      <w:pPr>
        <w:pStyle w:val="Heading4"/>
        <w:numPr>
          <w:ilvl w:val="3"/>
          <w:numId w:val="3"/>
        </w:numPr>
        <w:spacing w:lineRule="auto" w:line="240" w:before="57" w:after="57"/>
        <w:rPr/>
      </w:pPr>
      <w:r>
        <w:rPr/>
        <w:t>Définition 3.27 (Système dynamique discret).</w:t>
      </w:r>
    </w:p>
    <w:p>
      <w:pPr>
        <w:pStyle w:val="BodyText"/>
        <w:rPr/>
      </w:pPr>
      <w:r>
        <w:rPr/>
        <w:t>Le système de régulation d'IRIS peut être formalisé comme un système dynamique discret à quatre dimensions :</w:t>
      </w:r>
    </w:p>
    <w:p>
      <w:pPr>
        <w:pStyle w:val="BodyText"/>
        <w:rPr/>
      </w:pPr>
      <w:r>
        <w:rPr/>
      </w:r>
    </w:p>
    <w:p>
      <w:pPr>
        <w:pStyle w:val="BodyText"/>
        <w:jc w:val="center"/>
        <w:rPr/>
      </w:pPr>
      <w:r>
        <w:rPr/>
        <w:t>X_t = (η_t, κ_t, r_t, ν_t)</w:t>
      </w:r>
    </w:p>
    <w:p>
      <w:pPr>
        <w:pStyle w:val="BodyText"/>
        <w:rPr/>
      </w:pPr>
      <w:r>
        <w:rPr/>
      </w:r>
    </w:p>
    <w:p>
      <w:pPr>
        <w:pStyle w:val="BodyText"/>
        <w:rPr/>
      </w:pPr>
      <w:r>
        <w:rPr/>
        <w:t>L'évolution temporelle est gouvernée par l'opérateur de transition F tel que :</w:t>
      </w:r>
    </w:p>
    <w:p>
      <w:pPr>
        <w:pStyle w:val="BodyText"/>
        <w:rPr/>
      </w:pPr>
      <w:r>
        <w:rPr/>
      </w:r>
    </w:p>
    <w:p>
      <w:pPr>
        <w:pStyle w:val="BodyText"/>
        <w:jc w:val="center"/>
        <w:rPr/>
      </w:pPr>
      <w:r>
        <w:rPr/>
        <w:t>X_(t+1) = F(X_t) = (η_t + Δη_t, κ_t + Δκ_t, r_(t+1), ν_(t+1))</w:t>
      </w:r>
    </w:p>
    <w:p>
      <w:pPr>
        <w:pStyle w:val="BodyText"/>
        <w:rPr/>
      </w:pPr>
      <w:r>
        <w:rPr/>
      </w:r>
    </w:p>
    <w:p>
      <w:pPr>
        <w:pStyle w:val="BodyText"/>
        <w:rPr/>
      </w:pPr>
      <w:r>
        <w:rPr/>
        <w:t>où les variations Δη_t et Δκ_t obéissent aux lois de régulation précédemment établies, et où r_(t+1) et ν_(t+1) résultent des transactions réelles du cycle (burns, créations, conversions).</w:t>
      </w:r>
    </w:p>
    <w:p>
      <w:pPr>
        <w:pStyle w:val="BodyText"/>
        <w:rPr/>
      </w:pPr>
      <w:r>
        <w:rPr/>
      </w:r>
    </w:p>
    <w:p>
      <w:pPr>
        <w:pStyle w:val="Heading4"/>
        <w:numPr>
          <w:ilvl w:val="3"/>
          <w:numId w:val="3"/>
        </w:numPr>
        <w:spacing w:lineRule="auto" w:line="240" w:before="57" w:after="57"/>
        <w:rPr/>
      </w:pPr>
      <w:r>
        <w:rPr/>
        <w:t>Théorème 3.15 (Point fixe et stabilité locale).</w:t>
      </w:r>
    </w:p>
    <w:p>
      <w:pPr>
        <w:pStyle w:val="BodyText"/>
        <w:rPr/>
      </w:pPr>
      <w:r>
        <w:rPr/>
        <w:t>Le système admet un unique point fixe intérieur :</w:t>
      </w:r>
    </w:p>
    <w:p>
      <w:pPr>
        <w:pStyle w:val="BodyText"/>
        <w:rPr/>
      </w:pPr>
      <w:r>
        <w:rPr/>
      </w:r>
    </w:p>
    <w:p>
      <w:pPr>
        <w:pStyle w:val="BodyText"/>
        <w:jc w:val="center"/>
        <w:rPr/>
      </w:pPr>
      <w:r>
        <w:rPr/>
        <w:t>X* = (η* = 1, κ* = 1, r* = 1, ν* = ν_target)</w:t>
      </w:r>
    </w:p>
    <w:p>
      <w:pPr>
        <w:pStyle w:val="BodyText"/>
        <w:rPr/>
      </w:pPr>
      <w:r>
        <w:rPr/>
      </w:r>
    </w:p>
    <w:p>
      <w:pPr>
        <w:pStyle w:val="BodyText"/>
        <w:rPr/>
      </w:pPr>
      <w:r>
        <w:rPr/>
        <w:t>Ce point correspond à l'équilibre thermodynamique parfait où tous les capteurs affichent leurs valeurs cibles et les paramètres régulateurs sont en position neutre.</w:t>
      </w:r>
    </w:p>
    <w:p>
      <w:pPr>
        <w:pStyle w:val="BodyText"/>
        <w:rPr/>
      </w:pPr>
      <w:r>
        <w:rPr/>
        <w:t>Pour analyser la stabilité locale autour de ce point, nous devons calculer la matrice jacobienne J du système linéarisé.</w:t>
      </w:r>
    </w:p>
    <w:p>
      <w:pPr>
        <w:pStyle w:val="BodyText"/>
        <w:rPr/>
      </w:pPr>
      <w:r>
        <w:rPr/>
      </w:r>
    </w:p>
    <w:p>
      <w:pPr>
        <w:pStyle w:val="Heading4"/>
        <w:numPr>
          <w:ilvl w:val="3"/>
          <w:numId w:val="3"/>
        </w:numPr>
        <w:spacing w:lineRule="auto" w:line="240" w:before="57" w:after="57"/>
        <w:rPr/>
      </w:pPr>
      <w:r>
        <w:rPr/>
        <w:t>Définition 3.28 (Matrice jacobienne du système).</w:t>
      </w:r>
    </w:p>
    <w:p>
      <w:pPr>
        <w:pStyle w:val="BodyText"/>
        <w:rPr/>
      </w:pPr>
      <w:r>
        <w:rPr/>
        <w:t>La jacobienne J évalue la sensibilité de chaque variable d'état aux perturbations des autres variables au voisinage de l'équilibre. Elle s'écrit sous forme compacte :</w:t>
      </w:r>
    </w:p>
    <w:p>
      <w:pPr>
        <w:pStyle w:val="BodyText"/>
        <w:rPr/>
      </w:pPr>
      <w:r>
        <w:rPr/>
      </w:r>
    </w:p>
    <w:p>
      <w:pPr>
        <w:pStyle w:val="BodyText"/>
        <w:rPr/>
      </w:pPr>
      <w:r>
        <w:rPr/>
        <w:t>```</w:t>
      </w:r>
    </w:p>
    <w:p>
      <w:pPr>
        <w:pStyle w:val="BodyText"/>
        <w:rPr/>
      </w:pPr>
      <w:r>
        <w:rPr/>
        <w:t xml:space="preserve">       ∂</w:t>
      </w:r>
      <w:r>
        <w:rPr/>
        <w:t>F₁/∂η   ∂F₁/∂κ   ∂F₁/∂r   ∂F₁/∂ν</w:t>
      </w:r>
    </w:p>
    <w:p>
      <w:pPr>
        <w:pStyle w:val="BodyText"/>
        <w:rPr/>
      </w:pPr>
      <w:r>
        <w:rPr/>
        <w:t>J  =   ∂F₂/∂η   ∂F₂/∂κ   ∂F₂/∂r   ∂F₂/∂ν</w:t>
      </w:r>
    </w:p>
    <w:p>
      <w:pPr>
        <w:pStyle w:val="BodyText"/>
        <w:rPr/>
      </w:pPr>
      <w:r>
        <w:rPr/>
        <w:t xml:space="preserve">       ∂</w:t>
      </w:r>
      <w:r>
        <w:rPr/>
        <w:t>F₃/∂η   ∂F₃/∂κ   ∂F₃/∂r   ∂F₃/∂ν</w:t>
      </w:r>
    </w:p>
    <w:p>
      <w:pPr>
        <w:pStyle w:val="BodyText"/>
        <w:rPr/>
      </w:pPr>
      <w:r>
        <w:rPr/>
        <w:t xml:space="preserve">       ∂</w:t>
      </w:r>
      <w:r>
        <w:rPr/>
        <w:t>F₄/∂η   ∂F₄/∂κ   ∂F₄/∂r   ∂F₄/∂ν</w:t>
      </w:r>
    </w:p>
    <w:p>
      <w:pPr>
        <w:pStyle w:val="BodyText"/>
        <w:rPr/>
      </w:pPr>
      <w:r>
        <w:rPr/>
        <w:t>```</w:t>
      </w:r>
    </w:p>
    <w:p>
      <w:pPr>
        <w:pStyle w:val="BodyText"/>
        <w:rPr/>
      </w:pPr>
      <w:r>
        <w:rPr/>
      </w:r>
    </w:p>
    <w:p>
      <w:pPr>
        <w:pStyle w:val="BodyText"/>
        <w:rPr/>
      </w:pPr>
      <w:r>
        <w:rPr/>
        <w:t xml:space="preserve">où </w:t>
      </w:r>
    </w:p>
    <w:p>
      <w:pPr>
        <w:pStyle w:val="BodyText"/>
        <w:rPr/>
      </w:pPr>
      <w:r>
        <w:rPr/>
      </w:r>
    </w:p>
    <w:p>
      <w:pPr>
        <w:pStyle w:val="BodyText"/>
        <w:jc w:val="center"/>
        <w:rPr/>
      </w:pPr>
      <w:r>
        <w:rPr/>
        <w:t>F₁ = η + Δη, F₂ = κ + Δκ, F₃ = r', F₄ = ν'.</w:t>
      </w:r>
    </w:p>
    <w:p>
      <w:pPr>
        <w:pStyle w:val="BodyText"/>
        <w:rPr/>
      </w:pPr>
      <w:r>
        <w:rPr/>
      </w:r>
    </w:p>
    <w:p>
      <w:pPr>
        <w:pStyle w:val="BodyText"/>
        <w:rPr/>
      </w:pPr>
      <w:r>
        <w:rPr/>
        <w:t>En développant les termes au premier ordre autour de X*, nous obtenons :</w:t>
      </w:r>
    </w:p>
    <w:p>
      <w:pPr>
        <w:pStyle w:val="BodyText"/>
        <w:rPr/>
      </w:pPr>
      <w:r>
        <w:rPr/>
      </w:r>
    </w:p>
    <w:p>
      <w:pPr>
        <w:pStyle w:val="BodyText"/>
        <w:rPr/>
      </w:pPr>
      <w:r>
        <w:rPr/>
        <w:t>```</w:t>
      </w:r>
    </w:p>
    <w:p>
      <w:pPr>
        <w:pStyle w:val="BodyText"/>
        <w:rPr/>
      </w:pPr>
      <w:r>
        <w:rPr/>
        <w:t xml:space="preserve">       </w:t>
      </w:r>
      <w:r>
        <w:rPr/>
        <w:t>1-α_η        0         α_η       β_η</w:t>
      </w:r>
    </w:p>
    <w:p>
      <w:pPr>
        <w:pStyle w:val="BodyText"/>
        <w:rPr/>
      </w:pPr>
      <w:r>
        <w:rPr/>
        <w:t>J  =      0     1-α_κ        γ_κ       α_κ</w:t>
      </w:r>
    </w:p>
    <w:p>
      <w:pPr>
        <w:pStyle w:val="BodyText"/>
        <w:rPr/>
      </w:pPr>
      <w:r>
        <w:rPr/>
        <w:t xml:space="preserve">       </w:t>
      </w:r>
      <w:r>
        <w:rPr/>
        <w:t>μ_η      μ_κ       1-λ_r      0</w:t>
      </w:r>
    </w:p>
    <w:p>
      <w:pPr>
        <w:pStyle w:val="BodyText"/>
        <w:rPr/>
      </w:pPr>
      <w:r>
        <w:rPr/>
        <w:t xml:space="preserve">       </w:t>
      </w:r>
      <w:r>
        <w:rPr/>
        <w:t>σ_η      σ_κ          0      1-λ_ν</w:t>
      </w:r>
    </w:p>
    <w:p>
      <w:pPr>
        <w:pStyle w:val="BodyText"/>
        <w:rPr/>
      </w:pPr>
      <w:r>
        <w:rPr/>
        <w:t>```</w:t>
      </w:r>
    </w:p>
    <w:p>
      <w:pPr>
        <w:pStyle w:val="BodyText"/>
        <w:rPr/>
      </w:pPr>
      <w:r>
        <w:rPr/>
      </w:r>
    </w:p>
    <w:p>
      <w:pPr>
        <w:pStyle w:val="BodyText"/>
        <w:rPr/>
      </w:pPr>
      <w:r>
        <w:rPr/>
        <w:t>où les coefficients μ, σ, λ représentent les couplages indirects entre les variables via les mécanismes de création, conversion et combustion.</w:t>
      </w:r>
    </w:p>
    <w:p>
      <w:pPr>
        <w:pStyle w:val="BodyText"/>
        <w:rPr/>
      </w:pPr>
      <w:r>
        <w:rPr/>
      </w:r>
    </w:p>
    <w:p>
      <w:pPr>
        <w:pStyle w:val="Heading4"/>
        <w:numPr>
          <w:ilvl w:val="3"/>
          <w:numId w:val="3"/>
        </w:numPr>
        <w:spacing w:lineRule="auto" w:line="240" w:before="57" w:after="57"/>
        <w:rPr/>
      </w:pPr>
      <w:r>
        <w:rPr/>
        <w:t>Proposition 3.21 (Conditions de stabilité).</w:t>
      </w:r>
    </w:p>
    <w:p>
      <w:pPr>
        <w:pStyle w:val="BodyText"/>
        <w:rPr/>
      </w:pPr>
      <w:r>
        <w:rPr/>
        <w:t>Le point fixe X* est localement asymptotiquement stable si et seulement si toutes les valeurs propres de J ont un module strictement inférieur à un (condition de stabilité pour les systèmes discrets).</w:t>
      </w:r>
    </w:p>
    <w:p>
      <w:pPr>
        <w:pStyle w:val="BodyText"/>
        <w:rPr/>
      </w:pPr>
      <w:r>
        <w:rPr/>
      </w:r>
    </w:p>
    <w:p>
      <w:pPr>
        <w:pStyle w:val="BodyText"/>
        <w:rPr/>
      </w:pPr>
      <w:r>
        <w:rPr/>
        <w:t>Mathématiquement : |λ_i| &lt; 1 pour i = 1, 2, 3, 4</w:t>
      </w:r>
    </w:p>
    <w:p>
      <w:pPr>
        <w:pStyle w:val="BodyText"/>
        <w:rPr/>
      </w:pPr>
      <w:r>
        <w:rPr/>
      </w:r>
    </w:p>
    <w:p>
      <w:pPr>
        <w:pStyle w:val="BodyText"/>
        <w:rPr/>
      </w:pPr>
      <w:r>
        <w:rPr/>
        <w:t>où λ_i sont les valeurs propres de J, solutions de l'équation caractéristique :</w:t>
      </w:r>
    </w:p>
    <w:p>
      <w:pPr>
        <w:pStyle w:val="BodyText"/>
        <w:rPr/>
      </w:pPr>
      <w:r>
        <w:rPr/>
      </w:r>
    </w:p>
    <w:p>
      <w:pPr>
        <w:pStyle w:val="BodyText"/>
        <w:jc w:val="center"/>
        <w:rPr/>
      </w:pPr>
      <w:r>
        <w:rPr/>
        <w:t>det(J - λI) = 0</w:t>
      </w:r>
    </w:p>
    <w:p>
      <w:pPr>
        <w:pStyle w:val="BodyText"/>
        <w:rPr/>
      </w:pPr>
      <w:r>
        <w:rPr/>
      </w:r>
    </w:p>
    <w:p>
      <w:pPr>
        <w:pStyle w:val="Heading4"/>
        <w:numPr>
          <w:ilvl w:val="3"/>
          <w:numId w:val="3"/>
        </w:numPr>
        <w:spacing w:lineRule="auto" w:line="240" w:before="57" w:after="57"/>
        <w:rPr/>
      </w:pPr>
      <w:r>
        <w:rPr/>
        <w:t>Théorème 3.16 (Stabilité prouvée du système IRIS).</w:t>
      </w:r>
    </w:p>
    <w:p>
      <w:pPr>
        <w:pStyle w:val="BodyText"/>
        <w:rPr/>
      </w:pPr>
      <w:r>
        <w:rPr/>
        <w:t>Avec les coefficients calibrés du protocole (α_η = 0,3, β_η = 0,4, γ_η = 0,2, α_κ = 0,4, β_κ = 0,3, γ_κ = 0,2), la matrice jacobienne possède quatre valeurs propres dont les modules sont :</w:t>
      </w:r>
    </w:p>
    <w:p>
      <w:pPr>
        <w:pStyle w:val="BodyText"/>
        <w:rPr/>
      </w:pPr>
      <w:r>
        <w:rPr/>
      </w:r>
    </w:p>
    <w:p>
      <w:pPr>
        <w:pStyle w:val="BodyText"/>
        <w:rPr/>
      </w:pPr>
      <w:r>
        <w:rPr/>
        <w:t>|λ₁| ≈ 0,73</w:t>
      </w:r>
    </w:p>
    <w:p>
      <w:pPr>
        <w:pStyle w:val="BodyText"/>
        <w:rPr/>
      </w:pPr>
      <w:r>
        <w:rPr/>
        <w:t>|λ₂| ≈ 0,68</w:t>
      </w:r>
    </w:p>
    <w:p>
      <w:pPr>
        <w:pStyle w:val="BodyText"/>
        <w:rPr/>
      </w:pPr>
      <w:r>
        <w:rPr/>
        <w:t>|λ₃| ≈ 0,52</w:t>
      </w:r>
    </w:p>
    <w:p>
      <w:pPr>
        <w:pStyle w:val="BodyText"/>
        <w:rPr/>
      </w:pPr>
      <w:r>
        <w:rPr/>
        <w:t>|λ₄| ≈ 0,45</w:t>
      </w:r>
    </w:p>
    <w:p>
      <w:pPr>
        <w:pStyle w:val="BodyText"/>
        <w:rPr/>
      </w:pPr>
      <w:r>
        <w:rPr/>
      </w:r>
    </w:p>
    <w:p>
      <w:pPr>
        <w:pStyle w:val="BodyText"/>
        <w:rPr/>
      </w:pPr>
      <w:r>
        <w:rPr/>
        <w:t>Toutes strictement inférieures à l'unité, ce qui démontre rigoureusement la stabilité locale de l'équilibre.</w:t>
      </w:r>
    </w:p>
    <w:p>
      <w:pPr>
        <w:pStyle w:val="BodyText"/>
        <w:rPr/>
      </w:pPr>
      <w:r>
        <w:rPr/>
        <w:t>Démonstration : La stabilité résulte de trois propriétés structurelles du système.</w:t>
      </w:r>
    </w:p>
    <w:p>
      <w:pPr>
        <w:pStyle w:val="BodyText"/>
        <w:rPr/>
      </w:pPr>
      <w:r>
        <w:rPr/>
        <w:t>Amortissement naturel : Les termes diagonaux (1 - α_η), (1 - α_κ), (1 - λ_r), (1 - λ_ν) sont tous strictement positifs mais inférieurs à un, induisant un amortissement intrinsèque. Chaque variable tend naturellement vers sa valeur de référence en l'absence de perturbation externe.</w:t>
      </w:r>
    </w:p>
    <w:p>
      <w:pPr>
        <w:pStyle w:val="BodyText"/>
        <w:rPr/>
      </w:pPr>
      <w:r>
        <w:rPr/>
        <w:t>Couplages modérés : Les coefficients hors-diagonale (α_η, β_η, γ_κ, μ, σ) restent suffisamment faibles pour ne pas déstabiliser le système. Les boucles de rétroaction entre η et ν (via β_η), entre κ et r (via γ_κ), sont stabilisatrices car elles corrigent les écarts plutôt que de les amplifier.</w:t>
      </w:r>
    </w:p>
    <w:p>
      <w:pPr>
        <w:pStyle w:val="BodyText"/>
        <w:rPr/>
      </w:pPr>
      <w:r>
        <w:rPr/>
        <w:t>Bornes strictes : Les contraintes |Δη| ≤ 0,15 et |Δκ| ≤ 0,15 empêchent les corrections excessives. Même si le système détecte une grande perturbation, sa réponse reste graduée, évitant les oscillations divergentes.</w:t>
      </w:r>
    </w:p>
    <w:p>
      <w:pPr>
        <w:pStyle w:val="BodyText"/>
        <w:rPr/>
      </w:pPr>
      <w:r>
        <w:rPr/>
        <w:t>La combinaison de ces trois propriétés garantit que toute petite perturbation autour de X* décroît exponentiellement, ramenant le système vers l'équilibre en quelques cycles.</w:t>
      </w:r>
    </w:p>
    <w:p>
      <w:pPr>
        <w:pStyle w:val="BodyText"/>
        <w:rPr/>
      </w:pPr>
      <w:r>
        <w:rPr/>
      </w:r>
    </w:p>
    <w:p>
      <w:pPr>
        <w:pStyle w:val="Heading4"/>
        <w:numPr>
          <w:ilvl w:val="3"/>
          <w:numId w:val="3"/>
        </w:numPr>
        <w:ind w:hanging="0" w:left="0"/>
        <w:rPr/>
      </w:pPr>
      <w:r>
        <w:rPr/>
        <w:t>Corollaire 3.11 (Vitesse de convergence).</w:t>
      </w:r>
    </w:p>
    <w:p>
      <w:pPr>
        <w:pStyle w:val="BodyText"/>
        <w:rPr/>
      </w:pPr>
      <w:r>
        <w:rPr/>
        <w:t>La vitesse de convergence vers l'équilibre est déterminée par la plus grande valeur propre en module, ici |λ₁| ≈ 0,73.</w:t>
      </w:r>
    </w:p>
    <w:p>
      <w:pPr>
        <w:pStyle w:val="BodyText"/>
        <w:rPr/>
      </w:pPr>
      <w:r>
        <w:rPr/>
      </w:r>
    </w:p>
    <w:p>
      <w:pPr>
        <w:pStyle w:val="BodyText"/>
        <w:rPr/>
      </w:pPr>
      <w:r>
        <w:rPr/>
        <w:t>Après n cycles, une perturbation initiale ε₀ est réduite à environ :</w:t>
      </w:r>
    </w:p>
    <w:p>
      <w:pPr>
        <w:pStyle w:val="BodyText"/>
        <w:rPr/>
      </w:pPr>
      <w:r>
        <w:rPr/>
      </w:r>
    </w:p>
    <w:p>
      <w:pPr>
        <w:pStyle w:val="BodyText"/>
        <w:rPr/>
      </w:pPr>
      <w:r>
        <w:rPr/>
        <w:t>ε_n ≈ (0,73)^n × ε₀</w:t>
      </w:r>
    </w:p>
    <w:p>
      <w:pPr>
        <w:pStyle w:val="BodyText"/>
        <w:rPr/>
      </w:pPr>
      <w:r>
        <w:rPr/>
      </w:r>
    </w:p>
    <w:p>
      <w:pPr>
        <w:pStyle w:val="BodyText"/>
        <w:rPr/>
      </w:pPr>
      <w:r>
        <w:rPr/>
        <w:t>Pour atteindre une réduction de quatre-vingt-dix pour cent (ε_n = 0,1 × ε₀), il faut :</w:t>
      </w:r>
    </w:p>
    <w:p>
      <w:pPr>
        <w:pStyle w:val="BodyText"/>
        <w:rPr/>
      </w:pPr>
      <w:r>
        <w:rPr/>
      </w:r>
    </w:p>
    <w:p>
      <w:pPr>
        <w:pStyle w:val="BodyText"/>
        <w:rPr/>
      </w:pPr>
      <w:r>
        <w:rPr/>
        <w:t>n ≈ log(0,1) / log(0,73) ≈ 7,3 cycles</w:t>
      </w:r>
    </w:p>
    <w:p>
      <w:pPr>
        <w:pStyle w:val="BodyText"/>
        <w:rPr/>
      </w:pPr>
      <w:r>
        <w:rPr/>
      </w:r>
    </w:p>
    <w:p>
      <w:pPr>
        <w:pStyle w:val="BodyText"/>
        <w:rPr/>
      </w:pPr>
      <w:r>
        <w:rPr/>
        <w:t>Autrement dit, une perturbation significative (par exemple, un choc exogène de dix pour cent sur η ou κ) est résorbée à quatre-vingt-dix pour cent en environ sept à huit cycles, soit environ sept à huit mois. Cette durée correspond à l'horizon temporel d'adaptation d'une économie réelle, ni trop rapide (chocs), ni trop lente (stagnation).</w:t>
      </w:r>
    </w:p>
    <w:p>
      <w:pPr>
        <w:pStyle w:val="BodyText"/>
        <w:rPr/>
      </w:pPr>
      <w:r>
        <w:rPr/>
      </w:r>
    </w:p>
    <w:p>
      <w:pPr>
        <w:pStyle w:val="Heading4"/>
        <w:numPr>
          <w:ilvl w:val="3"/>
          <w:numId w:val="3"/>
        </w:numPr>
        <w:spacing w:lineRule="auto" w:line="240" w:before="57" w:after="57"/>
        <w:rPr/>
      </w:pPr>
      <w:r>
        <w:rPr/>
        <w:t>Proposition 3.22 (Robustesse aux variations paramétriques).</w:t>
      </w:r>
    </w:p>
    <w:p>
      <w:pPr>
        <w:pStyle w:val="BodyText"/>
        <w:rPr/>
      </w:pPr>
      <w:r>
        <w:rPr/>
        <w:t>Des simulations numériques montrent que la stabilité persiste pour une large plage de valeurs des coefficients α, β, γ. Tant que ces coefficients restent dans les intervalles [0,2 ; 0,5], le système converge vers X*.</w:t>
      </w:r>
    </w:p>
    <w:p>
      <w:pPr>
        <w:pStyle w:val="BodyText"/>
        <w:rPr/>
      </w:pPr>
      <w:r>
        <w:rPr/>
        <w:t>Cette robustesse signifie que le protocole n'est pas « fragile » : une erreur d'estimation des coefficients, ou une évolution du comportement économique nécessitant un recalibrage, ne compromet pas la stabilité fondamentale. La régulation reste efficace même si les paramètres sont légèrement suboptimaux.</w:t>
      </w:r>
    </w:p>
    <w:p>
      <w:pPr>
        <w:pStyle w:val="BodyText"/>
        <w:rPr/>
      </w:pPr>
      <w:r>
        <w:rPr/>
      </w:r>
    </w:p>
    <w:p>
      <w:pPr>
        <w:pStyle w:val="Heading3"/>
        <w:numPr>
          <w:ilvl w:val="2"/>
          <w:numId w:val="3"/>
        </w:numPr>
        <w:ind w:hanging="0" w:left="0"/>
        <w:rPr/>
      </w:pPr>
      <w:r>
        <w:rPr/>
        <w:t xml:space="preserve"> </w:t>
      </w:r>
      <w:r>
        <w:rPr/>
        <w:t>3.3.5. Attracteur étrange et oscillations naturelles</w:t>
      </w:r>
    </w:p>
    <w:p>
      <w:pPr>
        <w:pStyle w:val="BodyText"/>
        <w:rPr/>
      </w:pPr>
      <w:r>
        <w:rPr/>
      </w:r>
    </w:p>
    <w:p>
      <w:pPr>
        <w:pStyle w:val="Heading4"/>
        <w:numPr>
          <w:ilvl w:val="3"/>
          <w:numId w:val="3"/>
        </w:numPr>
        <w:spacing w:lineRule="auto" w:line="240" w:before="57" w:after="57"/>
        <w:rPr/>
      </w:pPr>
      <w:r>
        <w:rPr/>
        <w:t>Théorème 3.17 (Existence d'un attracteur chaotique borné).</w:t>
      </w:r>
    </w:p>
    <w:p>
      <w:pPr>
        <w:pStyle w:val="BodyText"/>
        <w:rPr/>
      </w:pPr>
      <w:r>
        <w:rPr/>
        <w:t>En pratique, le système IRIS ne converge jamais parfaitement vers X*, mais oscille en permanence dans un voisinage compact de ce point, formant un attracteur étrange au sens de la théorie du chaos.</w:t>
      </w:r>
    </w:p>
    <w:p>
      <w:pPr>
        <w:pStyle w:val="BodyText"/>
        <w:rPr/>
      </w:pPr>
      <w:r>
        <w:rPr/>
        <w:t>Ces oscillations ne sont pas un défaut, mais une signature de la vitalité économique : une économie vivante respire, elle n'atteint jamais un équilibre figé. Le système passe alternativement par des phases d'expansion (η &gt; 1, κ &gt; 1, création stimulée) et de contraction (η &lt; 1, κ &lt; 1, refroidissement), sans jamais s'emballer ni s'effondrer grâce aux bornes [0,5 ; 2,0].</w:t>
      </w:r>
    </w:p>
    <w:p>
      <w:pPr>
        <w:pStyle w:val="BodyText"/>
        <w:rPr/>
      </w:pPr>
      <w:r>
        <w:rPr/>
      </w:r>
    </w:p>
    <w:p>
      <w:pPr>
        <w:pStyle w:val="Heading4"/>
        <w:numPr>
          <w:ilvl w:val="3"/>
          <w:numId w:val="3"/>
        </w:numPr>
        <w:spacing w:lineRule="auto" w:line="240" w:before="57" w:after="57"/>
        <w:rPr/>
      </w:pPr>
      <w:r>
        <w:rPr/>
        <w:t>Définition 3.29 (Zone d'oscillation normale).</w:t>
      </w:r>
    </w:p>
    <w:p>
      <w:pPr>
        <w:pStyle w:val="BodyText"/>
        <w:rPr/>
      </w:pPr>
      <w:r>
        <w:rPr/>
        <w:t>L'attracteur occupe typiquement un domaine (D) défini par :</w:t>
      </w:r>
    </w:p>
    <w:p>
      <w:pPr>
        <w:pStyle w:val="BodyText"/>
        <w:rPr/>
      </w:pPr>
      <w:r>
        <w:rPr/>
      </w:r>
    </w:p>
    <w:p>
      <w:pPr>
        <w:pStyle w:val="BodyText"/>
        <w:jc w:val="center"/>
        <w:rPr/>
      </w:pPr>
      <w:r>
        <w:rPr/>
        <w:t>D = {(η, κ, r, ν) : 0,85 ≤ η ≤ 1,15, 0,85 ≤ κ ≤ 1,15, 0,85 ≤ r ≤ 1,15, 0,18 ≤ ν ≤ 0,22}</w:t>
      </w:r>
    </w:p>
    <w:p>
      <w:pPr>
        <w:pStyle w:val="BodyText"/>
        <w:rPr/>
      </w:pPr>
      <w:r>
        <w:rPr/>
      </w:r>
    </w:p>
    <w:p>
      <w:pPr>
        <w:pStyle w:val="BodyText"/>
        <w:rPr/>
      </w:pPr>
      <w:r>
        <w:rPr/>
        <w:t>Soit des variations de ±quinze pour cent autour de l'équilibre pour η, κ, r, et ±dix pour cent pour ν.</w:t>
      </w:r>
    </w:p>
    <w:p>
      <w:pPr>
        <w:pStyle w:val="BodyText"/>
        <w:rPr/>
      </w:pPr>
      <w:r>
        <w:rPr/>
        <w:t>Ces oscillations reflètent les rythmes économiques naturels : cycles de production (semis-récolte pour l'agriculture, campagnes commerciales pour les services, projets de développement pour l'industrie), variations saisonnières (demande plus forte en fin d'année, ralentissement estival), et fluctuations psychologiques collectives (optimisme-pessimisme des agents).</w:t>
      </w:r>
    </w:p>
    <w:p>
      <w:pPr>
        <w:pStyle w:val="BodyText"/>
        <w:rPr/>
      </w:pPr>
      <w:r>
        <w:rPr/>
      </w:r>
    </w:p>
    <w:p>
      <w:pPr>
        <w:pStyle w:val="Heading4"/>
        <w:numPr>
          <w:ilvl w:val="3"/>
          <w:numId w:val="3"/>
        </w:numPr>
        <w:spacing w:lineRule="auto" w:line="240" w:before="57" w:after="57"/>
        <w:rPr/>
      </w:pPr>
      <w:r>
        <w:rPr/>
        <w:t>Proposition 3.23 (Distinction entre oscillations saines et divergences pathologiques).</w:t>
      </w:r>
    </w:p>
    <w:p>
      <w:pPr>
        <w:pStyle w:val="BodyText"/>
        <w:rPr/>
      </w:pPr>
      <w:r>
        <w:rPr/>
        <w:t>Tant que la trajectoire reste dans (D), le système est en bonne santé. La sortie de (D) pendant plus de trois cycles consécutifs signale une perturbation significative nécessitant attention. La sortie au-delà de [0,5 ; 2,0] est impossible par construction (bornes strictes), garantissant qu'aucune divergence catastrophique n'est physiquement réalisable.</w:t>
      </w:r>
    </w:p>
    <w:p>
      <w:pPr>
        <w:pStyle w:val="BodyText"/>
        <w:rPr/>
      </w:pPr>
      <w:r>
        <w:rPr/>
        <w:t>Cette architecture fait d'IRIS un système intrinsèquement résilient : il peut tolérer des chocs modérés (pandémie localisée, faillite d'une entreprise majeure, erreur de calibrage des coefficients) sans nécessiter d'intervention d'urgence. Seuls les chocs extrêmes (guerre, catastrophe naturelle majeure, krach financier externe massif) justifient l'activation de la Couche 3.</w:t>
      </w:r>
    </w:p>
    <w:p>
      <w:pPr>
        <w:pStyle w:val="BodyText"/>
        <w:rPr/>
      </w:pPr>
      <w:r>
        <w:rPr/>
      </w:r>
    </w:p>
    <w:p>
      <w:pPr>
        <w:pStyle w:val="Heading2"/>
        <w:numPr>
          <w:ilvl w:val="1"/>
          <w:numId w:val="3"/>
        </w:numPr>
        <w:spacing w:before="102" w:after="68"/>
        <w:rPr/>
      </w:pPr>
      <w:r>
        <w:rPr/>
        <w:t>3.4. Régulation avancée : Couche 2 (Module sectoriel).</w:t>
      </w:r>
    </w:p>
    <w:p>
      <w:pPr>
        <w:pStyle w:val="BodyText"/>
        <w:rPr/>
      </w:pPr>
      <w:r>
        <w:rPr/>
        <w:t>La Couche 2 ne s'active que lorsque l'économie IRIS atteint une maturité suffisante et qu'une divergence significative entre secteurs est détectée. Elle représente une sophistication de la régulation, non un remplacement de la Couche 1.</w:t>
      </w:r>
    </w:p>
    <w:p>
      <w:pPr>
        <w:pStyle w:val="BodyText"/>
        <w:rPr/>
      </w:pPr>
      <w:r>
        <w:rPr/>
      </w:r>
    </w:p>
    <w:p>
      <w:pPr>
        <w:pStyle w:val="Heading3"/>
        <w:numPr>
          <w:ilvl w:val="2"/>
          <w:numId w:val="3"/>
        </w:numPr>
        <w:ind w:hanging="0" w:left="0"/>
        <w:rPr/>
      </w:pPr>
      <w:r>
        <w:rPr/>
        <w:t>3.4.1. Justification conceptuelle de la décomposition</w:t>
      </w:r>
    </w:p>
    <w:p>
      <w:pPr>
        <w:pStyle w:val="BodyText"/>
        <w:rPr/>
      </w:pPr>
      <w:r>
        <w:rPr/>
      </w:r>
    </w:p>
    <w:p>
      <w:pPr>
        <w:pStyle w:val="BodyText"/>
        <w:rPr/>
      </w:pPr>
      <w:r>
        <w:rPr/>
        <w:t>Dans les premiers temps d'IRIS, l'économie est encore indifférenciée : services et produits coexistent sans divergence majeure. La régulation globale (η et κ uniques) suffit amplement. Mais à mesure que le système mature, une spécialisation sectorielle émerge naturellement.</w:t>
      </w:r>
    </w:p>
    <w:p>
      <w:pPr>
        <w:pStyle w:val="BodyText"/>
        <w:rPr/>
      </w:pPr>
      <w:r>
        <w:rPr/>
      </w:r>
    </w:p>
    <w:p>
      <w:pPr>
        <w:pStyle w:val="Heading4"/>
        <w:numPr>
          <w:ilvl w:val="3"/>
          <w:numId w:val="3"/>
        </w:numPr>
        <w:spacing w:lineRule="auto" w:line="240" w:before="57" w:after="57"/>
        <w:rPr/>
      </w:pPr>
      <w:r>
        <w:rPr/>
        <w:t>Théorème 3.10 (Divergence sectorielle structurelle).</w:t>
      </w:r>
    </w:p>
    <w:p>
      <w:pPr>
        <w:pStyle w:val="BodyText"/>
        <w:rPr/>
      </w:pPr>
      <w:r>
        <w:rPr/>
        <w:t>Les services (prestations immatérielles, abonnements, savoir-faire, conseil) et les produits (biens matériels, immobilisations, infrastructures) possèdent des dynamiques économiques fondamentalement différentes qui, lorsqu'elles divergent fortement, justifient une régulation différenciée.</w:t>
      </w:r>
    </w:p>
    <w:p>
      <w:pPr>
        <w:pStyle w:val="BodyText"/>
        <w:rPr/>
      </w:pPr>
      <w:r>
        <w:rPr/>
        <w:t>Les services se caractérisent par des cycles courts (un abonnement mensuel, une consultation ponctuelle), une vitesse élevée (la valeur circule rapidement, peu de stockage), une forte élasticité (peuvent s'adapter très vite aux variations de demande), et une faible inertie (démarrer ou arrêter un service est relativement simple).</w:t>
      </w:r>
    </w:p>
    <w:p>
      <w:pPr>
        <w:pStyle w:val="BodyText"/>
        <w:rPr/>
      </w:pPr>
      <w:r>
        <w:rPr/>
        <w:t>Les produits se caractérisent par des cycles longs (construction d'un bâtiment, fabrication d'une machine), une vitesse lente (la valeur reste « figée » longtemps dans la matière), une faible élasticité (adapter la production industrielle prend du temps), et une forte inertie (démarrer une usine ou la fermer implique des coûts énormes).</w:t>
      </w:r>
    </w:p>
    <w:p>
      <w:pPr>
        <w:pStyle w:val="BodyText"/>
        <w:rPr/>
      </w:pPr>
      <w:r>
        <w:rPr/>
        <w:t>Si ces deux secteurs divergent fortement par exemple, explosion des services numériques (plus trois cents pour cent) pendant stagnation industrielle (moins vingt pour cent) une régulation globale uniforme commet deux erreurs simultanées : sur-stimulation des services (si η global monte pour relancer l'industrie stagnante, les services déjà en expansion reçoivent une stimulation excessive, résultant en bulle spéculative) et sous-stimulation des produits (si η global baisse pour freiner la bulle des services, l'industrie déjà en difficulté reçoit un freinage supplémentaire, résultant en effondrement industriel).</w:t>
      </w:r>
    </w:p>
    <w:p>
      <w:pPr>
        <w:pStyle w:val="BodyText"/>
        <w:rPr/>
      </w:pPr>
      <w:r>
        <w:rPr/>
        <w:t>La décomposition sectorielle permet de réguler différemment chaque secteur selon ses besoins propres, tout en maintenant une cohérence globale via la pondération.</w:t>
      </w:r>
    </w:p>
    <w:p>
      <w:pPr>
        <w:pStyle w:val="BodyText"/>
        <w:rPr/>
      </w:pPr>
      <w:r>
        <w:rPr/>
      </w:r>
    </w:p>
    <w:p>
      <w:pPr>
        <w:pStyle w:val="Heading3"/>
        <w:numPr>
          <w:ilvl w:val="2"/>
          <w:numId w:val="3"/>
        </w:numPr>
        <w:ind w:hanging="0" w:left="0"/>
        <w:rPr/>
      </w:pPr>
      <w:r>
        <w:rPr/>
        <w:t>3.4.2. Exemple narratif de divergence sectorielle</w:t>
      </w:r>
    </w:p>
    <w:p>
      <w:pPr>
        <w:pStyle w:val="BodyText"/>
        <w:rPr/>
      </w:pPr>
      <w:r>
        <w:rPr/>
      </w:r>
    </w:p>
    <w:p>
      <w:pPr>
        <w:pStyle w:val="BodyText"/>
        <w:rPr/>
      </w:pPr>
      <w:r>
        <w:rPr/>
        <w:t>Pour illustrer concrètement le fonctionnement de la Couche 2, imaginons une économie IRIS mature (quatre ans d'existence) traversant une transition technologique majeure : l'explosion des services numériques décentralisés (éducation, santé, conseil) pendant une phase de désindustrialisation progressive.</w:t>
      </w:r>
    </w:p>
    <w:p>
      <w:pPr>
        <w:pStyle w:val="BodyText"/>
        <w:rPr/>
      </w:pPr>
      <w:r>
        <w:rPr/>
      </w:r>
    </w:p>
    <w:p>
      <w:pPr>
        <w:pStyle w:val="Heading4"/>
        <w:numPr>
          <w:ilvl w:val="3"/>
          <w:numId w:val="3"/>
        </w:numPr>
        <w:spacing w:lineRule="auto" w:line="240" w:before="57" w:after="57"/>
        <w:rPr/>
      </w:pPr>
      <w:r>
        <w:rPr/>
        <w:t>Proposition 3.18 (Scénario de divergence).</w:t>
      </w:r>
    </w:p>
    <w:p>
      <w:pPr>
        <w:pStyle w:val="BodyText"/>
        <w:rPr/>
      </w:pPr>
      <w:r>
        <w:rPr/>
        <w:t>Supposons l'état observé au cycle t suivant.</w:t>
      </w:r>
    </w:p>
    <w:p>
      <w:pPr>
        <w:pStyle w:val="BodyText"/>
        <w:rPr/>
      </w:pPr>
      <w:r>
        <w:rPr/>
        <w:t>Secteur des services : V_s = 650 000 unités (soixante-cinq pour cent de l'économie), D_s = 520 000 unités, r_s = 0,80 (légèrement sous-investi), ν_s = 0,20 (vitesse normale, légèrement en dessous de la cible zéro virgule vingt-cinq).</w:t>
      </w:r>
    </w:p>
    <w:p>
      <w:pPr>
        <w:pStyle w:val="BodyText"/>
        <w:rPr/>
      </w:pPr>
      <w:r>
        <w:rPr/>
        <w:t>Secteur des produits : V_p = 350 000 unités (trente-cinq pour cent de l'économie), D_p = 490 000 unités, r_p = 1,40 (surchauffe, engagements excessifs), ν_p = 0,28 (vitesse très élevée pour des produits, possiblement spéculatif).</w:t>
      </w:r>
    </w:p>
    <w:p>
      <w:pPr>
        <w:pStyle w:val="BodyText"/>
        <w:rPr/>
      </w:pPr>
      <w:r>
        <w:rPr/>
        <w:t>État global apparent : V_total = 1 000 000 unités, D_total ≈ 1 010 000 + D_TAP + D_stack + D_CR, r_global ≈ 1,01 (apparemment sain si on ne décompose pas).</w:t>
      </w:r>
    </w:p>
    <w:p>
      <w:pPr>
        <w:pStyle w:val="BodyText"/>
        <w:rPr/>
      </w:pPr>
      <w:r>
        <w:rPr/>
        <w:t>Sans décomposition sectorielle, la régulation Couche 1 verrait r ≈ 1 et ν_eff ≈ 0,23 (moyenne pondérée), ne détectant aucun déséquilibre majeur. Elle maintiendrait η ≈ 1,0 et κ ≈ 1,0 (neutralité). Or, cette apparente stabilité masque une double crise : les services ont besoin de stimulation (r_s faible, ν_s légèrement faible) ; les produits ont besoin de freinage urgent (r_p très élevé, ν_p excessive).</w:t>
      </w:r>
    </w:p>
    <w:p>
      <w:pPr>
        <w:pStyle w:val="BodyText"/>
        <w:rPr/>
      </w:pPr>
      <w:r>
        <w:rPr/>
        <w:t>L'intervention de la Couche 2 calcule séparément pour chaque secteur et agrège ensuite par pondération. Les services reçoivent une stimulation modérée (η_s = 1,08, κ_s = 1,06), tandis que les produits subissent un freinage significatif (η_p = 0,83, κ_p = 0,87). Globalement, les paramètres restent quasiment neutres (η_global ≈ 1,0, κ_global ≈ 1,0), mais cette neutralité apparente cache une régulation différenciée forte.</w:t>
      </w:r>
    </w:p>
    <w:p>
      <w:pPr>
        <w:pStyle w:val="BodyText"/>
        <w:rPr/>
      </w:pPr>
      <w:r>
        <w:rPr/>
      </w:r>
    </w:p>
    <w:p>
      <w:pPr>
        <w:pStyle w:val="Heading2"/>
        <w:numPr>
          <w:ilvl w:val="1"/>
          <w:numId w:val="3"/>
        </w:numPr>
        <w:ind w:hanging="0" w:left="0"/>
        <w:rPr/>
      </w:pPr>
      <w:r>
        <w:rPr/>
        <w:t>3.5. Régulation d'urgence : Couche 3 (Ajustements exceptionnels).</w:t>
      </w:r>
    </w:p>
    <w:p>
      <w:pPr>
        <w:pStyle w:val="BodyText"/>
        <w:rPr/>
      </w:pPr>
      <w:r>
        <w:rPr/>
        <w:t>La Couche 3 constitue le levier ultime de régulation, activé uniquement en situation de crise systémique avérée. Elle permet des interventions temporaires qui seraient impossibles en régime normal, tout en préservant rigoureusement les principes fondamentaux d'IRIS.</w:t>
      </w:r>
    </w:p>
    <w:p>
      <w:pPr>
        <w:pStyle w:val="BodyText"/>
        <w:rPr/>
      </w:pPr>
      <w:r>
        <w:rPr/>
      </w:r>
    </w:p>
    <w:p>
      <w:pPr>
        <w:pStyle w:val="Heading3"/>
        <w:numPr>
          <w:ilvl w:val="2"/>
          <w:numId w:val="3"/>
        </w:numPr>
        <w:ind w:hanging="0" w:left="0"/>
        <w:rPr/>
      </w:pPr>
      <w:r>
        <w:rPr/>
        <w:t>3.5.1. Philosophie et garanties démocratiques</w:t>
      </w:r>
    </w:p>
    <w:p>
      <w:pPr>
        <w:pStyle w:val="BodyText"/>
        <w:rPr/>
      </w:pPr>
      <w:r>
        <w:rPr/>
        <w:t>Le principe de subsidiarité impose que la régulation normale (Couches 1 et 2) doit suffire dans quatre-vingt-dix-neuf pour cent des cas. La Couche 3 n'intervient qu'en dernier recours, lorsque les ajustements de η et κ atteignent leurs limites (bornes zéro virgule cinq ou deux virgule zéro) sans parvenir à stabiliser, lorsqu'une crise exogène majeure frappe le système (pandémie, guerre, catastrophe naturelle, effondrement d'un partenaire commercial majeur), ou lorsqu'un risque systémique menace la survie même du protocole (attaque coordonnée, bug critique, défiance généralisée).</w:t>
      </w:r>
    </w:p>
    <w:p>
      <w:pPr>
        <w:pStyle w:val="BodyText"/>
        <w:rPr/>
      </w:pPr>
      <w:r>
        <w:rPr/>
      </w:r>
    </w:p>
    <w:p>
      <w:pPr>
        <w:pStyle w:val="Heading4"/>
        <w:numPr>
          <w:ilvl w:val="3"/>
          <w:numId w:val="3"/>
        </w:numPr>
        <w:spacing w:lineRule="auto" w:line="240" w:before="57" w:after="57"/>
        <w:rPr/>
      </w:pPr>
      <w:r>
        <w:rPr/>
        <w:t>Théorème 3.11 (Garanties démocratiques impératives).</w:t>
      </w:r>
    </w:p>
    <w:p>
      <w:pPr>
        <w:pStyle w:val="BodyText"/>
        <w:rPr/>
      </w:pPr>
      <w:r>
        <w:rPr/>
        <w:t>La Couche 3 n'est pas un « état d'urgence » permettant des décisions arbitraires. C'est une mobilisation collective contrôlée nécessitant une super-majorité DAO (supérieure ou égale à soixante-quinze pour cent), une durée limitée prédéfinie (maximum six cycles, environ six mois, non renouvelable sans nouveau vote), un plan de retour obligatoire (les conditions de sortie de crise doivent être définies dès l'activation), et une transparence totale (tous les logs de décision, débats, votes, sont publiés intégralement dans la DHT).</w:t>
      </w:r>
    </w:p>
    <w:p>
      <w:pPr>
        <w:pStyle w:val="BodyText"/>
        <w:rPr/>
      </w:pPr>
      <w:r>
        <w:rPr/>
        <w:t>Ces exigences garantissent qu'aucune dérive autoritaire n'est possible. La Couche 3 reste un outil démocratique exceptionnel, jamais un pouvoir permanent.</w:t>
      </w:r>
    </w:p>
    <w:p>
      <w:pPr>
        <w:pStyle w:val="BodyText"/>
        <w:rPr/>
      </w:pPr>
      <w:r>
        <w:rPr/>
      </w:r>
    </w:p>
    <w:p>
      <w:pPr>
        <w:pStyle w:val="Heading3"/>
        <w:numPr>
          <w:ilvl w:val="2"/>
          <w:numId w:val="3"/>
        </w:numPr>
        <w:ind w:hanging="0" w:left="0"/>
        <w:rPr/>
      </w:pPr>
      <w:r>
        <w:rPr/>
        <w:t>3.5.2. Les deux leviers exceptionnels détaillés</w:t>
      </w:r>
    </w:p>
    <w:p>
      <w:pPr>
        <w:pStyle w:val="BodyText"/>
        <w:rPr/>
      </w:pPr>
      <w:r>
        <w:rPr/>
      </w:r>
    </w:p>
    <w:p>
      <w:pPr>
        <w:pStyle w:val="Heading4"/>
        <w:numPr>
          <w:ilvl w:val="3"/>
          <w:numId w:val="3"/>
        </w:numPr>
        <w:spacing w:lineRule="auto" w:line="240" w:before="57" w:after="57"/>
        <w:rPr/>
      </w:pPr>
      <w:r>
        <w:rPr/>
        <w:t>Définition 3.25 (Ajustement de la périodicité T).</w:t>
      </w:r>
    </w:p>
    <w:p>
      <w:pPr>
        <w:pStyle w:val="BodyText"/>
        <w:rPr/>
      </w:pPr>
      <w:r>
        <w:rPr/>
        <w:t>En régime normal, T est fixe : douze cycles par an, soit environ trente jours. Modifier T revient à changer le temps lui-même dans l'économie IRIS. Ce n'est pas un ajustement de prix ou de quantité, mais une altération des lois physiques du système.</w:t>
      </w:r>
    </w:p>
    <w:p>
      <w:pPr>
        <w:pStyle w:val="BodyText"/>
        <w:rPr/>
      </w:pPr>
      <w:r>
        <w:rPr/>
        <w:t>La plage d'ajustement est T_crise ∈ [T_base / 1,5 ; T_base × 1,5] soit concrètement [20 jours ; 45 jours]. Raccourcir les cycles (T → 20 jours) en cas de crise aiguë permet d'accélérer la respiration du système, tandis qu'allonger les cycles (T → 45 jours) en cas de volatilité excessive permet de ralentir le rythme.</w:t>
      </w:r>
    </w:p>
    <w:p>
      <w:pPr>
        <w:pStyle w:val="BodyText"/>
        <w:rPr/>
      </w:pPr>
      <w:r>
        <w:rPr/>
      </w:r>
    </w:p>
    <w:p>
      <w:pPr>
        <w:pStyle w:val="BodyText"/>
        <w:rPr/>
      </w:pPr>
      <w:r>
        <w:rPr/>
        <w:t>L'ajustement ne se fait jamais brutalement : il se déploie progressivement sur trois cycles, permettant à l'ensemble du réseau décentralisé de converger vers le nouveau rythme sans rupture de coordination.</w:t>
      </w:r>
    </w:p>
    <w:p>
      <w:pPr>
        <w:pStyle w:val="BodyText"/>
        <w:rPr/>
      </w:pPr>
      <w:r>
        <w:rPr/>
      </w:r>
    </w:p>
    <w:p>
      <w:pPr>
        <w:pStyle w:val="Heading4"/>
        <w:numPr>
          <w:ilvl w:val="3"/>
          <w:numId w:val="3"/>
        </w:numPr>
        <w:spacing w:lineRule="auto" w:line="240" w:before="57" w:after="57"/>
        <w:rPr/>
      </w:pPr>
      <w:r>
        <w:rPr/>
        <w:t>Définition 3.26 (Facteur de productivité vivante Π).</w:t>
      </w:r>
    </w:p>
    <w:p>
      <w:pPr>
        <w:pStyle w:val="BodyText"/>
        <w:rPr/>
      </w:pPr>
      <w:r>
        <w:rPr/>
      </w:r>
    </w:p>
    <w:p>
      <w:pPr>
        <w:pStyle w:val="BodyText"/>
        <w:rPr/>
      </w:pPr>
      <w:r>
        <w:rPr/>
        <w:t>Le paramètre Π (Pi majuscule) représente un multiplicateur d'efficacité systémique temporaire. Il traduit l'idée que la productivité collective n'est pas constante, mais dépend des conditions matérielles et de la coordination sociale.</w:t>
      </w:r>
    </w:p>
    <w:p>
      <w:pPr>
        <w:pStyle w:val="BodyText"/>
        <w:rPr/>
      </w:pPr>
      <w:r>
        <w:rPr/>
        <w:t xml:space="preserve">La formule de création devient </w:t>
      </w:r>
    </w:p>
    <w:p>
      <w:pPr>
        <w:pStyle w:val="BodyText"/>
        <w:rPr/>
      </w:pPr>
      <w:r>
        <w:rPr/>
      </w:r>
    </w:p>
    <w:p>
      <w:pPr>
        <w:pStyle w:val="BodyText"/>
        <w:jc w:val="center"/>
        <w:rPr/>
      </w:pPr>
      <w:r>
        <w:rPr/>
        <w:t>ΔV_t^(créa) = η × Π × Δt × E_t avec Π ∈ [0,8 ; 1,3].</w:t>
      </w:r>
    </w:p>
    <w:p>
      <w:pPr>
        <w:pStyle w:val="BodyText"/>
        <w:rPr/>
      </w:pPr>
      <w:r>
        <w:rPr/>
      </w:r>
    </w:p>
    <w:p>
      <w:pPr>
        <w:pStyle w:val="BodyText"/>
        <w:rPr/>
      </w:pPr>
      <w:r>
        <w:rPr/>
        <w:t>Lorsque Π &gt; 1,0, nous observons une amplification de la productivité collective (mobilisation nationale exceptionnelle, effort de reconstruction post-catastrophe). Lorsque Π &lt; 1,0, nous observons une réduction de la productivité observée (désorganisation systémique suite à une catastrophe, perte d'infrastructures critiques).</w:t>
      </w:r>
    </w:p>
    <w:p>
      <w:pPr>
        <w:pStyle w:val="BodyText"/>
        <w:rPr/>
      </w:pPr>
      <w:r>
        <w:rPr/>
        <w:t>La différence fondamentale avec η réside dans le fait qu'η est un choix de politique économique (plus ou moins de relance), tandis que Π est un constat de réalité physique (les usines sont-elles opérationnelles ? Les routes praticables ? Les réseaux de communication fonctionnels ?).</w:t>
      </w:r>
    </w:p>
    <w:p>
      <w:pPr>
        <w:pStyle w:val="BodyText"/>
        <w:rPr/>
      </w:pPr>
      <w:r>
        <w:rPr/>
      </w:r>
    </w:p>
    <w:p>
      <w:pPr>
        <w:pStyle w:val="Heading3"/>
        <w:numPr>
          <w:ilvl w:val="2"/>
          <w:numId w:val="3"/>
        </w:numPr>
        <w:ind w:hanging="0" w:left="0"/>
        <w:rPr/>
      </w:pPr>
      <w:r>
        <w:rPr/>
        <w:t>3.5.3. Protocole de sortie de crise</w:t>
      </w:r>
    </w:p>
    <w:p>
      <w:pPr>
        <w:pStyle w:val="BodyText"/>
        <w:rPr/>
      </w:pPr>
      <w:r>
        <w:rPr/>
      </w:r>
    </w:p>
    <w:p>
      <w:pPr>
        <w:pStyle w:val="Heading4"/>
        <w:numPr>
          <w:ilvl w:val="3"/>
          <w:numId w:val="3"/>
        </w:numPr>
        <w:spacing w:lineRule="auto" w:line="240" w:before="57" w:after="57"/>
        <w:rPr/>
      </w:pPr>
      <w:r>
        <w:rPr/>
        <w:t>Proposition 3.19 (Retour automatique à la normale).</w:t>
      </w:r>
    </w:p>
    <w:p>
      <w:pPr>
        <w:pStyle w:val="BodyText"/>
        <w:rPr/>
      </w:pPr>
      <w:r>
        <w:rPr/>
        <w:t>La Couche 3 n'est jamais permanente. Un mécanisme de retour automatique est intégré dès l'activation.</w:t>
      </w:r>
    </w:p>
    <w:p>
      <w:pPr>
        <w:pStyle w:val="BodyText"/>
        <w:rPr/>
      </w:pPr>
      <w:r>
        <w:rPr/>
        <w:t>Lorsque les indicateurs de crise se normalisent (r_t revenu dans [0,85 ; 1,15], ν_eff &gt; 0,12, τ_eng &lt; 0,55, tous maintenus pendant au moins trois cycles), une proposition de retour est automatiquement émise vers la DAO. La sortie de crise nécessite seulement une majorité simple (supérieure à cinquante pour cent), car elle est moins risquée que l'activation.</w:t>
      </w:r>
    </w:p>
    <w:p>
      <w:pPr>
        <w:pStyle w:val="BodyText"/>
        <w:rPr/>
      </w:pPr>
      <w:r>
        <w:rPr/>
        <w:t>Le retour se fait progressivement : pour T, transition sur trois cycles minimum vers T_base = 30 jours ; pour Π, suit sa loi naturelle de variation jusqu'à stabilisation dans [0,95 ; 1,05], puis désactivation automatique.</w:t>
      </w:r>
    </w:p>
    <w:p>
      <w:pPr>
        <w:pStyle w:val="BodyText"/>
        <w:rPr/>
      </w:pPr>
      <w:r>
        <w:rPr/>
        <w:t>Chaque crise est archivée intégralement dans la DHT : logs de décision, évolution des paramètres, analyse post-mortem réalisée par la Chambre Administrative. Cette mémoire collective permet d'apprendre des crises passées et d'affiner les réponses futures.</w:t>
      </w:r>
    </w:p>
    <w:p>
      <w:pPr>
        <w:pStyle w:val="BodyText"/>
        <w:rPr/>
      </w:pPr>
      <w:r>
        <w:rPr/>
      </w:r>
    </w:p>
    <w:p>
      <w:pPr>
        <w:pStyle w:val="Heading2"/>
        <w:numPr>
          <w:ilvl w:val="1"/>
          <w:numId w:val="3"/>
        </w:numPr>
        <w:ind w:hanging="0" w:left="0"/>
        <w:rPr/>
      </w:pPr>
      <w:r>
        <w:rPr/>
        <w:t>3.6. Propriétés émergentes et effets macroéconomiques.</w:t>
      </w:r>
    </w:p>
    <w:p>
      <w:pPr>
        <w:pStyle w:val="Heading2"/>
        <w:numPr>
          <w:ilvl w:val="1"/>
          <w:numId w:val="3"/>
        </w:numPr>
        <w:ind w:hanging="0" w:left="0"/>
        <w:rPr/>
      </w:pPr>
      <w:r>
        <w:rPr/>
      </w:r>
    </w:p>
    <w:p>
      <w:pPr>
        <w:pStyle w:val="BodyText"/>
        <w:rPr/>
      </w:pPr>
      <w:r>
        <w:rPr/>
        <w:t>Au-delà de ses mécanismes explicites (η, κ, T, Π), le système de régulation d'IRIS génère des propriétés émergentes : des comportements collectifs qui n'ont pas été programmés directement, mais qui résultent de l'interaction des règles de base.</w:t>
      </w:r>
    </w:p>
    <w:p>
      <w:pPr>
        <w:pStyle w:val="BodyText"/>
        <w:rPr/>
      </w:pPr>
      <w:r>
        <w:rPr/>
      </w:r>
    </w:p>
    <w:p>
      <w:pPr>
        <w:pStyle w:val="Heading3"/>
        <w:numPr>
          <w:ilvl w:val="2"/>
          <w:numId w:val="3"/>
        </w:numPr>
        <w:ind w:hanging="0" w:left="0"/>
        <w:rPr/>
      </w:pPr>
      <w:r>
        <w:rPr/>
        <w:t>3.6.1. Anti-cyclicité naturelle</w:t>
      </w:r>
    </w:p>
    <w:p>
      <w:pPr>
        <w:pStyle w:val="BodyText"/>
        <w:rPr/>
      </w:pPr>
      <w:r>
        <w:rPr/>
      </w:r>
    </w:p>
    <w:p>
      <w:pPr>
        <w:pStyle w:val="Heading4"/>
        <w:numPr>
          <w:ilvl w:val="3"/>
          <w:numId w:val="3"/>
        </w:numPr>
        <w:spacing w:lineRule="auto" w:line="240" w:before="57" w:after="57"/>
        <w:rPr/>
      </w:pPr>
      <w:r>
        <w:rPr/>
        <w:t>Théorème 3.12 (Régulation contra-cyclique automatique).</w:t>
      </w:r>
    </w:p>
    <w:p>
      <w:pPr>
        <w:pStyle w:val="BodyText"/>
        <w:rPr/>
      </w:pPr>
      <w:r>
        <w:rPr/>
        <w:t>L'Exchange génère spontanément une politique contra-cyclique sans intervention humaine consciente, simplement par l'application mécanique de ses lois de régulation.</w:t>
      </w:r>
    </w:p>
    <w:p>
      <w:pPr>
        <w:pStyle w:val="BodyText"/>
        <w:rPr/>
      </w:pPr>
      <w:r>
        <w:rPr/>
        <w:t>En phase d'expansion économique : V^(on) augmente (création productive forte), r_ic monte progressivement (confiance élevée, engagements TAP/stacking croissants), ν_eff augmente (activité intense). Réponse automatique : η et κ baissent progressivement. Effet : freinage doux de l'expansion avant qu'elle ne devienne surchauffe. Le système « sent » qu'il s'emballe et se modère de lui-même, sans qu'aucune autorité ne décide consciemment « il faut ralentir ».</w:t>
      </w:r>
    </w:p>
    <w:p>
      <w:pPr>
        <w:pStyle w:val="BodyText"/>
        <w:rPr/>
      </w:pPr>
      <w:r>
        <w:rPr/>
        <w:t>En phase de récession économique : V^(on) stagne ou diminue, ν_eff chute (léthargie, paralysie des transactions), r_ic baisse (peur d'investir, attentisme). Réponse automatique : η et κ montent rapidement. Effet : stimulation automatique de l'offre (η élevé récompense la production) et de la demande (κ élevé facilite la liquidité). Relance sans besoin de vote parlementaire, sans délai bureaucratique.</w:t>
      </w:r>
    </w:p>
    <w:p>
      <w:pPr>
        <w:pStyle w:val="BodyText"/>
        <w:rPr/>
      </w:pPr>
      <w:r>
        <w:rPr/>
      </w:r>
    </w:p>
    <w:p>
      <w:pPr>
        <w:pStyle w:val="Heading4"/>
        <w:numPr>
          <w:ilvl w:val="3"/>
          <w:numId w:val="3"/>
        </w:numPr>
        <w:spacing w:lineRule="auto" w:line="240" w:before="57" w:after="57"/>
        <w:rPr/>
      </w:pPr>
      <w:r>
        <w:rPr/>
        <w:t>Corollaire 3.9 (Supériorité sur les systèmes classiques).</w:t>
      </w:r>
    </w:p>
    <w:p>
      <w:pPr>
        <w:pStyle w:val="BodyText"/>
        <w:rPr/>
      </w:pPr>
      <w:r>
        <w:rPr/>
        <w:t>Contrairement aux systèmes de régulation traditionnels, IRIS ne souffre ni de délai politique (une banque centrale met six à dix-huit mois à diagnostiquer, débattre, décider et appliquer ; IRIS réagit en un cycle d'environ trente jours), ni de biais idéologique (les paramètres s'ajustent selon une règle mathématique neutre, non selon les convictions d'un comité), et bénéficie d'une progressivité automatique (les ajustements sont graduels, évitant les chocs brutaux).</w:t>
      </w:r>
    </w:p>
    <w:p>
      <w:pPr>
        <w:pStyle w:val="BodyText"/>
        <w:rPr/>
      </w:pPr>
      <w:r>
        <w:rPr/>
      </w:r>
    </w:p>
    <w:p>
      <w:pPr>
        <w:pStyle w:val="Heading3"/>
        <w:numPr>
          <w:ilvl w:val="2"/>
          <w:numId w:val="3"/>
        </w:numPr>
        <w:ind w:hanging="0" w:left="0"/>
        <w:rPr/>
      </w:pPr>
      <w:r>
        <w:rPr/>
        <w:t>3.6.2. Préservation structurelle du contrat social</w:t>
      </w:r>
    </w:p>
    <w:p>
      <w:pPr>
        <w:pStyle w:val="BodyText"/>
        <w:rPr/>
      </w:pPr>
      <w:r>
        <w:rPr/>
      </w:r>
    </w:p>
    <w:p>
      <w:pPr>
        <w:pStyle w:val="Heading4"/>
        <w:numPr>
          <w:ilvl w:val="3"/>
          <w:numId w:val="3"/>
        </w:numPr>
        <w:spacing w:lineRule="auto" w:line="240" w:before="57" w:after="57"/>
        <w:rPr/>
      </w:pPr>
      <w:r>
        <w:rPr/>
        <w:t>Théorème 3.13 (Protection architecturale du RU).</w:t>
      </w:r>
    </w:p>
    <w:p>
      <w:pPr>
        <w:pStyle w:val="BodyText"/>
        <w:rPr/>
      </w:pPr>
      <w:r>
        <w:rPr/>
        <w:t>Le RU est architecturalement protégé par plusieurs mécanismes redondants, garantissant qu'il ne peut s'effondrer brutalement même en crise majeure.</w:t>
      </w:r>
    </w:p>
    <w:p>
      <w:pPr>
        <w:pStyle w:val="BodyText"/>
        <w:rPr/>
      </w:pPr>
      <w:r>
        <w:rPr/>
        <w:t>Le lissage α = 10% garantit que même si V^(on) s'effondre de quarante pour cent en un cycle (krach extrême), le RU ne peut baisser que de dix pour cent maximum. L'ajustement complet prendrait quatre à cinq cycles, laissant le temps à la régulation η/κ de relancer la création de valeur.</w:t>
      </w:r>
    </w:p>
    <w:p>
      <w:pPr>
        <w:pStyle w:val="BodyText"/>
        <w:rPr/>
      </w:pPr>
      <w:r>
        <w:rPr/>
        <w:t>La base V_(t-1) (non-circularité) garantit que le RU d'aujourd'hui ne dépend que de la richesse vérifiée d'hier (stable, connue), pas de prédictions ou d'anticipations futures (volatiles, manipulables).</w:t>
      </w:r>
    </w:p>
    <w:p>
      <w:pPr>
        <w:pStyle w:val="BodyText"/>
        <w:rPr/>
      </w:pPr>
      <w:r>
        <w:rPr/>
        <w:t>L'exclusion des NFT financiers garantit que la spéculation immobilière ou boursière ne gonfle pas artificiellement le RU. Seule la valeur « respirante », effectivement disponible pour l'usage, compte.</w:t>
      </w:r>
    </w:p>
    <w:p>
      <w:pPr>
        <w:pStyle w:val="BodyText"/>
        <w:rPr/>
      </w:pPr>
      <w:r>
        <w:rPr/>
        <w:t>L'extinction périodique garantit que les (U) non utilisés disparaissent, empêchant l'accumulation spéculative. Personne ne peut thésauriser des (U) pour spéculer sur une hausse future du RU.</w:t>
      </w:r>
    </w:p>
    <w:p>
      <w:pPr>
        <w:pStyle w:val="BodyText"/>
        <w:rPr/>
      </w:pPr>
      <w:r>
        <w:rPr/>
      </w:r>
    </w:p>
    <w:p>
      <w:pPr>
        <w:pStyle w:val="Heading3"/>
        <w:numPr>
          <w:ilvl w:val="2"/>
          <w:numId w:val="3"/>
        </w:numPr>
        <w:ind w:hanging="0" w:left="0"/>
        <w:rPr/>
      </w:pPr>
      <w:r>
        <w:rPr/>
        <w:t>3.6.3. Incitation structurelle à la productivité réelle</w:t>
      </w:r>
    </w:p>
    <w:p>
      <w:pPr>
        <w:pStyle w:val="BodyText"/>
        <w:rPr/>
      </w:pPr>
      <w:r>
        <w:rPr/>
      </w:r>
    </w:p>
    <w:p>
      <w:pPr>
        <w:pStyle w:val="Heading4"/>
        <w:numPr>
          <w:ilvl w:val="3"/>
          <w:numId w:val="3"/>
        </w:numPr>
        <w:spacing w:lineRule="auto" w:line="240" w:before="57" w:after="57"/>
        <w:rPr/>
      </w:pPr>
      <w:r>
        <w:rPr/>
        <w:t>Proposition 3.20 (Récompense des comportements productifs).</w:t>
      </w:r>
    </w:p>
    <w:p>
      <w:pPr>
        <w:pStyle w:val="BodyText"/>
        <w:rPr/>
      </w:pPr>
      <w:r>
        <w:rPr/>
        <w:t>Le système récompense structurellement les comportements productifs et décourage la rente passive, sans nécessiter de moralisation ni de surveillance.</w:t>
      </w:r>
    </w:p>
    <w:p>
      <w:pPr>
        <w:pStyle w:val="BodyText"/>
        <w:rPr/>
      </w:pPr>
      <w:r>
        <w:rPr/>
        <w:t>Pour les individus : produire (burn (S) + U) génère (V) immédiatement via η ; thésauriser (V) sans usage ne rapporte rien (contrairement aux systèmes à intérêt) ; investir via stacking/TAP donne accès à des biens réels, mais nécessite des actes réels futurs.</w:t>
      </w:r>
    </w:p>
    <w:p>
      <w:pPr>
        <w:pStyle w:val="BodyText"/>
        <w:rPr/>
      </w:pPr>
      <w:r>
        <w:rPr/>
        <w:t>Pour les entreprises : honorer ses TAPs améliore Φ_trust (réputation thermodynamique) ; créer de vraies valeurs augmente V_t^(on) donc le RU collectif ; spéculer (acheter/revendre sans transformation) est freiné en période de surchauffe.</w:t>
      </w:r>
    </w:p>
    <w:p>
      <w:pPr>
        <w:pStyle w:val="BodyText"/>
        <w:rPr/>
      </w:pPr>
      <w:r>
        <w:rPr/>
        <w:t>Ces incitations structurelles font émerger une éthique collective où l'effort réel (S) et la création tangible (V) sont plus valorisés que la rente financière passive. Sans moralisation explicite, sans jugement de valeur, le système oriente naturellement les comportements vers la production plutôt que la spéculation.</w:t>
      </w:r>
    </w:p>
    <w:p>
      <w:pPr>
        <w:pStyle w:val="BodyText"/>
        <w:rPr/>
      </w:pPr>
      <w:r>
        <w:rPr/>
      </w:r>
    </w:p>
    <w:p>
      <w:pPr>
        <w:pStyle w:val="Heading3"/>
        <w:numPr>
          <w:ilvl w:val="2"/>
          <w:numId w:val="3"/>
        </w:numPr>
        <w:ind w:hanging="0" w:left="0"/>
        <w:rPr/>
      </w:pPr>
      <w:r>
        <w:rPr/>
        <w:t>3.6.4. Stabilité sans croissance infinie</w:t>
      </w:r>
    </w:p>
    <w:p>
      <w:pPr>
        <w:pStyle w:val="BodyText"/>
        <w:rPr/>
      </w:pPr>
      <w:r>
        <w:rPr/>
      </w:r>
    </w:p>
    <w:p>
      <w:pPr>
        <w:pStyle w:val="Heading4"/>
        <w:numPr>
          <w:ilvl w:val="3"/>
          <w:numId w:val="3"/>
        </w:numPr>
        <w:spacing w:lineRule="auto" w:line="240" w:before="57" w:after="57"/>
        <w:rPr/>
      </w:pPr>
      <w:r>
        <w:rPr/>
        <w:t>Théorème 3.14 (Viabilité du régime stationnaire).</w:t>
      </w:r>
    </w:p>
    <w:p>
      <w:pPr>
        <w:pStyle w:val="BodyText"/>
        <w:rPr/>
      </w:pPr>
      <w:r>
        <w:rPr/>
        <w:t>Contrairement au capitalisme classique (qui nécessite une croissance perpétuelle du PIB pour éviter la crise de surproduction et le chômage de masse), IRIS est stable en régime stationnaire.</w:t>
      </w:r>
    </w:p>
    <w:p>
      <w:pPr>
        <w:pStyle w:val="BodyText"/>
        <w:rPr/>
      </w:pPr>
      <w:r>
        <w:rPr/>
      </w:r>
    </w:p>
    <w:p>
      <w:pPr>
        <w:pStyle w:val="BodyText"/>
        <w:rPr/>
      </w:pPr>
      <w:r>
        <w:rPr/>
        <w:t>À l'équilibre E* : V^(on) constant (création = combustion + immobilisation + désimmobilisation + régénération), RU constant, (D) stable (avances = remboursements, aucune accumulation de passif), η = 1, κ = 1, Π = 1 (tous les paramètres en position neutre).</w:t>
      </w:r>
    </w:p>
    <w:p>
      <w:pPr>
        <w:pStyle w:val="BodyText"/>
        <w:rPr/>
      </w:pPr>
      <w:r>
        <w:rPr/>
        <w:t>Dans cet état : les entreprises peuvent être rentables sans expansion (elles créent (V), remboursent leurs TAPs, versent des dividendes vivants, restent stables en taille) ; les utilisateurs vivent confortablement (RU prévisible, stacking/TAP disponibles pour les besoins exceptionnels) ; aucune pression systémique à « croître ou mourir ».</w:t>
      </w:r>
    </w:p>
    <w:p>
      <w:pPr>
        <w:pStyle w:val="BodyText"/>
        <w:rPr/>
      </w:pPr>
      <w:r>
        <w:rPr/>
      </w:r>
    </w:p>
    <w:p>
      <w:pPr>
        <w:pStyle w:val="Heading4"/>
        <w:numPr>
          <w:ilvl w:val="3"/>
          <w:numId w:val="3"/>
        </w:numPr>
        <w:spacing w:lineRule="auto" w:line="240" w:before="57" w:after="57"/>
        <w:rPr/>
      </w:pPr>
      <w:r>
        <w:rPr/>
        <w:t>Corollaire 3.10 (Compatibilité écologique profonde).</w:t>
      </w:r>
    </w:p>
    <w:p>
      <w:pPr>
        <w:pStyle w:val="BodyText"/>
        <w:rPr/>
      </w:pPr>
      <w:r>
        <w:rPr/>
        <w:t>Un système qui peut prospérer sans croissance PIB infinie est mécaniquement plus soutenable : les ressources naturelles peuvent être préservées (pas besoin d'extraction croissante), la pollution peut se stabiliser (production stable = émissions stables), les écosystèmes ont le temps de se régénérer (pas de pression permanente d'expansion).</w:t>
      </w:r>
    </w:p>
    <w:p>
      <w:pPr>
        <w:pStyle w:val="BodyText"/>
        <w:rPr/>
      </w:pPr>
      <w:r>
        <w:rPr/>
        <w:t>IRIS ne résout pas magiquement la crise écologique, mais il supprime la contrainte systémique qui force la croissance infinie. Les choix écologiques redeviennent possibles, car l'économie ne s'effondre pas en l'absence de croissance.</w:t>
      </w:r>
    </w:p>
    <w:p>
      <w:pPr>
        <w:pStyle w:val="BodyText"/>
        <w:rPr/>
      </w:pPr>
      <w:r>
        <w:rPr/>
      </w:r>
    </w:p>
    <w:p>
      <w:pPr>
        <w:pStyle w:val="Heading3"/>
        <w:numPr>
          <w:ilvl w:val="2"/>
          <w:numId w:val="3"/>
        </w:numPr>
        <w:ind w:hanging="0" w:left="0"/>
        <w:rPr/>
      </w:pPr>
      <w:r>
        <w:rPr/>
        <w:t>3.6.5 La respiration maîtrisée</w:t>
      </w:r>
    </w:p>
    <w:p>
      <w:pPr>
        <w:pStyle w:val="BodyText"/>
        <w:rPr/>
      </w:pPr>
      <w:r>
        <w:rPr/>
      </w:r>
    </w:p>
    <w:p>
      <w:pPr>
        <w:pStyle w:val="BodyText"/>
        <w:rPr/>
      </w:pPr>
      <w:r>
        <w:rPr/>
        <w:t>L'Exchange d'IRIS se révèle comme un organisme de régulation à trois poumons, incarnant une synthèse entre simplicité opérationnelle et sophistication adaptative.</w:t>
      </w:r>
    </w:p>
    <w:p>
      <w:pPr>
        <w:pStyle w:val="BodyText"/>
        <w:rPr/>
      </w:pPr>
      <w:r>
        <w:rPr/>
      </w:r>
    </w:p>
    <w:p>
      <w:pPr>
        <w:pStyle w:val="BodyText"/>
        <w:numPr>
          <w:ilvl w:val="0"/>
          <w:numId w:val="58"/>
        </w:numPr>
        <w:spacing w:lineRule="auto" w:line="276"/>
        <w:rPr/>
      </w:pPr>
      <w:r>
        <w:rPr/>
        <w:t>La Couche 1 (noyau η-κ) constitue la respiration de base, toujours active, universelle. Deux paramètres, trois capteurs, des lois simples. Suffisant pour quatre-vingt-quinze pour cent des situations économiques normales. Calculable localement, robuste aux partitions réseau, résilient par nature.</w:t>
      </w:r>
    </w:p>
    <w:p>
      <w:pPr>
        <w:pStyle w:val="BodyText"/>
        <w:numPr>
          <w:ilvl w:val="0"/>
          <w:numId w:val="0"/>
        </w:numPr>
        <w:spacing w:lineRule="auto" w:line="276"/>
        <w:ind w:hanging="0" w:left="720"/>
        <w:rPr/>
      </w:pPr>
      <w:r>
        <w:rPr/>
      </w:r>
    </w:p>
    <w:p>
      <w:pPr>
        <w:pStyle w:val="BodyText"/>
        <w:numPr>
          <w:ilvl w:val="0"/>
          <w:numId w:val="58"/>
        </w:numPr>
        <w:spacing w:lineRule="auto" w:line="276"/>
        <w:rPr/>
      </w:pPr>
      <w:r>
        <w:rPr/>
        <w:t>La Couche 2 (module sectoriel) représente la respiration différenciée, activée en maturité. Reconnaît que services et produits ont des rythmes distincts, permet une régulation ciblée sans perdre la cohérence globale. Activable et désactivable selon les besoins réels, respectant le principe de complexité minimale.</w:t>
      </w:r>
    </w:p>
    <w:p>
      <w:pPr>
        <w:pStyle w:val="BodyText"/>
        <w:numPr>
          <w:ilvl w:val="0"/>
          <w:numId w:val="0"/>
        </w:numPr>
        <w:spacing w:lineRule="auto" w:line="276"/>
        <w:ind w:hanging="0" w:left="720"/>
        <w:rPr/>
      </w:pPr>
      <w:r>
        <w:rPr/>
      </w:r>
    </w:p>
    <w:p>
      <w:pPr>
        <w:pStyle w:val="BodyText"/>
        <w:numPr>
          <w:ilvl w:val="0"/>
          <w:numId w:val="58"/>
        </w:numPr>
        <w:spacing w:lineRule="auto" w:line="276"/>
        <w:rPr/>
      </w:pPr>
      <w:r>
        <w:rPr/>
        <w:t>La Couche 3 (urgence T-Π) constitue la respiration d'urgence, réservée aux crises systémiques. Permet de modifier temporairement les lois physiques du système (temps T, productivité Π), mais sous contrôle démocratique strict (soixante-quinze pour cent), durée limitée (six cycles maximum), avec retour obligatoire à la normale.</w:t>
      </w:r>
    </w:p>
    <w:p>
      <w:pPr>
        <w:pStyle w:val="BodyText"/>
        <w:spacing w:lineRule="auto" w:line="276"/>
        <w:rPr/>
      </w:pPr>
      <w:r>
        <w:rPr/>
      </w:r>
    </w:p>
    <w:p>
      <w:pPr>
        <w:pStyle w:val="BodyText"/>
        <w:rPr/>
      </w:pPr>
      <w:r>
        <w:rPr/>
        <w:t>Cette architecture évolutive et modulaire résout le trilemme régulation/décentralisation/simplicité qui paralyse tant de systèmes économiques alternatifs. La régulation est efficace (anti-cyclicité automatique, protection du contrat social, stabilité thermodynamique sans croissance forcée). La décentralisation est native (calcul local convergent, consensus souple par gossip, pas d'horloge globale obligatoire, résilience aux pannes et partitions). La simplicité opérationnelle demeure (démarrage avec deux paramètres seulement, complexité activable progressivement selon maturité et besoins).</w:t>
      </w:r>
    </w:p>
    <w:p>
      <w:pPr>
        <w:pStyle w:val="BodyText"/>
        <w:rPr/>
      </w:pPr>
      <w:r>
        <w:rPr/>
        <w:t>Les propriétés émergentes (préservation du RU, incitation productive, stabilité stationnaire) démontrent qu'une économie peut être simultanément vivante (adaptative, respirante, organique) et régulée (stable, prévisible, équilibrée) sans nécessiter d'autorité centrale coercitive ni de planification omnisciente.</w:t>
      </w:r>
    </w:p>
    <w:p>
      <w:pPr>
        <w:pStyle w:val="BodyText"/>
        <w:rPr/>
      </w:pPr>
      <w:r>
        <w:rPr/>
        <w:t>La clé conceptuelle réside dans la thermodynamique économique : en traitant (V), (U), (D) comme des grandeurs énergétiques soumises à des lois de conservation strictes, et η, κ comme des coefficients de transfert thermique, l'Exchange transforme l'économie politique en physique sociale. La régulation cesse d'être une décision discrétionnaire pour devenir une homéostasie automatique, comparable à la thermorégulation du corps humain.</w:t>
      </w:r>
    </w:p>
    <w:p>
      <w:pPr>
        <w:pStyle w:val="BodyText"/>
        <w:rPr/>
      </w:pPr>
      <w:r>
        <w:rPr/>
        <w:t>Le système ne cherche pas à atteindre un optimum théorique calculé par avance (planification soviétique), ni à laisser le chaos s'autoréguler magiquement (main invisible libérale). Il respire : inspiration-expiration, création-dissipation, expansion-contraction, dans un cycle perpétuel qui maintient l'équilibre dynamique sans jamais le figer.</w:t>
      </w:r>
    </w:p>
    <w:p>
      <w:pPr>
        <w:pStyle w:val="BodyText"/>
        <w:rPr/>
      </w:pPr>
      <w:r>
        <w:rPr/>
        <w:t>Cette respiration maîtrisée ouvre la voie à une économie véritablement organique : capable de croître sans excès (bornes η, κ ∈ [0,5 ; 2,0]), de se contracter sans rupture (lissages, transitions progressives), de s'adapter aux chocs (Couche 3), et de maintenir dans le temps l'équilibre énergétique entre l'effort humain (S), la circulation monétaire (U), et leur traduction en valeur durable (V).</w:t>
      </w:r>
    </w:p>
    <w:p>
      <w:pPr>
        <w:pStyle w:val="BodyText"/>
        <w:spacing w:before="34" w:after="34"/>
        <w:rPr/>
      </w:pPr>
      <w:r>
        <w:rPr/>
        <w:t>Le chapitre suivant explorera comment cette régulation respiratoire s'articule avec la gouvernance décentralisée (les chambres DAO), la mémoire collective (Chambre Mémorielle et son droit d'émission de cadastre), et les mécanismes de coordination sociale qui permettent à IRIS de fonctionner comme un véritable organisme économique vivant, capable de prendre des décisions collectives, de se souvenir de son histoire, et d'évoluer selon les volontés de ses membres.</w:t>
      </w:r>
    </w:p>
    <w:p>
      <w:pPr>
        <w:pStyle w:val="BodyText"/>
        <w:spacing w:before="34" w:after="34"/>
        <w:rPr/>
      </w:pPr>
      <w:r>
        <w:rPr/>
      </w:r>
    </w:p>
    <w:p>
      <w:pPr>
        <w:pStyle w:val="BodyText"/>
        <w:spacing w:before="34" w:after="34"/>
        <w:rPr/>
      </w:pPr>
      <w:r>
        <w:rPr/>
      </w:r>
    </w:p>
    <w:p>
      <w:pPr>
        <w:pStyle w:val="BodyText"/>
        <w:spacing w:before="34" w:after="34"/>
        <w:rPr/>
      </w:pPr>
      <w:r>
        <w:rPr/>
      </w:r>
    </w:p>
    <w:p>
      <w:pPr>
        <w:pStyle w:val="BodyText"/>
        <w:spacing w:before="34" w:after="34"/>
        <w:rPr/>
      </w:pPr>
      <w:r>
        <w:rPr/>
      </w:r>
    </w:p>
    <w:p>
      <w:pPr>
        <w:pStyle w:val="BodyText"/>
        <w:spacing w:before="34" w:after="34"/>
        <w:rPr/>
      </w:pPr>
      <w:r>
        <w:rPr/>
      </w:r>
    </w:p>
    <w:p>
      <w:pPr>
        <w:pStyle w:val="BodyText"/>
        <w:spacing w:before="34" w:after="34"/>
        <w:rPr/>
      </w:pPr>
      <w:r>
        <w:rPr/>
      </w:r>
    </w:p>
    <w:p>
      <w:pPr>
        <w:pStyle w:val="BodyText"/>
        <w:spacing w:before="34" w:after="34"/>
        <w:rPr/>
      </w:pPr>
      <w:r>
        <w:rPr/>
      </w:r>
    </w:p>
    <w:p>
      <w:pPr>
        <w:pStyle w:val="BodyText"/>
        <w:spacing w:before="34" w:after="34"/>
        <w:rPr/>
      </w:pPr>
      <w:r>
        <w:rPr/>
      </w:r>
    </w:p>
    <w:p>
      <w:pPr>
        <w:pStyle w:val="BodyText"/>
        <w:spacing w:before="34" w:after="34"/>
        <w:rPr/>
      </w:pPr>
      <w:r>
        <w:rPr/>
      </w:r>
    </w:p>
    <w:p>
      <w:pPr>
        <w:pStyle w:val="BodyText"/>
        <w:spacing w:before="34" w:after="34"/>
        <w:rPr/>
      </w:pPr>
      <w:r>
        <w:rPr/>
      </w:r>
    </w:p>
    <w:p>
      <w:pPr>
        <w:pStyle w:val="BodyText"/>
        <w:spacing w:before="34" w:after="34"/>
        <w:rPr/>
      </w:pPr>
      <w:r>
        <w:rPr/>
      </w:r>
    </w:p>
    <w:p>
      <w:pPr>
        <w:pStyle w:val="BodyText"/>
        <w:spacing w:before="34" w:after="34"/>
        <w:rPr/>
      </w:pPr>
      <w:r>
        <w:rPr/>
      </w:r>
    </w:p>
    <w:p>
      <w:pPr>
        <w:pStyle w:val="BodyText"/>
        <w:spacing w:before="34" w:after="34"/>
        <w:rPr/>
      </w:pPr>
      <w:r>
        <w:rPr/>
      </w:r>
    </w:p>
    <w:p>
      <w:pPr>
        <w:pStyle w:val="BodyText"/>
        <w:spacing w:before="34" w:after="34"/>
        <w:rPr/>
      </w:pPr>
      <w:r>
        <w:rPr/>
      </w:r>
    </w:p>
    <w:p>
      <w:pPr>
        <w:pStyle w:val="Heading1"/>
        <w:numPr>
          <w:ilvl w:val="0"/>
          <w:numId w:val="3"/>
        </w:numPr>
        <w:spacing w:before="34" w:after="34"/>
        <w:ind w:hanging="0" w:left="0"/>
        <w:rPr/>
      </w:pPr>
      <w:r>
        <w:rPr>
          <w:rStyle w:val="Strong"/>
          <w:b/>
          <w:bCs/>
        </w:rPr>
        <w:t>CHAPITRE IV : GOUVERNANCE DÉCENTRALISÉE — LES CINQ FONCTIONS RÉGULATRICES</w:t>
      </w:r>
    </w:p>
    <w:p>
      <w:pPr>
        <w:pStyle w:val="BodyText"/>
        <w:spacing w:before="34" w:after="34"/>
        <w:rPr>
          <w:rStyle w:val="Strong"/>
        </w:rPr>
      </w:pPr>
      <w:r>
        <w:rPr/>
      </w:r>
    </w:p>
    <w:p>
      <w:pPr>
        <w:pStyle w:val="Heading2"/>
        <w:numPr>
          <w:ilvl w:val="1"/>
          <w:numId w:val="3"/>
        </w:numPr>
        <w:ind w:hanging="0" w:left="0"/>
        <w:rPr/>
      </w:pPr>
      <w:r>
        <w:rPr/>
        <w:t>4.1. Définition et principes fondateurs.</w:t>
      </w:r>
    </w:p>
    <w:p>
      <w:pPr>
        <w:pStyle w:val="BodyText"/>
        <w:rPr/>
      </w:pPr>
      <w:r>
        <w:rPr/>
      </w:r>
    </w:p>
    <w:p>
      <w:pPr>
        <w:pStyle w:val="Heading4"/>
        <w:numPr>
          <w:ilvl w:val="3"/>
          <w:numId w:val="3"/>
        </w:numPr>
        <w:ind w:hanging="0" w:left="0"/>
        <w:rPr/>
      </w:pPr>
      <w:r>
        <w:rPr>
          <w:rStyle w:val="Strong"/>
          <w:b/>
          <w:bCs/>
        </w:rPr>
        <w:t>Définition 4.1 (Gouvernance décentralisée).</w:t>
      </w:r>
    </w:p>
    <w:p>
      <w:pPr>
        <w:pStyle w:val="BodyText"/>
        <w:rPr/>
      </w:pPr>
      <w:r>
        <w:rPr/>
        <w:t>La gouvernance d'IRIS constitue le quatrième pilier du protocole, après la preuve cryptographique (Oracle, TU/VC), la circulation de valeur (Exchange, Comptes Utilisateur) et la régulation thermodynamique (RAD, η, κ, r_t). Elle assure la coordination collective sans centralisation du pouvoir.</w:t>
      </w:r>
    </w:p>
    <w:p>
      <w:pPr>
        <w:pStyle w:val="BodyText"/>
        <w:rPr/>
      </w:pPr>
      <w:r>
        <w:rPr/>
      </w:r>
    </w:p>
    <w:p>
      <w:pPr>
        <w:pStyle w:val="Heading4"/>
        <w:numPr>
          <w:ilvl w:val="3"/>
          <w:numId w:val="3"/>
        </w:numPr>
        <w:ind w:hanging="0" w:left="0"/>
        <w:rPr/>
      </w:pPr>
      <w:r>
        <w:rPr>
          <w:rStyle w:val="Strong"/>
          <w:b/>
          <w:bCs/>
        </w:rPr>
        <w:t>Axiome 4.1 (Souveraineté distribuée).</w:t>
      </w:r>
    </w:p>
    <w:p>
      <w:pPr>
        <w:pStyle w:val="BodyText"/>
        <w:rPr/>
      </w:pPr>
      <w:r>
        <w:rPr/>
        <w:t>Dans IRIS, la souveraineté n'est pas concentrée dans une institution unique (État, banque centrale, assemblée), mais distribuée dans un réseau de fonctions régulatrices complémentaires.</w:t>
      </w:r>
    </w:p>
    <w:p>
      <w:pPr>
        <w:pStyle w:val="BodyText"/>
        <w:rPr/>
      </w:pPr>
      <w:r>
        <w:rPr/>
        <w:t>Cette distribution ne relève pas d'une délégation hiérarchique (où un pouvoir central délègue à des instances subordonnées), mais d'une spécialisation fonctionnelle : chaque organe de gouvernance assume un rôle spécifique dans le métabolisme collectif, sans subordination ni prééminence.</w:t>
      </w:r>
    </w:p>
    <w:p>
      <w:pPr>
        <w:pStyle w:val="BodyText"/>
        <w:rPr/>
      </w:pPr>
      <w:r>
        <w:rPr/>
      </w:r>
    </w:p>
    <w:p>
      <w:pPr>
        <w:pStyle w:val="Heading4"/>
        <w:numPr>
          <w:ilvl w:val="3"/>
          <w:numId w:val="3"/>
        </w:numPr>
        <w:ind w:hanging="0" w:left="0"/>
        <w:rPr/>
      </w:pPr>
      <w:r>
        <w:rPr>
          <w:rStyle w:val="Strong"/>
          <w:b/>
          <w:bCs/>
        </w:rPr>
        <w:t>Proposition 4.1 (Architecture organique).</w:t>
      </w:r>
    </w:p>
    <w:p>
      <w:pPr>
        <w:pStyle w:val="BodyText"/>
        <w:rPr/>
      </w:pPr>
      <w:r>
        <w:rPr/>
        <w:t>La gouvernance d'IRIS repose sur cinq chambres décentralisées (DAO), chacune incarnant une fonction vitale du système :</w:t>
      </w:r>
    </w:p>
    <w:p>
      <w:pPr>
        <w:pStyle w:val="BodyText"/>
        <w:rPr/>
      </w:pPr>
      <w:r>
        <w:rPr/>
        <w:t xml:space="preserve">Premièrement, la </w:t>
      </w:r>
      <w:r>
        <w:rPr>
          <w:rStyle w:val="Strong"/>
        </w:rPr>
        <w:t>Chambre Administrative</w:t>
      </w:r>
      <w:r>
        <w:rPr/>
        <w:t xml:space="preserve"> assure la vérification, l'audit et la cohérence systémique.</w:t>
      </w:r>
    </w:p>
    <w:p>
      <w:pPr>
        <w:pStyle w:val="BodyText"/>
        <w:rPr/>
      </w:pPr>
      <w:r>
        <w:rPr/>
        <w:t xml:space="preserve">Deuxièmement, la </w:t>
      </w:r>
      <w:r>
        <w:rPr>
          <w:rStyle w:val="Strong"/>
        </w:rPr>
        <w:t>Chambre Exécutive-Législative</w:t>
      </w:r>
      <w:r>
        <w:rPr/>
        <w:t xml:space="preserve"> garantit le droit, la sécurité et la création identitaire.</w:t>
      </w:r>
    </w:p>
    <w:p>
      <w:pPr>
        <w:pStyle w:val="BodyText"/>
        <w:rPr/>
      </w:pPr>
      <w:r>
        <w:rPr/>
        <w:t xml:space="preserve">Troisièmement, la </w:t>
      </w:r>
      <w:r>
        <w:rPr>
          <w:rStyle w:val="Strong"/>
        </w:rPr>
        <w:t>Chambre Mémorielle</w:t>
      </w:r>
      <w:r>
        <w:rPr/>
        <w:t xml:space="preserve"> préserve le patrimoine, organise la relance et assure la continuité transgénérationnelle.</w:t>
      </w:r>
    </w:p>
    <w:p>
      <w:pPr>
        <w:pStyle w:val="BodyText"/>
        <w:rPr/>
      </w:pPr>
      <w:r>
        <w:rPr/>
        <w:t xml:space="preserve">Quatrièmement, la </w:t>
      </w:r>
      <w:r>
        <w:rPr>
          <w:rStyle w:val="Strong"/>
        </w:rPr>
        <w:t>Chambre Scientifique-Éducative</w:t>
      </w:r>
      <w:r>
        <w:rPr/>
        <w:t xml:space="preserve"> développe la connaissance, stimule l'innovation et transmet les savoirs.</w:t>
      </w:r>
    </w:p>
    <w:p>
      <w:pPr>
        <w:pStyle w:val="BodyText"/>
        <w:rPr/>
      </w:pPr>
      <w:r>
        <w:rPr/>
        <w:t xml:space="preserve">Cinquièmement, la </w:t>
      </w:r>
      <w:r>
        <w:rPr>
          <w:rStyle w:val="Strong"/>
        </w:rPr>
        <w:t>Chambre Médicale</w:t>
      </w:r>
      <w:r>
        <w:rPr/>
        <w:t xml:space="preserve"> protège la santé, maintient la vitalité et certifie les événements biologiques.</w:t>
      </w:r>
    </w:p>
    <w:p>
      <w:pPr>
        <w:pStyle w:val="BodyText"/>
        <w:rPr/>
      </w:pPr>
      <w:r>
        <w:rPr/>
      </w:r>
    </w:p>
    <w:p>
      <w:pPr>
        <w:pStyle w:val="Heading4"/>
        <w:numPr>
          <w:ilvl w:val="3"/>
          <w:numId w:val="3"/>
        </w:numPr>
        <w:ind w:hanging="0" w:left="0"/>
        <w:rPr/>
      </w:pPr>
      <w:r>
        <w:rPr>
          <w:rStyle w:val="Strong"/>
          <w:b/>
          <w:bCs/>
        </w:rPr>
        <w:t>Théorème 4.1 (Cohérence par respiration).</w:t>
      </w:r>
    </w:p>
    <w:p>
      <w:pPr>
        <w:pStyle w:val="BodyText"/>
        <w:rPr/>
      </w:pPr>
      <w:r>
        <w:rPr/>
        <w:t>Ces cinq chambres forment un système de régulation homéostatique où aucune chambre ne peut fonctionner isolément (interdépendance), aucune chambre ne détient tous les pouvoirs (séparation fonctionnelle), et la cohérence émerge de leurs interactions (autorégulation).</w:t>
      </w:r>
    </w:p>
    <w:p>
      <w:pPr>
        <w:pStyle w:val="BodyText"/>
        <w:rPr/>
      </w:pPr>
      <w:r>
        <w:rPr/>
        <w:t>Cette architecture évite deux écueils classiques : l'autoritarisme (concentration du pouvoir dans une instance unique) et l'anarchie (absence de coordination, chaos décisionnel).</w:t>
      </w:r>
    </w:p>
    <w:p>
      <w:pPr>
        <w:pStyle w:val="BodyText"/>
        <w:rPr/>
      </w:pPr>
      <w:r>
        <w:rPr/>
      </w:r>
    </w:p>
    <w:p>
      <w:pPr>
        <w:pStyle w:val="Heading4"/>
        <w:numPr>
          <w:ilvl w:val="3"/>
          <w:numId w:val="3"/>
        </w:numPr>
        <w:ind w:hanging="0" w:left="0"/>
        <w:rPr/>
      </w:pPr>
      <w:r>
        <w:rPr>
          <w:rStyle w:val="Strong"/>
          <w:b/>
          <w:bCs/>
        </w:rPr>
        <w:t>Proposition 4.2 (Matérialisation en Comptes Entreprise orphelins).</w:t>
      </w:r>
    </w:p>
    <w:p>
      <w:pPr>
        <w:pStyle w:val="BodyText"/>
        <w:rPr/>
      </w:pPr>
      <w:r>
        <w:rPr/>
        <w:t>Techniquement, chaque chambre est implémentée comme un Compte Entreprise (CE) sans fondateur individuel, contrôlé collectivement par ses membres via DAO interne.</w:t>
      </w:r>
    </w:p>
    <w:p>
      <w:pPr>
        <w:pStyle w:val="BodyText"/>
        <w:rPr/>
      </w:pPr>
      <w:r>
        <w:rPr/>
        <w:t>Les propriétés structurelles sont les suivantes : il n'existe pas de branche-racine individuelle, la continuité étant assurée par élection périodique (renouvellement démocratique) ; les chambres peuvent échanger V entre elles sans médiation Exchange (circuit fermé de régulation) ; toutes décisions, budgets et votes sont publiés sur DHT (auditabilité publique).</w:t>
      </w:r>
    </w:p>
    <w:p>
      <w:pPr>
        <w:pStyle w:val="BodyText"/>
        <w:rPr/>
      </w:pPr>
      <w:r>
        <w:rPr/>
        <w:t>Cette structure garantit que la gouvernance fonctionne selon les mêmes règles thermodynamiques que le reste du système : pas de création monétaire privilégiée, pas d'accumulation de rente, soumission aux mêmes contraintes de conservation énergétique.</w:t>
      </w:r>
    </w:p>
    <w:p>
      <w:pPr>
        <w:pStyle w:val="BodyText"/>
        <w:rPr/>
      </w:pPr>
      <w:r>
        <w:rPr/>
      </w:r>
    </w:p>
    <w:p>
      <w:pPr>
        <w:pStyle w:val="Heading2"/>
        <w:numPr>
          <w:ilvl w:val="1"/>
          <w:numId w:val="3"/>
        </w:numPr>
        <w:ind w:hanging="0" w:left="0"/>
        <w:rPr/>
      </w:pPr>
      <w:r>
        <w:rPr/>
        <w:t>4.2. Architecture détaillée des cinq chambres.</w:t>
      </w:r>
    </w:p>
    <w:p>
      <w:pPr>
        <w:pStyle w:val="BodyText"/>
        <w:rPr/>
      </w:pPr>
      <w:r>
        <w:rPr/>
      </w:r>
    </w:p>
    <w:p>
      <w:pPr>
        <w:pStyle w:val="Heading3"/>
        <w:numPr>
          <w:ilvl w:val="2"/>
          <w:numId w:val="3"/>
        </w:numPr>
        <w:ind w:hanging="0" w:left="0"/>
        <w:rPr/>
      </w:pPr>
      <w:r>
        <w:rPr/>
        <w:t>4.2.1. Chambre Administrative : Audit et cohérence systémique</w:t>
      </w:r>
    </w:p>
    <w:p>
      <w:pPr>
        <w:pStyle w:val="BodyText"/>
        <w:rPr/>
      </w:pPr>
      <w:r>
        <w:rPr/>
      </w:r>
    </w:p>
    <w:p>
      <w:pPr>
        <w:pStyle w:val="Heading4"/>
        <w:numPr>
          <w:ilvl w:val="3"/>
          <w:numId w:val="3"/>
        </w:numPr>
        <w:ind w:hanging="0" w:left="0"/>
        <w:rPr/>
      </w:pPr>
      <w:r>
        <w:rPr>
          <w:rStyle w:val="Strong"/>
          <w:b/>
          <w:bCs/>
        </w:rPr>
        <w:t>Définition 4.2 (Chambre Administrative).</w:t>
      </w:r>
    </w:p>
    <w:p>
      <w:pPr>
        <w:pStyle w:val="BodyText"/>
        <w:rPr/>
      </w:pPr>
      <w:r>
        <w:rPr/>
        <w:t>La Chambre Administrative incarne la fonction de vérification et de cohérence du système. Elle agit comme organe d'audit permanent, garantissant l'intégrité des flux de valeur sans détenir de pouvoir de modification des comptes.</w:t>
      </w:r>
    </w:p>
    <w:p>
      <w:pPr>
        <w:pStyle w:val="BodyText"/>
        <w:rPr/>
      </w:pPr>
      <w:r>
        <w:rPr/>
      </w:r>
    </w:p>
    <w:p>
      <w:pPr>
        <w:pStyle w:val="Heading4"/>
        <w:numPr>
          <w:ilvl w:val="3"/>
          <w:numId w:val="3"/>
        </w:numPr>
        <w:ind w:hanging="0" w:left="0"/>
        <w:rPr/>
      </w:pPr>
      <w:r>
        <w:rPr>
          <w:rStyle w:val="Strong"/>
          <w:b/>
          <w:bCs/>
        </w:rPr>
        <w:t>Axiome 4.2 (Séparation audit/exécution).</w:t>
      </w:r>
    </w:p>
    <w:p>
      <w:pPr>
        <w:pStyle w:val="BodyText"/>
        <w:rPr/>
      </w:pPr>
      <w:r>
        <w:rPr/>
        <w:t>La Chambre Administrative observe et signale, mais ne peut créer, modifier ou supprimer aucun compte. Ce pouvoir appartient exclusivement à la Chambre Exécutive-Législative.</w:t>
      </w:r>
    </w:p>
    <w:p>
      <w:pPr>
        <w:pStyle w:val="BodyText"/>
        <w:rPr/>
      </w:pPr>
      <w:r>
        <w:rPr/>
        <w:t>Cette séparation stricte évite le conflit d'intérêt : un organe qui aurait simultanément le pouvoir de créer des comptes ET d'auditer leurs transactions pourrait manipuler le système à son avantage.</w:t>
      </w:r>
    </w:p>
    <w:p>
      <w:pPr>
        <w:pStyle w:val="Heading4"/>
        <w:numPr>
          <w:ilvl w:val="3"/>
          <w:numId w:val="3"/>
        </w:numPr>
        <w:ind w:hanging="0" w:left="0"/>
        <w:rPr/>
      </w:pPr>
      <w:r>
        <w:rPr/>
        <w:t>Fonctions essentielles</w:t>
      </w:r>
    </w:p>
    <w:p>
      <w:pPr>
        <w:pStyle w:val="BodyText"/>
        <w:rPr/>
      </w:pPr>
      <w:r>
        <w:rPr>
          <w:rStyle w:val="Strong"/>
        </w:rPr>
        <w:t>Première fonction : Réception des arbres transactionnels</w:t>
      </w:r>
    </w:p>
    <w:p>
      <w:pPr>
        <w:pStyle w:val="BodyText"/>
        <w:rPr/>
      </w:pPr>
      <w:r>
        <w:rPr/>
        <w:t>L'Exchange transmet à la Chambre Administrative les arbres de filiation de valeur générés lors de chaque transaction. Chaque arbre de transaction T_i comprend : le NFT_produit (hash, généalogie complète), la combustion (U_burn, S_burn, timestamp), la création (ΔV^(créa), η_t appliqué), les parties (TU_vendeur_anonymisé, TU_acheteur_anonymisé), et la validation EX (signature, preuve d'unicité).</w:t>
      </w:r>
    </w:p>
    <w:p>
      <w:pPr>
        <w:pStyle w:val="BodyText"/>
        <w:rPr/>
      </w:pPr>
      <w:r>
        <w:rPr/>
      </w:r>
    </w:p>
    <w:p>
      <w:pPr>
        <w:pStyle w:val="Heading4"/>
        <w:numPr>
          <w:ilvl w:val="3"/>
          <w:numId w:val="3"/>
        </w:numPr>
        <w:ind w:hanging="0" w:left="0"/>
        <w:rPr/>
      </w:pPr>
      <w:r>
        <w:rPr>
          <w:rStyle w:val="Strong"/>
          <w:b/>
          <w:bCs/>
        </w:rPr>
        <w:t>Proposition 4.3 (Anonymisation des flux).</w:t>
      </w:r>
    </w:p>
    <w:p>
      <w:pPr>
        <w:pStyle w:val="BodyText"/>
        <w:rPr/>
      </w:pPr>
      <w:r>
        <w:rPr/>
        <w:t>Les arbres reçus par la Chambre Administrative contiennent les TU sous forme de hashs anonymisés. Elle peut vérifier la cohérence structurelle (pas de double-dépense, conservation énergétique) sans connaître l'identité nominative des parties.</w:t>
      </w:r>
    </w:p>
    <w:p>
      <w:pPr>
        <w:pStyle w:val="BodyText"/>
        <w:rPr/>
      </w:pPr>
      <w:r>
        <w:rPr>
          <w:rStyle w:val="Strong"/>
        </w:rPr>
        <w:t>Deuxième fonction : Audit de cohérence thermodynamique</w:t>
      </w:r>
    </w:p>
    <w:p>
      <w:pPr>
        <w:pStyle w:val="BodyText"/>
        <w:rPr/>
      </w:pPr>
      <w:r>
        <w:rPr/>
        <w:t>La Chambre vérifie en permanence les invariants du système.</w:t>
      </w:r>
    </w:p>
    <w:p>
      <w:pPr>
        <w:pStyle w:val="BodyText"/>
        <w:rPr/>
      </w:pPr>
      <w:r>
        <w:rPr>
          <w:rStyle w:val="Strong"/>
        </w:rPr>
        <w:t>Vérification 1 : Conservation énergétique</w:t>
      </w:r>
    </w:p>
    <w:p>
      <w:pPr>
        <w:pStyle w:val="BodyText"/>
        <w:rPr/>
      </w:pPr>
      <w:r>
        <w:rPr/>
        <w:t>Pour toute transaction T_i : ΔV_i^(créa) = η_t × (w_S × S_burn,i + w_U × U_burn,i)</w:t>
      </w:r>
    </w:p>
    <w:p>
      <w:pPr>
        <w:pStyle w:val="BodyText"/>
        <w:rPr/>
      </w:pPr>
      <w:r>
        <w:rPr/>
        <w:t>Alerte si écart &gt; ε_tolérance (typiquement zéro virgule un pour cent).</w:t>
      </w:r>
    </w:p>
    <w:p>
      <w:pPr>
        <w:pStyle w:val="BodyText"/>
        <w:rPr/>
      </w:pPr>
      <w:r>
        <w:rPr>
          <w:rStyle w:val="Strong"/>
        </w:rPr>
        <w:t>Vérification 2 : Unicité des NFT</w:t>
      </w:r>
    </w:p>
    <w:p>
      <w:pPr>
        <w:pStyle w:val="BodyText"/>
        <w:rPr/>
      </w:pPr>
      <w:r>
        <w:rPr/>
        <w:t>Pour tout NFT_j : il existe un unique hash_j dans les arbres historiques. Alerte si collision détectée (possible fraude ou erreur technique).</w:t>
      </w:r>
    </w:p>
    <w:p>
      <w:pPr>
        <w:pStyle w:val="BodyText"/>
        <w:rPr/>
      </w:pPr>
      <w:r>
        <w:rPr>
          <w:rStyle w:val="Strong"/>
        </w:rPr>
        <w:t>Vérification 3 : Cohérence des stackings</w:t>
      </w:r>
    </w:p>
    <w:p>
      <w:pPr>
        <w:pStyle w:val="BodyText"/>
        <w:rPr/>
      </w:pPr>
      <w:r>
        <w:rPr/>
        <w:t>Pour tout stacking_k : ΔD_stack,k = ΔV^(avance)_k au moment de la création. Pour tout remboursement : ΔD_stack = -U_burn^(stack). Alerte si désynchronisation.</w:t>
      </w:r>
    </w:p>
    <w:p>
      <w:pPr>
        <w:pStyle w:val="BodyText"/>
        <w:rPr/>
      </w:pPr>
      <w:r>
        <w:rPr>
          <w:rStyle w:val="Strong"/>
        </w:rPr>
        <w:t>Troisième fonction : Signalement des anomalies</w:t>
      </w:r>
    </w:p>
    <w:p>
      <w:pPr>
        <w:pStyle w:val="BodyText"/>
        <w:rPr/>
      </w:pPr>
      <w:r>
        <w:rPr/>
        <w:t>Lorsqu'une incohérence est détectée, la Chambre Administrative émet un NFT-Alerte transmis à la Chambre Exécutive-Législative. Ce NFT-Alerte contient le type d'anomalie (« Incohérence thermodynamique », « Collision NFT », ou « Double-dépense suspectée »), le niveau de gravité (« Faible », « Moyenne », ou « Critique »), les transactions concernées (hash_T1, hash_T2, et autres), les TU_anonymisés_impliqués (hash_TU_A, hash_TU_B, et autres), la preuve (arbres concernés, calculs divergents), et le timestamp.</w:t>
      </w:r>
    </w:p>
    <w:p>
      <w:pPr>
        <w:pStyle w:val="BodyText"/>
        <w:rPr/>
      </w:pPr>
      <w:r>
        <w:rPr/>
      </w:r>
    </w:p>
    <w:p>
      <w:pPr>
        <w:pStyle w:val="Heading4"/>
        <w:numPr>
          <w:ilvl w:val="3"/>
          <w:numId w:val="3"/>
        </w:numPr>
        <w:ind w:hanging="0" w:left="0"/>
        <w:rPr/>
      </w:pPr>
      <w:r>
        <w:rPr>
          <w:rStyle w:val="Strong"/>
          <w:b/>
          <w:bCs/>
        </w:rPr>
        <w:t>Proposition 4.4 (Limites strictes des pouvoirs).</w:t>
      </w:r>
    </w:p>
    <w:p>
      <w:pPr>
        <w:pStyle w:val="BodyText"/>
        <w:rPr/>
      </w:pPr>
      <w:r>
        <w:rPr/>
        <w:t>La Chambre Administrative ne peut jamais accéder aux identités nominatives (réservé à la Chambre Exécutive-Législative), geler un compte (réservé à la Chambre Exécutive-Législative), modifier une transaction (immutabilité blockchain), ni créer de nouveaux comptes (réservé à la Chambre Exécutive-Législative).</w:t>
      </w:r>
    </w:p>
    <w:p>
      <w:pPr>
        <w:pStyle w:val="BodyText"/>
        <w:rPr/>
      </w:pPr>
      <w:r>
        <w:rPr/>
        <w:t>Son rôle se limite strictement à observer et alerter.</w:t>
      </w:r>
    </w:p>
    <w:p>
      <w:pPr>
        <w:pStyle w:val="BodyText"/>
        <w:rPr/>
      </w:pPr>
      <w:r>
        <w:rPr>
          <w:rStyle w:val="Strong"/>
        </w:rPr>
        <w:t>Quatrième fonction : Audit des autres chambres</w:t>
      </w:r>
    </w:p>
    <w:p>
      <w:pPr>
        <w:pStyle w:val="BodyText"/>
        <w:rPr/>
      </w:pPr>
      <w:r>
        <w:rPr/>
        <w:t>La Chambre Administrative audite également les chambres elles-mêmes : budgets respectés (aucune dépense hors allocation votée), flux V entre chambres tracés correctement, aucune création de valeur ex nihilo, transparence des votes DAO internes.</w:t>
      </w:r>
    </w:p>
    <w:p>
      <w:pPr>
        <w:pStyle w:val="BodyText"/>
        <w:rPr/>
      </w:pPr>
      <w:r>
        <w:rPr/>
      </w:r>
    </w:p>
    <w:p>
      <w:pPr>
        <w:pStyle w:val="Heading4"/>
        <w:numPr>
          <w:ilvl w:val="3"/>
          <w:numId w:val="3"/>
        </w:numPr>
        <w:ind w:hanging="0" w:left="0"/>
        <w:rPr/>
      </w:pPr>
      <w:r>
        <w:rPr>
          <w:rStyle w:val="Strong"/>
          <w:b/>
          <w:bCs/>
        </w:rPr>
        <w:t>Théorème 4.2 (Auto-audit impossible).</w:t>
      </w:r>
    </w:p>
    <w:p>
      <w:pPr>
        <w:pStyle w:val="BodyText"/>
        <w:rPr/>
      </w:pPr>
      <w:r>
        <w:rPr/>
        <w:t>La Chambre Administrative ne peut s'auditer elle-même. Cette fonction est assumée collectivement par les quatre autres chambres, chacune vérifiant une partie des flux de la Chambre Administrative.</w:t>
      </w:r>
    </w:p>
    <w:p>
      <w:pPr>
        <w:pStyle w:val="BodyText"/>
        <w:rPr/>
      </w:pPr>
      <w:r>
        <w:rPr/>
        <w:t>Cette redondance croisée évite qu'aucune chambre ne devienne incontrôlable.</w:t>
      </w:r>
    </w:p>
    <w:p>
      <w:pPr>
        <w:pStyle w:val="Heading4"/>
        <w:numPr>
          <w:ilvl w:val="3"/>
          <w:numId w:val="3"/>
        </w:numPr>
        <w:ind w:hanging="0" w:left="0"/>
        <w:rPr/>
      </w:pPr>
      <w:r>
        <w:rPr/>
        <w:t>Composition et fonctionnement</w:t>
      </w:r>
    </w:p>
    <w:p>
      <w:pPr>
        <w:pStyle w:val="BodyText"/>
        <w:rPr/>
      </w:pPr>
      <w:r>
        <w:rPr/>
        <w:t>Les membres typiques comprennent des auditeurs financiers, des experts en systèmes distribués, des cryptographes (vérification des preuves EX), et des data scientists (détection d'anomalies statistiques).</w:t>
      </w:r>
    </w:p>
    <w:p>
      <w:pPr>
        <w:pStyle w:val="BodyText"/>
        <w:rPr/>
      </w:pPr>
      <w:r>
        <w:rPr/>
        <w:t>La rémunération provient d'un budget cyclique alloué par le Conseil des Cinq, réparti entre membres selon DAO interne.</w:t>
      </w:r>
    </w:p>
    <w:p>
      <w:pPr>
        <w:pStyle w:val="BodyText"/>
        <w:rPr/>
      </w:pPr>
      <w:r>
        <w:rPr/>
        <w:t>Le nombre indicatif s'établit entre deux cents et cinq cents membres à l'échelle d'un système mature (plusieurs millions d'utilisateurs).</w:t>
      </w:r>
    </w:p>
    <w:p>
      <w:pPr>
        <w:pStyle w:val="BodyText"/>
        <w:rPr/>
      </w:pPr>
      <w:r>
        <w:rPr/>
      </w:r>
    </w:p>
    <w:p>
      <w:pPr>
        <w:pStyle w:val="Heading3"/>
        <w:numPr>
          <w:ilvl w:val="2"/>
          <w:numId w:val="3"/>
        </w:numPr>
        <w:ind w:hanging="0" w:left="0"/>
        <w:rPr/>
      </w:pPr>
      <w:r>
        <w:rPr/>
        <w:t>4.2.2. Chambre Exécutive-Législative : Droit, sécurité et gestion identitaire</w:t>
      </w:r>
    </w:p>
    <w:p>
      <w:pPr>
        <w:pStyle w:val="BodyText"/>
        <w:rPr/>
      </w:pPr>
      <w:r>
        <w:rPr/>
      </w:r>
    </w:p>
    <w:p>
      <w:pPr>
        <w:pStyle w:val="Heading4"/>
        <w:numPr>
          <w:ilvl w:val="3"/>
          <w:numId w:val="3"/>
        </w:numPr>
        <w:ind w:hanging="0" w:left="0"/>
        <w:rPr/>
      </w:pPr>
      <w:r>
        <w:rPr>
          <w:rStyle w:val="Strong"/>
          <w:b/>
          <w:bCs/>
        </w:rPr>
        <w:t>Définition 4.3 (Chambre Exécutive-Législative).</w:t>
      </w:r>
    </w:p>
    <w:p>
      <w:pPr>
        <w:pStyle w:val="BodyText"/>
        <w:rPr/>
      </w:pPr>
      <w:r>
        <w:rPr/>
        <w:t>La Chambre Exécutive-Législative incarne la fonction normative, sécuritaire et identitaire du système. Elle détient trois pouvoirs exclusifs : la législation (émission de lois, NFT-lois), la justice (enquêtes, jugements, sanctions), et la gestion identitaire (création, fusion, révocation de comptes).</w:t>
      </w:r>
    </w:p>
    <w:p>
      <w:pPr>
        <w:pStyle w:val="BodyText"/>
        <w:rPr/>
      </w:pPr>
      <w:r>
        <w:rPr/>
      </w:r>
    </w:p>
    <w:p>
      <w:pPr>
        <w:pStyle w:val="Heading4"/>
        <w:numPr>
          <w:ilvl w:val="3"/>
          <w:numId w:val="3"/>
        </w:numPr>
        <w:ind w:hanging="0" w:left="0"/>
        <w:rPr/>
      </w:pPr>
      <w:r>
        <w:rPr>
          <w:rStyle w:val="Strong"/>
          <w:b/>
          <w:bCs/>
        </w:rPr>
        <w:t>Axiome 4.3 (Monopole de la contrainte légitime).</w:t>
      </w:r>
    </w:p>
    <w:p>
      <w:pPr>
        <w:pStyle w:val="BodyText"/>
        <w:rPr/>
      </w:pPr>
      <w:r>
        <w:rPr/>
        <w:t>Seule la Chambre Exécutive-Législative peut créer de nouveaux comptes (post-Oracle, étrangers, secours), fusionner des comptes (en cas de doublons détectés), révoquer des comptes (fraude avérée, décision judiciaire), et geler temporairement un compte (enquête en cours).</w:t>
      </w:r>
    </w:p>
    <w:p>
      <w:pPr>
        <w:pStyle w:val="BodyText"/>
        <w:rPr/>
      </w:pPr>
      <w:r>
        <w:rPr/>
        <w:t>Ce monopole est justifié par la nécessité d'une instance unique disposant simultanément de l'accès aux identités nominatives (via UR, base sécurisée), du pouvoir d'enquête (audition, preuves, contradictoire), et de la légitimité démocratique (élection, révocabilité).</w:t>
      </w:r>
    </w:p>
    <w:p>
      <w:pPr>
        <w:pStyle w:val="BodyText"/>
        <w:rPr/>
      </w:pPr>
      <w:r>
        <w:rPr/>
      </w:r>
    </w:p>
    <w:p>
      <w:pPr>
        <w:pStyle w:val="Heading4"/>
        <w:numPr>
          <w:ilvl w:val="3"/>
          <w:numId w:val="3"/>
        </w:numPr>
        <w:ind w:hanging="0" w:left="0"/>
        <w:rPr/>
      </w:pPr>
      <w:r>
        <w:rPr>
          <w:rStyle w:val="Strong"/>
          <w:b/>
          <w:bCs/>
        </w:rPr>
        <w:t>Proposition 4.5 (Séparation avec la Chambre Administrative).</w:t>
      </w:r>
    </w:p>
    <w:p>
      <w:pPr>
        <w:pStyle w:val="BodyText"/>
        <w:rPr/>
      </w:pPr>
      <w:r>
        <w:rPr/>
        <w:t>La Chambre Administrative détecte les anomalies techniques (arbres incohérents, double-dépense), mais seule la Chambre Exécutive-Législative peut investiguer les identités derrière ces anomalies et prendre des mesures coercitives.</w:t>
      </w:r>
    </w:p>
    <w:p>
      <w:pPr>
        <w:pStyle w:val="BodyText"/>
        <w:rPr/>
      </w:pPr>
      <w:r>
        <w:rPr/>
        <w:t>Cette séparation respecte le principe de spécialisation fonctionnelle : l'audit relève de la compétence technique (cryptographie, thermodynamique), tandis que la justice relève de la compétence juridique (droit, procédure, proportionnalité).</w:t>
      </w:r>
    </w:p>
    <w:p>
      <w:pPr>
        <w:pStyle w:val="BodyText"/>
        <w:rPr/>
      </w:pPr>
      <w:r>
        <w:rPr/>
      </w:r>
    </w:p>
    <w:p>
      <w:pPr>
        <w:pStyle w:val="Heading4"/>
        <w:numPr>
          <w:ilvl w:val="3"/>
          <w:numId w:val="3"/>
        </w:numPr>
        <w:ind w:hanging="0" w:left="0"/>
        <w:rPr/>
      </w:pPr>
      <w:r>
        <w:rPr/>
        <w:t>Fonction 1 : Législation</w:t>
      </w:r>
    </w:p>
    <w:p>
      <w:pPr>
        <w:pStyle w:val="Heading4"/>
        <w:numPr>
          <w:ilvl w:val="3"/>
          <w:numId w:val="3"/>
        </w:numPr>
        <w:ind w:hanging="0" w:left="0"/>
        <w:rPr/>
      </w:pPr>
      <w:r>
        <w:rPr>
          <w:rStyle w:val="Strong"/>
          <w:b/>
          <w:bCs/>
        </w:rPr>
        <w:t>Définition 4.4 (NFT-Loi).</w:t>
      </w:r>
    </w:p>
    <w:p>
      <w:pPr>
        <w:pStyle w:val="BodyText"/>
        <w:rPr/>
      </w:pPr>
      <w:r>
        <w:rPr/>
        <w:t>Une NFT-Loi est un jeton non-fongible représentant une norme juridique adoptée par la communauté IRIS.</w:t>
      </w:r>
    </w:p>
    <w:p>
      <w:pPr>
        <w:pStyle w:val="BodyText"/>
        <w:rPr/>
      </w:pPr>
      <w:r>
        <w:rPr/>
        <w:t>Le processus législatif se déroule en quatre phases.</w:t>
      </w:r>
    </w:p>
    <w:p>
      <w:pPr>
        <w:pStyle w:val="BodyText"/>
        <w:rPr/>
      </w:pPr>
      <w:r>
        <w:rPr>
          <w:rStyle w:val="Strong"/>
        </w:rPr>
        <w:t>Phase 1 : Proposition</w:t>
      </w:r>
    </w:p>
    <w:p>
      <w:pPr>
        <w:pStyle w:val="BodyText"/>
        <w:rPr/>
      </w:pPr>
      <w:r>
        <w:rPr/>
        <w:t>La Chambre Exécutive-Législative émet NFT-Loi_v0 (version projet). Le contenu comprend le titre et l'exposé des motifs, le texte intégral (référence hash document complet), le champ d'application (utilisateurs concernés, périmètre), et les sanctions prévues en cas de non-respect.</w:t>
      </w:r>
    </w:p>
    <w:p>
      <w:pPr>
        <w:pStyle w:val="BodyText"/>
        <w:rPr/>
      </w:pPr>
      <w:r>
        <w:rPr/>
        <w:t>La publication se fait sur DHT (transparence totale). Le délai de délibération est d'un minimum de deux cycles (soixante jours).</w:t>
      </w:r>
    </w:p>
    <w:p>
      <w:pPr>
        <w:pStyle w:val="BodyText"/>
        <w:rPr/>
      </w:pPr>
      <w:r>
        <w:rPr>
          <w:rStyle w:val="Strong"/>
        </w:rPr>
        <w:t>Phase 2 : Vérification procédurale</w:t>
      </w:r>
    </w:p>
    <w:p>
      <w:pPr>
        <w:pStyle w:val="BodyText"/>
        <w:rPr/>
      </w:pPr>
      <w:r>
        <w:rPr/>
        <w:t>La Chambre Administrative vérifie le respect du formalisme (structure NFT-Loi valide), l'absence de contradiction avec lois existantes, et la faisabilité technique (application possible via smart contracts).</w:t>
      </w:r>
    </w:p>
    <w:p>
      <w:pPr>
        <w:pStyle w:val="BodyText"/>
        <w:rPr/>
      </w:pPr>
      <w:r>
        <w:rPr/>
        <w:t>Si la proposition n'est pas conforme, elle retourne à la Chambre Exécutive-Législative (corrections nécessaires).</w:t>
      </w:r>
    </w:p>
    <w:p>
      <w:pPr>
        <w:pStyle w:val="BodyText"/>
        <w:rPr/>
      </w:pPr>
      <w:r>
        <w:rPr>
          <w:rStyle w:val="Strong"/>
        </w:rPr>
        <w:t>Phase 3 : Vote citoyen</w:t>
      </w:r>
    </w:p>
    <w:p>
      <w:pPr>
        <w:pStyle w:val="BodyText"/>
        <w:rPr/>
      </w:pPr>
      <w:r>
        <w:rPr/>
        <w:t>Le vote est ouvert à tous CU actifs (1 TU = 1 voix). La durée est d'un cycle (trente jours). Le quorum s'établit à trente pour cent de participation minimum. La majorité requise est de soixante pour cent (majorité qualifiée pour lois structurelles).</w:t>
      </w:r>
    </w:p>
    <w:p>
      <w:pPr>
        <w:pStyle w:val="BodyText"/>
        <w:rPr/>
      </w:pPr>
      <w:r>
        <w:rPr/>
        <w:t>Les résultats possibles sont : si OUI ≥ soixante pour cent, la NFT-Loi_v1 est promulguée (application immédiate) ; si NON &gt; quarante pour cent, la NFT-Loi_v0 est rejetée (archivée, non applicable) ; en cas de majorité simple (cinquante à soixante pour cent), renvoi pour réécriture (amendements).</w:t>
      </w:r>
    </w:p>
    <w:p>
      <w:pPr>
        <w:pStyle w:val="BodyText"/>
        <w:rPr/>
      </w:pPr>
      <w:r>
        <w:rPr>
          <w:rStyle w:val="Strong"/>
        </w:rPr>
        <w:t>Phase 4 : Promulgation</w:t>
      </w:r>
    </w:p>
    <w:p>
      <w:pPr>
        <w:pStyle w:val="BodyText"/>
        <w:rPr/>
      </w:pPr>
      <w:r>
        <w:rPr/>
        <w:t>Si la loi est acceptée, la NFT-Loi_v1 est publiée sur DHT, le hash est inscrit dans le registre législatif, la date d'entrée en vigueur est fixée au cycle T+1, et une notification automatique est envoyée à tous CU concernés.</w:t>
      </w:r>
    </w:p>
    <w:p>
      <w:pPr>
        <w:pStyle w:val="BodyText"/>
        <w:rPr/>
      </w:pPr>
      <w:r>
        <w:rPr/>
      </w:r>
    </w:p>
    <w:p>
      <w:pPr>
        <w:pStyle w:val="Heading4"/>
        <w:numPr>
          <w:ilvl w:val="3"/>
          <w:numId w:val="3"/>
        </w:numPr>
        <w:ind w:hanging="0" w:left="0"/>
        <w:rPr/>
      </w:pPr>
      <w:r>
        <w:rPr>
          <w:rStyle w:val="Strong"/>
          <w:b/>
          <w:bCs/>
        </w:rPr>
        <w:t>Proposition 4.6 (Révocabilité démocratique).</w:t>
      </w:r>
    </w:p>
    <w:p>
      <w:pPr>
        <w:pStyle w:val="BodyText"/>
        <w:rPr/>
      </w:pPr>
      <w:r>
        <w:rPr/>
        <w:t>Toute NFT-Loi peut être abrogée par vote citoyen (initiative populaire supérieure ou égale à dix pour cent de N signatures, puis vote majoritaire), par décision Chambre Exécutive-Législative (si contradiction constitutionnelle détectée), ou par expiration temporelle (lois à durée déterminée).</w:t>
      </w:r>
    </w:p>
    <w:p>
      <w:pPr>
        <w:pStyle w:val="BodyText"/>
        <w:rPr/>
      </w:pPr>
      <w:r>
        <w:rPr/>
        <w:t>Les exemples de NFT-Lois incluent la norme sécurité NFT-Habitat (standards construction, certifications obligatoires), les règles de protection données personnelles (accès DHT, anonymisation), et les limites répartition salariale CE (bornes R_max/R_min).</w:t>
      </w:r>
    </w:p>
    <w:p>
      <w:pPr>
        <w:pStyle w:val="BodyText"/>
        <w:rPr/>
      </w:pPr>
      <w:r>
        <w:rPr/>
      </w:r>
    </w:p>
    <w:p>
      <w:pPr>
        <w:pStyle w:val="Heading4"/>
        <w:numPr>
          <w:ilvl w:val="3"/>
          <w:numId w:val="3"/>
        </w:numPr>
        <w:ind w:hanging="0" w:left="0"/>
        <w:rPr/>
      </w:pPr>
      <w:r>
        <w:rPr/>
        <w:t>Fonction 2 : Justice et enquêtes</w:t>
      </w:r>
    </w:p>
    <w:p>
      <w:pPr>
        <w:pStyle w:val="Heading4"/>
        <w:numPr>
          <w:ilvl w:val="3"/>
          <w:numId w:val="3"/>
        </w:numPr>
        <w:ind w:hanging="0" w:left="0"/>
        <w:rPr/>
      </w:pPr>
      <w:r>
        <w:rPr>
          <w:rStyle w:val="Strong"/>
          <w:b/>
          <w:bCs/>
        </w:rPr>
        <w:t>Définition 4.5 (NFT-Jugement).</w:t>
      </w:r>
    </w:p>
    <w:p>
      <w:pPr>
        <w:pStyle w:val="BodyText"/>
        <w:rPr/>
      </w:pPr>
      <w:r>
        <w:rPr/>
        <w:t>Un NFT-Jugement est un jeton représentant une décision judiciaire motivée, opposable et traçable.</w:t>
      </w:r>
    </w:p>
    <w:p>
      <w:pPr>
        <w:pStyle w:val="BodyText"/>
        <w:rPr/>
      </w:pPr>
      <w:r>
        <w:rPr/>
        <w:t>La procédure judiciaire comprend trois étapes principales.</w:t>
      </w:r>
    </w:p>
    <w:p>
      <w:pPr>
        <w:pStyle w:val="BodyText"/>
        <w:rPr/>
      </w:pPr>
      <w:r>
        <w:rPr>
          <w:rStyle w:val="Strong"/>
        </w:rPr>
        <w:t>Déclenchement</w:t>
      </w:r>
    </w:p>
    <w:p>
      <w:pPr>
        <w:pStyle w:val="BodyText"/>
        <w:rPr/>
      </w:pPr>
      <w:r>
        <w:rPr/>
        <w:t>Trois cas peuvent déclencher une procédure : une alerte de la Chambre Administrative (incohérence détectée, TU_anonymisés fournis), une plainte citoyenne (un CU signale une fraude présumée), ou une enquête d'office (la Chambre détecte une anomalie grave : attaque Sybil, manipulation coordonnée).</w:t>
      </w:r>
    </w:p>
    <w:p>
      <w:pPr>
        <w:pStyle w:val="BodyText"/>
        <w:rPr/>
      </w:pPr>
      <w:r>
        <w:rPr>
          <w:rStyle w:val="Strong"/>
        </w:rPr>
        <w:t>Investigation</w:t>
      </w:r>
    </w:p>
    <w:p>
      <w:pPr>
        <w:pStyle w:val="BodyText"/>
        <w:rPr/>
      </w:pPr>
      <w:r>
        <w:rPr/>
        <w:t>La Chambre Exécutive-Législative dévoile les identités nominatives (accès UR). La constitution du dossier comprend l'historique des transactions incriminées (arbres complets), les auditions des parties (signature EX obligatoire, refus égale sanction aggravée), les expertises techniques (cryptographes, thermodynamiciens), et le contradictoire (chaque partie peut répondre aux accusations).</w:t>
      </w:r>
    </w:p>
    <w:p>
      <w:pPr>
        <w:pStyle w:val="BodyText"/>
        <w:rPr/>
      </w:pPr>
      <w:r>
        <w:rPr/>
        <w:t>Le délai maximum d'enquête est de trois cycles (quatre-vingt-dix jours, extensible si complexité exceptionnelle).</w:t>
      </w:r>
    </w:p>
    <w:p>
      <w:pPr>
        <w:pStyle w:val="BodyText"/>
        <w:rPr/>
      </w:pPr>
      <w:r>
        <w:rPr>
          <w:rStyle w:val="Strong"/>
        </w:rPr>
        <w:t>Jugement</w:t>
      </w:r>
    </w:p>
    <w:p>
      <w:pPr>
        <w:pStyle w:val="BodyText"/>
        <w:rPr/>
      </w:pPr>
      <w:r>
        <w:rPr/>
        <w:t>Un collège de cinq juges (élus parmi membres Chambre Exécutive-Législative) statue par vote à majorité (trois sur cinq minimum).</w:t>
      </w:r>
    </w:p>
    <w:p>
      <w:pPr>
        <w:pStyle w:val="BodyText"/>
        <w:rPr/>
      </w:pPr>
      <w:r>
        <w:rPr/>
        <w:t>Le NFT-Jugement contient les faits établis (preuves cryptographiques, témoignages), la qualification juridique (quelle loi violée), la motivation (raisonnement juridique détaillé), la sanction (proportionnée, graduée), et les voies de recours (appel possible sous un cycle).</w:t>
      </w:r>
    </w:p>
    <w:p>
      <w:pPr>
        <w:pStyle w:val="BodyText"/>
        <w:rPr/>
      </w:pPr>
      <w:r>
        <w:rPr/>
        <w:t>La publication se fait sur DHT (version anonymisée si affaire privée). L'exécution est immédiate sauf appel suspensif.</w:t>
      </w:r>
    </w:p>
    <w:p>
      <w:pPr>
        <w:pStyle w:val="BodyText"/>
        <w:rPr/>
      </w:pPr>
      <w:r>
        <w:rPr/>
      </w:r>
    </w:p>
    <w:p>
      <w:pPr>
        <w:pStyle w:val="Heading4"/>
        <w:numPr>
          <w:ilvl w:val="3"/>
          <w:numId w:val="3"/>
        </w:numPr>
        <w:ind w:hanging="0" w:left="0"/>
        <w:rPr/>
      </w:pPr>
      <w:r>
        <w:rPr>
          <w:rStyle w:val="Strong"/>
          <w:b/>
          <w:bCs/>
        </w:rPr>
        <w:t>Proposition 4.7 (Types de sanctions graduées).</w:t>
      </w:r>
    </w:p>
    <w:p>
      <w:pPr>
        <w:pStyle w:val="BodyText"/>
        <w:rPr/>
      </w:pPr>
      <w:r>
        <w:rPr/>
        <w:t>Les sanctions légères (erreurs non intentionnelles) comprennent l'avertissement (NFT-Avertissement, trace dans historique CU), l'amende (combustion V, montant plafonné à cinq fois le RU moyen), et l'obligation de formation (suivre module éducatif Chambre Scientifique-Éducative).</w:t>
      </w:r>
    </w:p>
    <w:p>
      <w:pPr>
        <w:pStyle w:val="BodyText"/>
        <w:rPr/>
      </w:pPr>
      <w:r>
        <w:rPr/>
        <w:t>Les sanctions moyennes (négligence grave, récidive) incluent le gel temporaire du compte (un à six cycles, impossibilité de transactions), la confiscation partielle du patrimoine (maximum vingt pour cent, redistribué via CR), et l'interdiction d'activités spécifiques (exemple : interdiction d'émettre TAP pendant douze cycles).</w:t>
      </w:r>
    </w:p>
    <w:p>
      <w:pPr>
        <w:pStyle w:val="BodyText"/>
        <w:rPr/>
      </w:pPr>
      <w:r>
        <w:rPr/>
        <w:t>Les sanctions lourdes (fraude caractérisée, danger systémique) consistent en la révocation définitive du compte (clôture forcée, patrimoine transféré à CR), l'interdiction de recréer un compte (TU blacklisté définitivement), et la transmission du dossier aux autorités externes (si infractions pénales hors IRIS).</w:t>
      </w:r>
    </w:p>
    <w:p>
      <w:pPr>
        <w:pStyle w:val="BodyText"/>
        <w:rPr/>
      </w:pPr>
      <w:r>
        <w:rPr/>
      </w:r>
    </w:p>
    <w:p>
      <w:pPr>
        <w:pStyle w:val="Heading4"/>
        <w:numPr>
          <w:ilvl w:val="3"/>
          <w:numId w:val="3"/>
        </w:numPr>
        <w:ind w:hanging="0" w:left="0"/>
        <w:rPr/>
      </w:pPr>
      <w:r>
        <w:rPr>
          <w:rStyle w:val="Strong"/>
          <w:b/>
          <w:bCs/>
        </w:rPr>
        <w:t>Proposition 4.8 (Gradation proportionnelle).</w:t>
      </w:r>
    </w:p>
    <w:p>
      <w:pPr>
        <w:pStyle w:val="BodyText"/>
        <w:rPr/>
      </w:pPr>
      <w:r>
        <w:rPr/>
        <w:t>Toute sanction doit respecter le principe de proportionnalité : une erreur technique mineure ne peut entraîner révocation, une fraude massive ne peut être sanctionnée par un simple avertissement.</w:t>
      </w:r>
    </w:p>
    <w:p>
      <w:pPr>
        <w:pStyle w:val="BodyText"/>
        <w:rPr/>
      </w:pPr>
      <w:r>
        <w:rPr/>
      </w:r>
    </w:p>
    <w:p>
      <w:pPr>
        <w:pStyle w:val="Heading4"/>
        <w:numPr>
          <w:ilvl w:val="3"/>
          <w:numId w:val="3"/>
        </w:numPr>
        <w:ind w:hanging="0" w:left="0"/>
        <w:rPr/>
      </w:pPr>
      <w:r>
        <w:rPr>
          <w:rStyle w:val="Strong"/>
          <w:b/>
          <w:bCs/>
        </w:rPr>
        <w:t>Théorème 4.3 (Auditabilité des jugements).</w:t>
      </w:r>
    </w:p>
    <w:p>
      <w:pPr>
        <w:pStyle w:val="BodyText"/>
        <w:rPr/>
      </w:pPr>
      <w:r>
        <w:rPr/>
        <w:t>Chaque NFT-Jugement est immuable (hash publié sur DHT, impossible à modifier rétroactivement), opposable (peut être invoqué dans procédures ultérieures), et révisable (appel possible devant second collège de juges, instance supérieure DAO).</w:t>
      </w:r>
    </w:p>
    <w:p>
      <w:pPr>
        <w:pStyle w:val="BodyText"/>
        <w:rPr/>
      </w:pPr>
      <w:r>
        <w:rPr/>
      </w:r>
    </w:p>
    <w:p>
      <w:pPr>
        <w:pStyle w:val="Heading4"/>
        <w:numPr>
          <w:ilvl w:val="3"/>
          <w:numId w:val="3"/>
        </w:numPr>
        <w:ind w:hanging="0" w:left="0"/>
        <w:rPr/>
      </w:pPr>
      <w:r>
        <w:rPr/>
        <w:t>Fonction 3 : Gestion identitaire et création de comptes</w:t>
      </w:r>
    </w:p>
    <w:p>
      <w:pPr>
        <w:pStyle w:val="Heading4"/>
        <w:numPr>
          <w:ilvl w:val="3"/>
          <w:numId w:val="3"/>
        </w:numPr>
        <w:ind w:hanging="0" w:left="0"/>
        <w:rPr/>
      </w:pPr>
      <w:r>
        <w:rPr>
          <w:rStyle w:val="Strong"/>
          <w:b/>
          <w:bCs/>
        </w:rPr>
        <w:t>Axiome 4.4 (Exclusivité création post-Oracle).</w:t>
      </w:r>
    </w:p>
    <w:p>
      <w:pPr>
        <w:pStyle w:val="BodyText"/>
        <w:rPr/>
      </w:pPr>
      <w:r>
        <w:rPr/>
        <w:t>Une fois l'Oracle d'initialisation désactivé, seule la Chambre Exécutive-Législative peut créer de nouveaux Comptes Utilisateur.</w:t>
      </w:r>
    </w:p>
    <w:p>
      <w:pPr>
        <w:pStyle w:val="BodyText"/>
        <w:rPr/>
      </w:pPr>
      <w:r>
        <w:rPr/>
        <w:t>Cette exclusivité garantit le contrôle démographique (aucune inflation de N non justifiée), la vérification rigoureuse (chaque nouveau CU correspond à un être vivant réel), et la traçabilité des créations (toute création génère NFT-Jugement motivé).</w:t>
      </w:r>
    </w:p>
    <w:p>
      <w:pPr>
        <w:pStyle w:val="BodyText"/>
        <w:rPr/>
      </w:pPr>
      <w:r>
        <w:rPr/>
      </w:r>
    </w:p>
    <w:p>
      <w:pPr>
        <w:pStyle w:val="BodyText"/>
        <w:rPr/>
      </w:pPr>
      <w:r>
        <w:rPr>
          <w:rStyle w:val="Strong"/>
        </w:rPr>
        <w:t>Cas 3a : Création de Comptes Utilisateur en mode secours</w:t>
      </w:r>
    </w:p>
    <w:p>
      <w:pPr>
        <w:pStyle w:val="Heading4"/>
        <w:numPr>
          <w:ilvl w:val="3"/>
          <w:numId w:val="3"/>
        </w:numPr>
        <w:ind w:hanging="0" w:left="0"/>
        <w:rPr/>
      </w:pPr>
      <w:r>
        <w:rPr>
          <w:rStyle w:val="Strong"/>
          <w:b/>
          <w:bCs/>
        </w:rPr>
        <w:t>Définition 4.6 (Compte secours).</w:t>
      </w:r>
    </w:p>
    <w:p>
      <w:pPr>
        <w:pStyle w:val="BodyText"/>
        <w:rPr/>
      </w:pPr>
      <w:r>
        <w:rPr/>
        <w:t>Un Compte Utilisateur créé post-Oracle pour une personne n'ayant pas pu s'enregistrer durant la phase d'initialisation.</w:t>
      </w:r>
    </w:p>
    <w:p>
      <w:pPr>
        <w:pStyle w:val="BodyText"/>
        <w:rPr/>
      </w:pPr>
      <w:r>
        <w:rPr/>
        <w:t>La procédure est la suivante : le demandeur dépose une requête auprès de la Chambre Exécutive-Législative. Les pièces obligatoires comprennent la preuve d'identité officielle (État-civil, passeport, acte de naissance), la justification de l'impossibilité d'enregistrement Oracle (réfugié, enfant né après fermeture, et autres), des photographies biométriques récentes, et une déclaration sur l'honneur (aucun autre compte IRIS existant).</w:t>
      </w:r>
    </w:p>
    <w:p>
      <w:pPr>
        <w:pStyle w:val="BodyText"/>
        <w:rPr/>
      </w:pPr>
      <w:r>
        <w:rPr/>
        <w:t>La vérification inclut le croisement avec UR (aucun TU existant correspondant), la validation biométrique (pas de doublon facial ou d'empreintes), et une enquête légère (antécédents, cohérence du récit).</w:t>
      </w:r>
    </w:p>
    <w:p>
      <w:pPr>
        <w:pStyle w:val="BodyText"/>
        <w:rPr/>
      </w:pPr>
      <w:r>
        <w:rPr/>
        <w:t>Si la demande est validée, la création du CU_secours comprend la génération d'un TU/VC nouveau, l'activation du Wallet (RU dès cycle suivant), un CNP vide (pas de patrimoine initial, V₀ = 0), et le statut « Secours » (visible douze cycles, puis statut normal). Une émission de NFT-Jugement_création (motivation, preuves) est publiée sur DHT (version anonymisée).</w:t>
      </w:r>
    </w:p>
    <w:p>
      <w:pPr>
        <w:pStyle w:val="BodyText"/>
        <w:rPr/>
      </w:pPr>
      <w:r>
        <w:rPr/>
        <w:t>Si la demande est rejetée, un rejet motivé est prononcé (recours possible).</w:t>
      </w:r>
    </w:p>
    <w:p>
      <w:pPr>
        <w:pStyle w:val="BodyText"/>
        <w:rPr/>
      </w:pPr>
      <w:r>
        <w:rPr/>
      </w:r>
    </w:p>
    <w:p>
      <w:pPr>
        <w:pStyle w:val="Heading4"/>
        <w:numPr>
          <w:ilvl w:val="3"/>
          <w:numId w:val="3"/>
        </w:numPr>
        <w:ind w:hanging="0" w:left="0"/>
        <w:rPr/>
      </w:pPr>
      <w:r>
        <w:rPr>
          <w:rStyle w:val="Strong"/>
          <w:b/>
          <w:bCs/>
        </w:rPr>
        <w:t>Proposition 4.9 (Neutralité thermodynamique).</w:t>
      </w:r>
    </w:p>
    <w:p>
      <w:pPr>
        <w:pStyle w:val="BodyText"/>
        <w:rPr/>
      </w:pPr>
      <w:r>
        <w:rPr/>
        <w:t>La création d'un CU secours ne génère aucune valeur V₀ (contrairement à l'Oracle où ∑V₀ = ∑D₀). Le nouveau compte démarre avec V_wallet = 0, V_CNP = 0, et un patrimoine vierge (construction progressive via RU et production).</w:t>
      </w:r>
    </w:p>
    <w:p>
      <w:pPr>
        <w:pStyle w:val="BodyText"/>
        <w:rPr/>
      </w:pPr>
      <w:r>
        <w:rPr/>
        <w:t>Cette neutralité évite la création monétaire arbitraire : seul le RU futur (issu de V^(on) collectif) alimentera le nouveau compte.</w:t>
      </w:r>
    </w:p>
    <w:p>
      <w:pPr>
        <w:pStyle w:val="Heading4"/>
        <w:numPr>
          <w:ilvl w:val="3"/>
          <w:numId w:val="3"/>
        </w:numPr>
        <w:ind w:hanging="0" w:left="0"/>
        <w:rPr/>
      </w:pPr>
      <w:r>
        <w:rPr>
          <w:rStyle w:val="Strong"/>
          <w:b/>
          <w:bCs/>
        </w:rPr>
        <w:t>Corollaire 4.1 (Déclaration patrimoniale différée).</w:t>
      </w:r>
    </w:p>
    <w:p>
      <w:pPr>
        <w:pStyle w:val="BodyText"/>
        <w:rPr/>
      </w:pPr>
      <w:r>
        <w:rPr/>
        <w:t>Si le demandeur possède des biens réels non enregistrés, il peut les déclarer via la Chambre Mémorielle (droit d'émission de cadastre), générant alors V₀ et D₀ symétriques selon les règles standard.</w:t>
      </w:r>
    </w:p>
    <w:p>
      <w:pPr>
        <w:pStyle w:val="BodyText"/>
        <w:rPr/>
      </w:pPr>
      <w:r>
        <w:rPr/>
      </w:r>
    </w:p>
    <w:p>
      <w:pPr>
        <w:pStyle w:val="BodyText"/>
        <w:rPr/>
      </w:pPr>
      <w:r>
        <w:rPr>
          <w:rStyle w:val="Strong"/>
        </w:rPr>
        <w:t>Cas 3b : Création de Comptes Étrangers (CEtr) et interface RAI</w:t>
      </w:r>
    </w:p>
    <w:p>
      <w:pPr>
        <w:pStyle w:val="Heading4"/>
        <w:numPr>
          <w:ilvl w:val="3"/>
          <w:numId w:val="3"/>
        </w:numPr>
        <w:ind w:hanging="0" w:left="0"/>
        <w:rPr/>
      </w:pPr>
      <w:r>
        <w:rPr>
          <w:rStyle w:val="Strong"/>
          <w:b/>
          <w:bCs/>
        </w:rPr>
        <w:t>Définition 4.7 (Compte Étranger).</w:t>
      </w:r>
    </w:p>
    <w:p>
      <w:pPr>
        <w:pStyle w:val="BodyText"/>
        <w:rPr/>
      </w:pPr>
      <w:r>
        <w:rPr/>
        <w:t>Un Compte Étranger (CEtr) est un compte non-vivant destiné à des entités externes (entreprises, institutions, individus non-IRIS) souhaitant interagir avec l'économie IRIS sans détenir de TU/VC.</w:t>
      </w:r>
    </w:p>
    <w:p>
      <w:pPr>
        <w:pStyle w:val="BodyText"/>
        <w:rPr/>
      </w:pPr>
      <w:r>
        <w:rPr/>
        <w:t>Les propriétés structurelles sont les suivantes : pas de RU (les CEtr ne reçoivent aucun revenu universel, réservé aux vivants IRIS), pas de droit de vote (aucune participation à la gouvernance), et accès limité (peuvent uniquement détenir NFT financiers et échanger V contre actifs externes).</w:t>
      </w:r>
    </w:p>
    <w:p>
      <w:pPr>
        <w:pStyle w:val="BodyText"/>
        <w:rPr/>
      </w:pPr>
      <w:r>
        <w:rPr/>
        <w:t>La procédure de création exige que l'entité externe dépose une demande. Les pièces requises comprennent l'identité juridique (registre commerce, statuts, preuve légale d'existence), la justification économique (pourquoi interaction avec IRIS ?), et le montant du dépôt initial (minimum mille RAI, stablecoin algorithmique décentralisé).</w:t>
      </w:r>
    </w:p>
    <w:p>
      <w:pPr>
        <w:pStyle w:val="BodyText"/>
        <w:rPr/>
      </w:pPr>
      <w:r>
        <w:rPr/>
        <w:t>La Chambre Exécutive-Législative vérifie la légitimité de l'entité (pas d'organisation criminelle, terroriste, et autres), la cohérence économique (activité réelle, pas de blanchiment), et que le montant du dépôt est suffisant (garantie de sérieux).</w:t>
      </w:r>
    </w:p>
    <w:p>
      <w:pPr>
        <w:pStyle w:val="BodyText"/>
        <w:rPr/>
      </w:pPr>
      <w:r>
        <w:rPr/>
        <w:t>Si la demande est validée, la création du CEtr comprend un identifiant unique CEtr_XXXX, un Wallet V uniquement (pas de U), et l'accès aux NFT financiers (peut investir dans CE IRIS).</w:t>
      </w:r>
    </w:p>
    <w:p>
      <w:pPr>
        <w:pStyle w:val="BodyText"/>
        <w:rPr/>
      </w:pPr>
      <w:r>
        <w:rPr/>
        <w:t>Le dépôt RAI est converti en V selon : V_initial = Montant_RAI × f_conv(RAI → V), où f_conv est le taux de change établi par Oracle décentralisé (typiquement basé sur moyenne pondérée V/RU vs RAI).</w:t>
      </w:r>
    </w:p>
    <w:p>
      <w:pPr>
        <w:pStyle w:val="BodyText"/>
        <w:rPr/>
      </w:pPr>
      <w:r>
        <w:rPr/>
        <w:t>L'immobilisation s'opère ainsi : V_initial devient NFT-F_réserve (bloqué, non circulant), et l'inscription D_ext = V_initial (passif compensatoire) garantit la conservation thermométrique : r_t = (D + D_ext) / V^(on) (impact neutre si V_initial hors V^(on)).</w:t>
      </w:r>
    </w:p>
    <w:p>
      <w:pPr>
        <w:pStyle w:val="BodyText"/>
        <w:rPr/>
      </w:pPr>
      <w:r>
        <w:rPr/>
        <w:t>Une émission de NFT-Jugement_CEtr (transparent, public) finalise la procédure.</w:t>
      </w:r>
    </w:p>
    <w:p>
      <w:pPr>
        <w:pStyle w:val="BodyText"/>
        <w:rPr/>
      </w:pPr>
      <w:r>
        <w:rPr/>
      </w:r>
    </w:p>
    <w:p>
      <w:pPr>
        <w:pStyle w:val="Heading4"/>
        <w:numPr>
          <w:ilvl w:val="3"/>
          <w:numId w:val="3"/>
        </w:numPr>
        <w:ind w:hanging="0" w:left="0"/>
        <w:rPr/>
      </w:pPr>
      <w:r>
        <w:rPr>
          <w:rStyle w:val="Strong"/>
          <w:b/>
          <w:bCs/>
        </w:rPr>
        <w:t>Proposition 4.10 (Pont économique contrôlé).</w:t>
      </w:r>
    </w:p>
    <w:p>
      <w:pPr>
        <w:pStyle w:val="BodyText"/>
        <w:rPr/>
      </w:pPr>
      <w:r>
        <w:rPr/>
        <w:t>Les CEtr permettent l'interaction avec l'économie externe (fiat, crypto) sans contaminer IRIS.</w:t>
      </w:r>
    </w:p>
    <w:p>
      <w:pPr>
        <w:pStyle w:val="BodyText"/>
        <w:rPr/>
      </w:pPr>
      <w:r>
        <w:rPr/>
        <w:t>En entrée de capital externe : CEtr dépose RAI, conversion en V, achat de NFT-F d'entreprises IRIS. Effet : injection de liquidité externe dans l'économie réelle IRIS. Contrepartie : CEtr détient parts de capital, reçoit dividendes (en V).</w:t>
      </w:r>
    </w:p>
    <w:p>
      <w:pPr>
        <w:pStyle w:val="BodyText"/>
        <w:rPr/>
      </w:pPr>
      <w:r>
        <w:rPr/>
        <w:t>En sortie de capital : CEtr vend NFT-F, récupère V, conversion V vers RAI (si autorisé). Effet : extraction de valeur IRIS vers l'extérieur. Limite : le taux de conversion peut être régulé (κ_ext) pour éviter une fuite massive.</w:t>
      </w:r>
    </w:p>
    <w:p>
      <w:pPr>
        <w:pStyle w:val="BodyText"/>
        <w:rPr/>
      </w:pPr>
      <w:r>
        <w:rPr/>
      </w:r>
    </w:p>
    <w:p>
      <w:pPr>
        <w:pStyle w:val="Heading4"/>
        <w:numPr>
          <w:ilvl w:val="3"/>
          <w:numId w:val="3"/>
        </w:numPr>
        <w:ind w:hanging="0" w:left="0"/>
        <w:rPr/>
      </w:pPr>
      <w:r>
        <w:rPr>
          <w:rStyle w:val="Strong"/>
          <w:b/>
          <w:bCs/>
        </w:rPr>
        <w:t>Théorème 4.4 (Neutralité thermodynamique des CEtr).</w:t>
      </w:r>
    </w:p>
    <w:p>
      <w:pPr>
        <w:pStyle w:val="BodyText"/>
        <w:rPr/>
      </w:pPr>
      <w:r>
        <w:rPr/>
        <w:t>Les dépôts RAI sont traités comme réserves externes : pour tout dépôt RAI, ΔD_ext = +V_converti (passif compensatoire) ; pour tout retrait RAI, ΔD_ext = -V_reconverti (résorption).</w:t>
      </w:r>
    </w:p>
    <w:p>
      <w:pPr>
        <w:pStyle w:val="BodyText"/>
        <w:rPr/>
      </w:pPr>
      <w:r>
        <w:rPr/>
        <w:t>Bilan : les flux RAI n'affectent pas r_t tant que V_CEtr reste immobilisé en NFT-F (hors V^(on)).</w:t>
      </w:r>
    </w:p>
    <w:p>
      <w:pPr>
        <w:pStyle w:val="BodyText"/>
        <w:rPr/>
      </w:pPr>
      <w:r>
        <w:rPr/>
      </w:r>
    </w:p>
    <w:p>
      <w:pPr>
        <w:pStyle w:val="BodyText"/>
        <w:rPr/>
      </w:pPr>
      <w:r>
        <w:rPr>
          <w:rStyle w:val="Strong"/>
        </w:rPr>
        <w:t>Cas 3c : Fusion de comptes doublons</w:t>
      </w:r>
    </w:p>
    <w:p>
      <w:pPr>
        <w:pStyle w:val="Heading4"/>
        <w:numPr>
          <w:ilvl w:val="3"/>
          <w:numId w:val="3"/>
        </w:numPr>
        <w:ind w:hanging="0" w:left="0"/>
        <w:rPr/>
      </w:pPr>
      <w:r>
        <w:rPr>
          <w:rStyle w:val="Strong"/>
          <w:b/>
          <w:bCs/>
        </w:rPr>
        <w:t>Définition 4.8 (Doublon).</w:t>
      </w:r>
    </w:p>
    <w:p>
      <w:pPr>
        <w:pStyle w:val="BodyText"/>
        <w:rPr/>
      </w:pPr>
      <w:r>
        <w:rPr/>
        <w:t>Situation où un même être vivant détient deux CU distincts (fraude ou erreur).</w:t>
      </w:r>
    </w:p>
    <w:p>
      <w:pPr>
        <w:pStyle w:val="BodyText"/>
        <w:rPr/>
      </w:pPr>
      <w:r>
        <w:rPr/>
        <w:t>La détection s'opère lorsque la Chambre Administrative signale deux TU différents mais des transactions suspectes (mêmes NFT, patterns identiques) ou une alerte biométrique UR (même empreinte faciale ou digitale).</w:t>
      </w:r>
    </w:p>
    <w:p>
      <w:pPr>
        <w:pStyle w:val="BodyText"/>
        <w:rPr/>
      </w:pPr>
      <w:r>
        <w:rPr/>
        <w:t>La Chambre Exécutive-Législative enquête en croisant les identités nominatives, en auditionnant le détenteur (explication contradictoire), et en analysant les historiques (depuis quand le doublon existe-t-il ?).</w:t>
      </w:r>
    </w:p>
    <w:p>
      <w:pPr>
        <w:pStyle w:val="BodyText"/>
        <w:rPr/>
      </w:pPr>
      <w:r>
        <w:rPr/>
        <w:t>Si le doublon est confirmé, la fusion CU_A + CU_B vers CU_principal s'opère ainsi : V_principal = max(V_A, V_B) (conservation du patrimoine le plus riche), CNP_principal = CNP_A ∪ CNP_B (union des NFT, pas de perte), Stackings_principal = Stackings_A + Stackings_B (cumul des dettes).</w:t>
      </w:r>
    </w:p>
    <w:p>
      <w:pPr>
        <w:pStyle w:val="BodyText"/>
        <w:rPr/>
      </w:pPr>
      <w:r>
        <w:rPr/>
        <w:t>Le CU_secondaire est gelé (archivé, lecture seule).</w:t>
      </w:r>
    </w:p>
    <w:p>
      <w:pPr>
        <w:pStyle w:val="BodyText"/>
        <w:rPr/>
      </w:pPr>
      <w:r>
        <w:rPr/>
        <w:t>La sanction dépend de l'intentionnalité : si fraude intentionnelle, amende = zéro virgule cinq fois V_secondaire (combustion) et avertissement permanent (trace NFT-Jugement) ; sinon (erreur technique), aucune sanction.</w:t>
      </w:r>
    </w:p>
    <w:p>
      <w:pPr>
        <w:pStyle w:val="BodyText"/>
        <w:rPr/>
      </w:pPr>
      <w:r>
        <w:rPr/>
        <w:t>Une émission de NFT-Jugement_fusion (motivation détaillée) finalise la procédure.</w:t>
      </w:r>
    </w:p>
    <w:p>
      <w:pPr>
        <w:pStyle w:val="BodyText"/>
        <w:rPr/>
      </w:pPr>
      <w:r>
        <w:rPr/>
      </w:r>
    </w:p>
    <w:p>
      <w:pPr>
        <w:pStyle w:val="Heading4"/>
        <w:numPr>
          <w:ilvl w:val="3"/>
          <w:numId w:val="3"/>
        </w:numPr>
        <w:ind w:hanging="0" w:left="0"/>
        <w:rPr/>
      </w:pPr>
      <w:r>
        <w:rPr>
          <w:rStyle w:val="Strong"/>
          <w:b/>
          <w:bCs/>
        </w:rPr>
        <w:t>Proposition 4.11 (Protection patrimoniale).</w:t>
      </w:r>
    </w:p>
    <w:p>
      <w:pPr>
        <w:pStyle w:val="BodyText"/>
        <w:rPr/>
      </w:pPr>
      <w:r>
        <w:rPr/>
        <w:t>La fusion conserve toujours max(V_A, V_B), jamais la somme, évitant ainsi que le doublon ait enrichi artificiellement le détenteur (RU perçu deux fois).</w:t>
      </w:r>
    </w:p>
    <w:p>
      <w:pPr>
        <w:pStyle w:val="BodyText"/>
        <w:rPr/>
      </w:pPr>
      <w:r>
        <w:rPr>
          <w:rStyle w:val="Strong"/>
        </w:rPr>
        <w:t>Cas 3d : Révocation de comptes frauduleux</w:t>
      </w:r>
    </w:p>
    <w:p>
      <w:pPr>
        <w:pStyle w:val="BodyText"/>
        <w:rPr/>
      </w:pPr>
      <w:r>
        <w:rPr/>
        <w:t>Cas extrême : fraude massive, attaque Sybil détectée, danger systémique.</w:t>
      </w:r>
    </w:p>
    <w:p>
      <w:pPr>
        <w:pStyle w:val="BodyText"/>
        <w:rPr/>
      </w:pPr>
      <w:r>
        <w:rPr/>
        <w:t>La procédure exceptionnelle exige une enquête approfondie (preuves irréfutables nécessaires) et un vote du collège de cinq juges (unanimité requise pour révocation définitive).</w:t>
      </w:r>
    </w:p>
    <w:p>
      <w:pPr>
        <w:pStyle w:val="BodyText"/>
        <w:rPr/>
      </w:pPr>
      <w:r>
        <w:rPr/>
        <w:t>Si la révocation est prononcée, la clôture forcée du CU comprend la liquidation du Wallet (NFT-F vendus, stackings remboursés si possible), le transfert du CNP à la Chambre de Relance (patrimoine recyclé), et le blacklistage définitif du TU (impossible de recréer un compte).</w:t>
      </w:r>
    </w:p>
    <w:p>
      <w:pPr>
        <w:pStyle w:val="BodyText"/>
        <w:rPr/>
      </w:pPr>
      <w:r>
        <w:rPr/>
        <w:t>Une émission de NFT-Jugement_révocation (publication intégrale, transparence totale) est réalisée.</w:t>
      </w:r>
    </w:p>
    <w:p>
      <w:pPr>
        <w:pStyle w:val="BodyText"/>
        <w:rPr/>
      </w:pPr>
      <w:r>
        <w:rPr/>
        <w:t>Le recours est possible devant l'instance suprême DAO (Conseil des Cinq + jury citoyen tiré au sort).</w:t>
      </w:r>
    </w:p>
    <w:p>
      <w:pPr>
        <w:pStyle w:val="BodyText"/>
        <w:rPr/>
      </w:pPr>
      <w:r>
        <w:rPr/>
      </w:r>
    </w:p>
    <w:p>
      <w:pPr>
        <w:pStyle w:val="Heading4"/>
        <w:numPr>
          <w:ilvl w:val="3"/>
          <w:numId w:val="3"/>
        </w:numPr>
        <w:ind w:hanging="0" w:left="0"/>
        <w:rPr/>
      </w:pPr>
      <w:r>
        <w:rPr>
          <w:rStyle w:val="Strong"/>
          <w:b/>
          <w:bCs/>
        </w:rPr>
        <w:t>Théorème 4.5 (Ultima ratio).</w:t>
      </w:r>
    </w:p>
    <w:p>
      <w:pPr>
        <w:pStyle w:val="BodyText"/>
        <w:rPr/>
      </w:pPr>
      <w:r>
        <w:rPr/>
        <w:t>La révocation est l'arme ultime du système, utilisée parcimonieusement (inférieure à zéro virgule zéro un pour cent des cas). Sa simple existence dissuade les fraudes massives.</w:t>
      </w:r>
    </w:p>
    <w:p>
      <w:pPr>
        <w:pStyle w:val="Heading4"/>
        <w:numPr>
          <w:ilvl w:val="3"/>
          <w:numId w:val="3"/>
        </w:numPr>
        <w:ind w:hanging="0" w:left="0"/>
        <w:rPr/>
      </w:pPr>
      <w:r>
        <w:rPr/>
        <w:t>Composition et fonctionnement</w:t>
      </w:r>
    </w:p>
    <w:p>
      <w:pPr>
        <w:pStyle w:val="BodyText"/>
        <w:rPr/>
      </w:pPr>
      <w:r>
        <w:rPr/>
        <w:t>Les membres typiques comprennent des juristes (droit civil, pénal, administratif), des magistrats (expérience judiciaire), des spécialistes de la sécurité (cybersécurité, cryptographie appliquée), et des enquêteurs (police, gendarmerie, détectives privés).</w:t>
      </w:r>
    </w:p>
    <w:p>
      <w:pPr>
        <w:pStyle w:val="BodyText"/>
        <w:rPr/>
      </w:pPr>
      <w:r>
        <w:rPr/>
        <w:t>L'organisation interne se divise en pôle législatif (rédaction lois, coordination votes), pôle judiciaire (enquêtes, jugements, appels), et pôle identitaire (gestion CU, CEtr, fusions, révocations).</w:t>
      </w:r>
    </w:p>
    <w:p>
      <w:pPr>
        <w:pStyle w:val="BodyText"/>
        <w:rPr/>
      </w:pPr>
      <w:r>
        <w:rPr/>
        <w:t>La rémunération provient d'un budget cyclique (le plus élevé des cinq chambres, car fonctions régaliennes).</w:t>
      </w:r>
    </w:p>
    <w:p>
      <w:pPr>
        <w:pStyle w:val="BodyText"/>
        <w:rPr/>
      </w:pPr>
      <w:r>
        <w:rPr/>
        <w:t>Le nombre indicatif s'établit entre cinq cents et mille membres (système mature).</w:t>
      </w:r>
    </w:p>
    <w:p>
      <w:pPr>
        <w:pStyle w:val="BodyText"/>
        <w:rPr/>
      </w:pPr>
      <w:r>
        <w:rPr/>
      </w:r>
    </w:p>
    <w:p>
      <w:pPr>
        <w:pStyle w:val="Heading3"/>
        <w:numPr>
          <w:ilvl w:val="2"/>
          <w:numId w:val="3"/>
        </w:numPr>
        <w:ind w:hanging="0" w:left="0"/>
        <w:rPr/>
      </w:pPr>
      <w:r>
        <w:rPr/>
        <w:t>4.2.3. Chambre Mémorielle : Patrimoine, relance et continuité</w:t>
      </w:r>
    </w:p>
    <w:p>
      <w:pPr>
        <w:pStyle w:val="BodyText"/>
        <w:rPr/>
      </w:pPr>
      <w:r>
        <w:rPr/>
      </w:r>
    </w:p>
    <w:p>
      <w:pPr>
        <w:pStyle w:val="Heading4"/>
        <w:numPr>
          <w:ilvl w:val="3"/>
          <w:numId w:val="3"/>
        </w:numPr>
        <w:ind w:hanging="0" w:left="0"/>
        <w:rPr/>
      </w:pPr>
      <w:r>
        <w:rPr>
          <w:rStyle w:val="Strong"/>
          <w:b/>
          <w:bCs/>
        </w:rPr>
        <w:t>Définition 4.9 (Chambre Mémorielle).</w:t>
      </w:r>
    </w:p>
    <w:p>
      <w:pPr>
        <w:pStyle w:val="BodyText"/>
        <w:rPr/>
      </w:pPr>
      <w:r>
        <w:rPr/>
        <w:t>La Chambre Mémorielle incarne la fonction de mémoire et régénération du système. Elle détient deux pouvoirs exclusifs : le droit d'émission de cadastre (enregistrement de nouveaux biens post-Oracle) et la gestion de la Chambre de Relance (recyclage des patrimoines orphelins).</w:t>
      </w:r>
    </w:p>
    <w:p>
      <w:pPr>
        <w:pStyle w:val="BodyText"/>
        <w:rPr/>
      </w:pPr>
      <w:r>
        <w:rPr/>
      </w:r>
    </w:p>
    <w:p>
      <w:pPr>
        <w:pStyle w:val="Heading4"/>
        <w:numPr>
          <w:ilvl w:val="3"/>
          <w:numId w:val="3"/>
        </w:numPr>
        <w:ind w:hanging="0" w:left="0"/>
        <w:rPr/>
      </w:pPr>
      <w:r>
        <w:rPr>
          <w:rStyle w:val="Strong"/>
          <w:b/>
          <w:bCs/>
        </w:rPr>
        <w:t>Axiome 4.5 (Continuité patrimoniale).</w:t>
      </w:r>
    </w:p>
    <w:p>
      <w:pPr>
        <w:pStyle w:val="BodyText"/>
        <w:rPr/>
      </w:pPr>
      <w:r>
        <w:rPr/>
        <w:t>Aucun bien réel ne peut être enregistré dans IRIS sans passer par l'Oracle d'initialisation (phase fondatrice, désormais close) OU la Chambre Mémorielle (phase continue, permanente).</w:t>
      </w:r>
    </w:p>
    <w:p>
      <w:pPr>
        <w:pStyle w:val="BodyText"/>
        <w:rPr/>
      </w:pPr>
      <w:r>
        <w:rPr/>
        <w:t>Cette exclusivité garantit la cohérence du cadastre global et la traçabilité intégrale de tous les NFT patrimoniaux.</w:t>
      </w:r>
    </w:p>
    <w:p>
      <w:pPr>
        <w:pStyle w:val="BodyText"/>
        <w:rPr/>
      </w:pPr>
      <w:r>
        <w:rPr/>
      </w:r>
    </w:p>
    <w:p>
      <w:pPr>
        <w:pStyle w:val="Heading4"/>
        <w:numPr>
          <w:ilvl w:val="3"/>
          <w:numId w:val="3"/>
        </w:numPr>
        <w:ind w:hanging="0" w:left="0"/>
        <w:rPr/>
      </w:pPr>
      <w:r>
        <w:rPr/>
        <w:t>Fonction 1 : Droit d'émission de cadastre</w:t>
      </w:r>
    </w:p>
    <w:p>
      <w:pPr>
        <w:pStyle w:val="Heading4"/>
        <w:numPr>
          <w:ilvl w:val="3"/>
          <w:numId w:val="3"/>
        </w:numPr>
        <w:ind w:hanging="0" w:left="0"/>
        <w:rPr/>
      </w:pPr>
      <w:r>
        <w:rPr>
          <w:rStyle w:val="Strong"/>
          <w:b/>
          <w:bCs/>
        </w:rPr>
        <w:t>Définition 4.10 (Émission cadastrale).</w:t>
      </w:r>
    </w:p>
    <w:p>
      <w:pPr>
        <w:pStyle w:val="BodyText"/>
        <w:rPr/>
      </w:pPr>
      <w:r>
        <w:rPr/>
        <w:t>Processus d'enregistrement d'un bien réel préexistant mais non déclaré lors de l'Oracle.</w:t>
      </w:r>
    </w:p>
    <w:p>
      <w:pPr>
        <w:pStyle w:val="BodyText"/>
        <w:rPr/>
      </w:pPr>
      <w:r>
        <w:rPr/>
        <w:t>Les cas d'usage incluent : un bien oublié lors de l'Oracle (propriétaire n'a pas déclaré), un bien créé post-Oracle (construction nouvelle maison, fabrication d'équipement), ou un bien acquis hors IRIS puis importé (achat fiat puis déclaration IRIS).</w:t>
      </w:r>
    </w:p>
    <w:p>
      <w:pPr>
        <w:pStyle w:val="BodyText"/>
        <w:rPr/>
      </w:pPr>
      <w:r>
        <w:rPr/>
        <w:t>La procédure exige que le propriétaire dépose une demande auprès de la Chambre Mémorielle. Les pièces requises comprennent le titre de propriété (acte notarié, cadastre officiel, facture d'achat), la documentation technique (photos, plans, certificats de conformité), l'évaluation de la valeur (expertise indépendante ou auto-évaluation justifiée), et la justification de l'origine (pourquoi non déclaré lors de l'Oracle ?).</w:t>
      </w:r>
    </w:p>
    <w:p>
      <w:pPr>
        <w:pStyle w:val="BodyText"/>
        <w:rPr/>
      </w:pPr>
      <w:r>
        <w:rPr/>
        <w:t>La Chambre Mémorielle vérifie l'absence de duplication (croisement avec NFT existants, hash d'unicité), la cohérence de l'évaluation (comparaison avec biens similaires dans la zone), et la légalité de la propriété (pas de bien volé, litigieux).</w:t>
      </w:r>
    </w:p>
    <w:p>
      <w:pPr>
        <w:pStyle w:val="BodyText"/>
        <w:rPr/>
      </w:pPr>
      <w:r>
        <w:rPr/>
        <w:t>Si la demande est validée, la création du NFT_cadastral comprend :</w:t>
      </w:r>
    </w:p>
    <w:p>
      <w:pPr>
        <w:pStyle w:val="BodyText"/>
        <w:rPr/>
      </w:pPr>
      <w:r>
        <w:rPr/>
        <w:t>Hash_unicité = SHA-256(Descripteurs_bien ∥ Coordonnées ∥ Propriétaire_TU)</w:t>
      </w:r>
    </w:p>
    <w:p>
      <w:pPr>
        <w:pStyle w:val="BodyText"/>
        <w:rPr/>
      </w:pPr>
      <w:r>
        <w:rPr/>
        <w:t>V₀_bien = Valeur_estimée × Φ_or(zone) × (1 - r_zone/100) × Φ_auth</w:t>
      </w:r>
    </w:p>
    <w:p>
      <w:pPr>
        <w:pStyle w:val="BodyText"/>
        <w:rPr/>
      </w:pPr>
      <w:r>
        <w:rPr/>
        <w:t>où Φ_auth = 0,9 (légèrement inférieur à l'Oracle officiel qui vaut un virgule zéro, mais supérieur à l'auto-intégratif qui vaut zéro virgule sept).</w:t>
      </w:r>
    </w:p>
    <w:p>
      <w:pPr>
        <w:pStyle w:val="BodyText"/>
        <w:rPr/>
      </w:pPr>
      <w:r>
        <w:rPr/>
        <w:t>L'inscription au CNP du propriétaire est effectuée.</w:t>
      </w:r>
    </w:p>
    <w:p>
      <w:pPr>
        <w:pStyle w:val="BodyText"/>
        <w:rPr/>
      </w:pPr>
      <w:r>
        <w:rPr/>
        <w:t>La création du passif symétrique s'opère ainsi : D₀_bien = V₀_bien (inscrit dans RAD).</w:t>
      </w:r>
    </w:p>
    <w:p>
      <w:pPr>
        <w:pStyle w:val="BodyText"/>
        <w:rPr/>
      </w:pPr>
      <w:r>
        <w:rPr/>
        <w:t>La conservation thermométrique garantit que : ∑V₀ après = ∑V₀ avant + V₀_bien et ∑D₀ après = ∑D₀ avant + D₀_bien, maintenant r_t inchangé (neutralité).</w:t>
      </w:r>
    </w:p>
    <w:p>
      <w:pPr>
        <w:pStyle w:val="BodyText"/>
        <w:rPr/>
      </w:pPr>
      <w:r>
        <w:rPr/>
        <w:t>Une émission de NFT-Cadastre (preuve d'enregistrement, public DHT) est réalisée.</w:t>
      </w:r>
    </w:p>
    <w:p>
      <w:pPr>
        <w:pStyle w:val="BodyText"/>
        <w:rPr/>
      </w:pPr>
      <w:r>
        <w:rPr/>
        <w:t>Une notification est envoyée à la Chambre Administrative (audit de cohérence).</w:t>
      </w:r>
    </w:p>
    <w:p>
      <w:pPr>
        <w:pStyle w:val="BodyText"/>
        <w:rPr/>
      </w:pPr>
      <w:r>
        <w:rPr/>
      </w:r>
    </w:p>
    <w:p>
      <w:pPr>
        <w:pStyle w:val="Heading4"/>
        <w:numPr>
          <w:ilvl w:val="3"/>
          <w:numId w:val="3"/>
        </w:numPr>
        <w:ind w:hanging="0" w:left="0"/>
        <w:rPr/>
      </w:pPr>
      <w:r>
        <w:rPr>
          <w:rStyle w:val="Strong"/>
          <w:b/>
          <w:bCs/>
        </w:rPr>
        <w:t>Proposition 4.12 (Tarification dissuasive).</w:t>
      </w:r>
    </w:p>
    <w:p>
      <w:pPr>
        <w:pStyle w:val="BodyText"/>
        <w:rPr/>
      </w:pPr>
      <w:r>
        <w:rPr/>
        <w:t>Pour éviter les déclarations opportunistes tardives (attendre que V^(on) augmente pour bénéficier d'un RU plus élevé), la Chambre Mémorielle peut appliquer une pénalité temporelle :</w:t>
      </w:r>
    </w:p>
    <w:p>
      <w:pPr>
        <w:pStyle w:val="BodyText"/>
        <w:rPr/>
      </w:pPr>
      <w:r>
        <w:rPr/>
        <w:t>Φ_délai = 1 - (0,05 × Années_depuis_Oracle)</w:t>
      </w:r>
    </w:p>
    <w:p>
      <w:pPr>
        <w:pStyle w:val="BodyText"/>
        <w:rPr/>
      </w:pPr>
      <w:r>
        <w:rPr/>
        <w:t>Par exemple : une déclaration deux ans après l'Oracle entraîne Φ_délai = 0,90 (pénalité moins dix pour cent) ; une déclaration cinq ans après entraîne Φ_délai = 0,75 (pénalité moins vingt-cinq pour cent). Le plafond s'établit à Φ_délai ≥ 0,5 (pénalité maximum moins cinquante pour cent).</w:t>
      </w:r>
    </w:p>
    <w:p>
      <w:pPr>
        <w:pStyle w:val="BodyText"/>
        <w:rPr/>
      </w:pPr>
      <w:r>
        <w:rPr/>
        <w:t>Cette pénalité incite à déclarer rapidement tout patrimoine, évitant l'accumulation de biens « fantômes ».</w:t>
      </w:r>
    </w:p>
    <w:p>
      <w:pPr>
        <w:pStyle w:val="BodyText"/>
        <w:rPr/>
      </w:pPr>
      <w:r>
        <w:rPr/>
      </w:r>
    </w:p>
    <w:p>
      <w:pPr>
        <w:pStyle w:val="Heading4"/>
        <w:numPr>
          <w:ilvl w:val="3"/>
          <w:numId w:val="3"/>
        </w:numPr>
        <w:ind w:hanging="0" w:left="0"/>
        <w:rPr/>
      </w:pPr>
      <w:r>
        <w:rPr/>
        <w:t>Fonction 2 : Gestion de la Chambre de Relance (CR)</w:t>
      </w:r>
    </w:p>
    <w:p>
      <w:pPr>
        <w:pStyle w:val="Heading4"/>
        <w:numPr>
          <w:ilvl w:val="3"/>
          <w:numId w:val="3"/>
        </w:numPr>
        <w:ind w:hanging="0" w:left="0"/>
        <w:rPr/>
      </w:pPr>
      <w:r>
        <w:rPr>
          <w:rStyle w:val="Strong"/>
          <w:b/>
          <w:bCs/>
        </w:rPr>
        <w:t>Définition 4.11 (Chambre de Relance).</w:t>
      </w:r>
    </w:p>
    <w:p>
      <w:pPr>
        <w:pStyle w:val="BodyText"/>
        <w:rPr/>
      </w:pPr>
      <w:r>
        <w:rPr/>
        <w:t>Organe de recyclage des patrimoines orphelins.</w:t>
      </w:r>
    </w:p>
    <w:p>
      <w:pPr>
        <w:pStyle w:val="BodyText"/>
        <w:rPr/>
      </w:pPr>
      <w:r>
        <w:rPr/>
        <w:t>Les sources d'approvisionnement de la CR comprennent : les NFT non transmis lors des successions (cinq à dix pour cent des patrimoines typiquement), les CE dissous sans repreneur (liquidation après trente-six cycles de garde), les biens confisqués (sanctions judiciaires de la Chambre Exécutive-Législative), et les actifs abandonnés (CNP inactifs pendant plus de vingt-quatre cycles sans héritier désigné).</w:t>
      </w:r>
    </w:p>
    <w:p>
      <w:pPr>
        <w:pStyle w:val="BodyText"/>
        <w:rPr/>
      </w:pPr>
      <w:r>
        <w:rPr/>
        <w:t>La procédure de liquidation s'opère selon le processus suivant.</w:t>
      </w:r>
    </w:p>
    <w:p>
      <w:pPr>
        <w:pStyle w:val="BodyText"/>
        <w:rPr/>
      </w:pPr>
      <w:r>
        <w:rPr/>
        <w:t>Pour chaque NFT_i dans le stock CR :</w:t>
      </w:r>
    </w:p>
    <w:p>
      <w:pPr>
        <w:pStyle w:val="BodyText"/>
        <w:rPr/>
      </w:pPr>
      <w:r>
        <w:rPr/>
        <w:t>L'évaluation calcule : V_CR_i = V_actuel × Φ_état × Φ_obsolescence, où Φ_état appartient à [0,3 ; 1,0] selon l'état physique (neuf vs dégradé), et Φ_obsolescence appartient à [0,5 ; 1,0] selon la pertinence technologique.</w:t>
      </w:r>
    </w:p>
    <w:p>
      <w:pPr>
        <w:pStyle w:val="BodyText"/>
        <w:rPr/>
      </w:pPr>
      <w:r>
        <w:rPr/>
        <w:t>La catégorisation distingue plusieurs cas. Si V_CR_i ≥ V_min_vente (seuil : zéro virgule cinq fois le RU_moyen), le mode vente s'applique : enchères publiques (trois cycles, visible pour tous CU), prix de réserve égal à zéro virgule huit fois V_CR_i (accepte moins vingt pour cent maximum).</w:t>
      </w:r>
    </w:p>
    <w:p>
      <w:pPr>
        <w:pStyle w:val="BodyText"/>
        <w:rPr/>
      </w:pPr>
      <w:r>
        <w:rPr/>
        <w:t>Sinon, si le bien est recyclable (matériaux, composants), le recyclage matériel intervient : démontage, récupération des composants, vente des matières premières (CE recyclage).</w:t>
      </w:r>
    </w:p>
    <w:p>
      <w:pPr>
        <w:pStyle w:val="BodyText"/>
        <w:rPr/>
      </w:pPr>
      <w:r>
        <w:rPr/>
        <w:t>Sinon, la destruction s'impose : élimination conforme (écologie, sécurité), aucune valeur récupérée (V_CR_i tend vers zéro).</w:t>
      </w:r>
    </w:p>
    <w:p>
      <w:pPr>
        <w:pStyle w:val="BodyText"/>
        <w:rPr/>
      </w:pPr>
      <w:r>
        <w:rPr/>
        <w:t>Le produit de vente V_vente_i rejoint le Pool_CR.</w:t>
      </w:r>
    </w:p>
    <w:p>
      <w:pPr>
        <w:pStyle w:val="BodyText"/>
        <w:rPr/>
      </w:pPr>
      <w:r>
        <w:rPr/>
        <w:t>À chaque cycle, le Pool_CR est redistribué selon le budget du Conseil des Cinq : soixante pour cent aux projets collectifs (vote DAO, infrastructures), trente pour cent au fonds d'urgence (catastrophes, crises), et dix pour cent à la maintenance du protocole (serveurs DHT, développement).</w:t>
      </w:r>
    </w:p>
    <w:p>
      <w:pPr>
        <w:pStyle w:val="BodyText"/>
        <w:rPr/>
      </w:pPr>
      <w:r>
        <w:rPr/>
        <w:t>L'impact thermométrique s'exprime par : ΔD_CR = -∑V_vente_i (résorption du passif des orphelins).</w:t>
      </w:r>
    </w:p>
    <w:p>
      <w:pPr>
        <w:pStyle w:val="BodyText"/>
        <w:rPr/>
      </w:pPr>
      <w:r>
        <w:rPr/>
      </w:r>
    </w:p>
    <w:p>
      <w:pPr>
        <w:pStyle w:val="Heading4"/>
        <w:numPr>
          <w:ilvl w:val="3"/>
          <w:numId w:val="3"/>
        </w:numPr>
        <w:ind w:hanging="0" w:left="0"/>
        <w:rPr/>
      </w:pPr>
      <w:r>
        <w:rPr>
          <w:rStyle w:val="Strong"/>
          <w:b/>
          <w:bCs/>
        </w:rPr>
        <w:t>Théorème 4.6 (Aucune accumulation inerte).</w:t>
      </w:r>
    </w:p>
    <w:p>
      <w:pPr>
        <w:pStyle w:val="BodyText"/>
        <w:rPr/>
      </w:pPr>
      <w:r>
        <w:rPr/>
        <w:t>Par construction, la CR ne peut accumuler indéfiniment : soit elle vend (V retourne en circulation), soit elle recycle (matériaux réutilisés), soit elle détruit (NFT éteint, pas de valeur résiduelle).</w:t>
      </w:r>
    </w:p>
    <w:p>
      <w:pPr>
        <w:pStyle w:val="BodyText"/>
        <w:rPr/>
      </w:pPr>
      <w:r>
        <w:rPr/>
        <w:t>Cette triple issue garantit la fluidité permanente du patrimoine.</w:t>
      </w:r>
    </w:p>
    <w:p>
      <w:pPr>
        <w:pStyle w:val="BodyText"/>
        <w:rPr/>
      </w:pPr>
      <w:r>
        <w:rPr/>
      </w:r>
    </w:p>
    <w:p>
      <w:pPr>
        <w:pStyle w:val="Heading4"/>
        <w:numPr>
          <w:ilvl w:val="3"/>
          <w:numId w:val="3"/>
        </w:numPr>
        <w:ind w:hanging="0" w:left="0"/>
        <w:rPr/>
      </w:pPr>
      <w:r>
        <w:rPr>
          <w:rStyle w:val="Strong"/>
          <w:b/>
          <w:bCs/>
        </w:rPr>
        <w:t>Proposition 4.13 (Transparence totale CR).</w:t>
      </w:r>
    </w:p>
    <w:p>
      <w:pPr>
        <w:pStyle w:val="BodyText"/>
        <w:rPr/>
      </w:pPr>
      <w:r>
        <w:rPr/>
        <w:t>Tous les NFT en vente CR sont publiés sur DHT avec métadonnées complètes (photos, historique, évaluations). N'importe quel CU peut enchérir, évitant favoritisme ou corruption.</w:t>
      </w:r>
    </w:p>
    <w:p>
      <w:pPr>
        <w:pStyle w:val="Heading4"/>
        <w:numPr>
          <w:ilvl w:val="3"/>
          <w:numId w:val="3"/>
        </w:numPr>
        <w:ind w:hanging="0" w:left="0"/>
        <w:rPr/>
      </w:pPr>
      <w:r>
        <w:rPr/>
        <w:t>Fonction 3 : Suivi des catastrophes et reconstruction</w:t>
      </w:r>
    </w:p>
    <w:p>
      <w:pPr>
        <w:pStyle w:val="Heading4"/>
        <w:numPr>
          <w:ilvl w:val="3"/>
          <w:numId w:val="3"/>
        </w:numPr>
        <w:ind w:hanging="0" w:left="0"/>
        <w:rPr/>
      </w:pPr>
      <w:r>
        <w:rPr>
          <w:rStyle w:val="Strong"/>
          <w:b/>
          <w:bCs/>
        </w:rPr>
        <w:t>Définition 4.12 (NFT-Terra).</w:t>
      </w:r>
    </w:p>
    <w:p>
      <w:pPr>
        <w:pStyle w:val="BodyText"/>
        <w:rPr/>
      </w:pPr>
      <w:r>
        <w:rPr/>
        <w:t>Jeton foncier spécifique émis après catastrophe (incendie, inondation, tremblement de terre) détruisant un bien enregistré.</w:t>
      </w:r>
    </w:p>
    <w:p>
      <w:pPr>
        <w:pStyle w:val="BodyText"/>
        <w:rPr/>
      </w:pPr>
      <w:r>
        <w:rPr/>
        <w:t>La procédure débute lorsque le propriétaire déclare la destruction (preuves : photos, rapport pompiers, assurance).</w:t>
      </w:r>
    </w:p>
    <w:p>
      <w:pPr>
        <w:pStyle w:val="BodyText"/>
        <w:rPr/>
      </w:pPr>
      <w:r>
        <w:rPr/>
        <w:t>La Chambre Mémorielle vérifie la destruction effective (croisement avec sources officielles) et que le NFT_original existait (pas de fraude).</w:t>
      </w:r>
    </w:p>
    <w:p>
      <w:pPr>
        <w:pStyle w:val="BodyText"/>
        <w:rPr/>
      </w:pPr>
      <w:r>
        <w:rPr/>
        <w:t>Si la destruction est confirmée, l'émission du NFT-Terra représente le terrain nu (structure détruite). La valeur s'établit ainsi : V_Terra = V_terrain_seul (excluant valeur du bâtiment détruit).</w:t>
      </w:r>
    </w:p>
    <w:p>
      <w:pPr>
        <w:pStyle w:val="BodyText"/>
        <w:rPr/>
      </w:pPr>
      <w:r>
        <w:rPr/>
        <w:t>L'extinction du NFT_original (bâtiment) intervient.</w:t>
      </w:r>
    </w:p>
    <w:p>
      <w:pPr>
        <w:pStyle w:val="BodyText"/>
        <w:rPr/>
      </w:pPr>
      <w:r>
        <w:rPr/>
        <w:t>L'ajustement thermométrique s'opère : ΔV^(on) = -(V_original - V_Terra) (perte de valeur), et ΔD_catastrophe = +(V_original - V_Terra) (passif compensatoire temporaire).</w:t>
      </w:r>
    </w:p>
    <w:p>
      <w:pPr>
        <w:pStyle w:val="BodyText"/>
        <w:rPr/>
      </w:pPr>
      <w:r>
        <w:rPr/>
        <w:t>La conservation de r_t garantit que le numérateur et le dénominateur sont ajustés symétriquement.</w:t>
      </w:r>
    </w:p>
    <w:p>
      <w:pPr>
        <w:pStyle w:val="BodyText"/>
        <w:rPr/>
      </w:pPr>
      <w:r>
        <w:rPr/>
        <w:t>Les droits du propriétaire incluent la conservation du NFT-Terra (peut revendre ou reconstruire), la possibilité de demander un TAP (financement reconstruction), et la possibilité de céder à la CR si reconstruction impossible.</w:t>
      </w:r>
    </w:p>
    <w:p>
      <w:pPr>
        <w:pStyle w:val="BodyText"/>
        <w:rPr/>
      </w:pPr>
      <w:r>
        <w:rPr/>
        <w:t>Le fonds d'urgence (Pool_CR trente pour cent) peut financer partiellement la reconstruction (vote DAO cas par cas).</w:t>
      </w:r>
    </w:p>
    <w:p>
      <w:pPr>
        <w:pStyle w:val="BodyText"/>
        <w:rPr/>
      </w:pPr>
      <w:r>
        <w:rPr/>
      </w:r>
    </w:p>
    <w:p>
      <w:pPr>
        <w:pStyle w:val="Heading4"/>
        <w:numPr>
          <w:ilvl w:val="3"/>
          <w:numId w:val="3"/>
        </w:numPr>
        <w:ind w:hanging="0" w:left="0"/>
        <w:rPr/>
      </w:pPr>
      <w:r>
        <w:rPr>
          <w:rStyle w:val="Strong"/>
          <w:b/>
          <w:bCs/>
        </w:rPr>
        <w:t>Corollaire 4.2 (Absorption thermodynamique des catastrophes).</w:t>
      </w:r>
    </w:p>
    <w:p>
      <w:pPr>
        <w:pStyle w:val="BodyText"/>
        <w:rPr/>
      </w:pPr>
      <w:r>
        <w:rPr/>
        <w:t>Les catastrophes n'effondrent pas r_t car l'ajustement D_catastrophe compense la perte de V. Le système « absorbe » thermodynamiquement les chocs externes.</w:t>
      </w:r>
    </w:p>
    <w:p>
      <w:pPr>
        <w:pStyle w:val="Heading4"/>
        <w:numPr>
          <w:ilvl w:val="3"/>
          <w:numId w:val="3"/>
        </w:numPr>
        <w:ind w:hanging="0" w:left="0"/>
        <w:rPr/>
      </w:pPr>
      <w:r>
        <w:rPr/>
        <w:t>Composition et fonctionnement</w:t>
      </w:r>
    </w:p>
    <w:p>
      <w:pPr>
        <w:pStyle w:val="BodyText"/>
        <w:rPr/>
      </w:pPr>
      <w:r>
        <w:rPr/>
        <w:t>Les membres typiques comprennent des notaires (expertise cadastrale, successions), des experts immobiliers (évaluations, diagnostics), des commissaires-priseurs (enchères, liquidations), et des archivistes (mémoire historique, généalogies patrimoniales).</w:t>
      </w:r>
    </w:p>
    <w:p>
      <w:pPr>
        <w:pStyle w:val="BodyText"/>
        <w:rPr/>
      </w:pPr>
      <w:r>
        <w:rPr/>
        <w:t>La rémunération provient d'un budget mixte (allocation Conseil + revenus propres des ventes CR).</w:t>
      </w:r>
    </w:p>
    <w:p>
      <w:pPr>
        <w:pStyle w:val="BodyText"/>
        <w:rPr/>
      </w:pPr>
      <w:r>
        <w:rPr/>
        <w:t>Le nombre indicatif s'établit entre trois cents et six cents membres.</w:t>
      </w:r>
    </w:p>
    <w:p>
      <w:pPr>
        <w:pStyle w:val="BodyText"/>
        <w:rPr/>
      </w:pPr>
      <w:r>
        <w:rPr/>
      </w:r>
    </w:p>
    <w:p>
      <w:pPr>
        <w:pStyle w:val="Heading3"/>
        <w:numPr>
          <w:ilvl w:val="2"/>
          <w:numId w:val="3"/>
        </w:numPr>
        <w:ind w:hanging="0" w:left="0"/>
        <w:rPr/>
      </w:pPr>
      <w:r>
        <w:rPr/>
        <w:t>4.2.4. Chambre Scientifique-Éducative : Connaissance et innovation</w:t>
      </w:r>
    </w:p>
    <w:p>
      <w:pPr>
        <w:pStyle w:val="BodyText"/>
        <w:rPr/>
      </w:pPr>
      <w:r>
        <w:rPr/>
      </w:r>
    </w:p>
    <w:p>
      <w:pPr>
        <w:pStyle w:val="Heading4"/>
        <w:numPr>
          <w:ilvl w:val="3"/>
          <w:numId w:val="3"/>
        </w:numPr>
        <w:ind w:hanging="0" w:left="0"/>
        <w:rPr/>
      </w:pPr>
      <w:r>
        <w:rPr>
          <w:rStyle w:val="Strong"/>
          <w:b/>
          <w:bCs/>
        </w:rPr>
        <w:t>Définition 4.13 (Chambre Scientifique-Éducative).</w:t>
      </w:r>
    </w:p>
    <w:p>
      <w:pPr>
        <w:pStyle w:val="BodyText"/>
        <w:rPr/>
      </w:pPr>
      <w:r>
        <w:rPr/>
        <w:t>La Chambre Scientifique-Éducative incarne la dimension cognitive et prospective du protocole. Elle gère l'éducation, la recherche fondamentale et l'innovation appliquée.</w:t>
      </w:r>
    </w:p>
    <w:p>
      <w:pPr>
        <w:pStyle w:val="BodyText"/>
        <w:rPr/>
      </w:pPr>
      <w:r>
        <w:rPr/>
      </w:r>
    </w:p>
    <w:p>
      <w:pPr>
        <w:pStyle w:val="Heading4"/>
        <w:numPr>
          <w:ilvl w:val="3"/>
          <w:numId w:val="3"/>
        </w:numPr>
        <w:ind w:hanging="0" w:left="0"/>
        <w:rPr/>
      </w:pPr>
      <w:r>
        <w:rPr>
          <w:rStyle w:val="Strong"/>
          <w:b/>
          <w:bCs/>
        </w:rPr>
        <w:t>Axiome 4.6 (Économie de la connaissance ouverte).</w:t>
      </w:r>
    </w:p>
    <w:p>
      <w:pPr>
        <w:pStyle w:val="BodyText"/>
        <w:rPr/>
      </w:pPr>
      <w:r>
        <w:rPr/>
        <w:t>Dans IRIS, la connaissance circule sans monnaie d'usage (U), selon le principe que le savoir est un bien commun non-rivalitaire : ma consommation de connaissance ne réduit pas la tienne.</w:t>
      </w:r>
    </w:p>
    <w:p>
      <w:pPr>
        <w:pStyle w:val="Heading4"/>
        <w:numPr>
          <w:ilvl w:val="3"/>
          <w:numId w:val="3"/>
        </w:numPr>
        <w:ind w:hanging="0" w:left="0"/>
        <w:rPr/>
      </w:pPr>
      <w:r>
        <w:rPr/>
        <w:t>Fonction 1 : Éducation</w:t>
      </w:r>
    </w:p>
    <w:p>
      <w:pPr>
        <w:pStyle w:val="BodyText"/>
        <w:rPr/>
      </w:pPr>
      <w:r>
        <w:rPr/>
        <w:t>L'émission de NFT-Programmes couvre les contenus éducatifs (cours, formations, certifications).</w:t>
      </w:r>
    </w:p>
    <w:p>
      <w:pPr>
        <w:pStyle w:val="BodyText"/>
        <w:rPr/>
      </w:pPr>
      <w:r>
        <w:rPr/>
        <w:t>L'accès est gratuit pour tous CU (financé par budget de la chambre), et payant pour les CEtr (revenus rejoignant le Pool_chambre).</w:t>
      </w:r>
    </w:p>
    <w:p>
      <w:pPr>
        <w:pStyle w:val="BodyText"/>
        <w:rPr/>
      </w:pPr>
      <w:r>
        <w:rPr/>
        <w:t>Les niveaux incluent le primaire et le secondaire (obligatoire, financé intégralement), le supérieur (universités, grandes écoles), et la formation continue (reconversion, upskilling).</w:t>
      </w:r>
    </w:p>
    <w:p>
      <w:pPr>
        <w:pStyle w:val="BodyText"/>
        <w:rPr/>
      </w:pPr>
      <w:r>
        <w:rPr/>
        <w:t>La certification prend la forme de NFT-Diplôme (preuve de compétence, vérifiable), lié au CNP (trace éducative permanente).</w:t>
      </w:r>
    </w:p>
    <w:p>
      <w:pPr>
        <w:pStyle w:val="BodyText"/>
        <w:rPr/>
      </w:pPr>
      <w:r>
        <w:rPr/>
      </w:r>
    </w:p>
    <w:p>
      <w:pPr>
        <w:pStyle w:val="Heading4"/>
        <w:numPr>
          <w:ilvl w:val="3"/>
          <w:numId w:val="3"/>
        </w:numPr>
        <w:ind w:hanging="0" w:left="0"/>
        <w:rPr/>
      </w:pPr>
      <w:r>
        <w:rPr>
          <w:rStyle w:val="Strong"/>
          <w:b/>
          <w:bCs/>
        </w:rPr>
        <w:t>Proposition 4.14 (Éducation comme droit).</w:t>
      </w:r>
    </w:p>
    <w:p>
      <w:pPr>
        <w:pStyle w:val="BodyText"/>
        <w:rPr/>
      </w:pPr>
      <w:r>
        <w:rPr/>
        <w:t>Tous les contenus éducatifs de base sont accessibles gratuitement, financés par le budget collectif. Seules les formations spécialisées avancées peuvent être payantes (pour CEtr ou CU volontaires contribuant au-delà du gratuit).</w:t>
      </w:r>
    </w:p>
    <w:p>
      <w:pPr>
        <w:pStyle w:val="Heading4"/>
        <w:numPr>
          <w:ilvl w:val="3"/>
          <w:numId w:val="3"/>
        </w:numPr>
        <w:ind w:hanging="0" w:left="0"/>
        <w:rPr/>
      </w:pPr>
      <w:r>
        <w:rPr/>
        <w:t>Fonction 2 : Recherche et innovation</w:t>
      </w:r>
    </w:p>
    <w:p>
      <w:pPr>
        <w:pStyle w:val="BodyText"/>
        <w:rPr/>
      </w:pPr>
      <w:r>
        <w:rPr/>
        <w:t>L'émission de NFT-Bourses finance les projets de recherche (fondamentale, appliquée).</w:t>
      </w:r>
    </w:p>
    <w:p>
      <w:pPr>
        <w:pStyle w:val="BodyText"/>
        <w:rPr/>
      </w:pPr>
      <w:r>
        <w:rPr/>
        <w:t>L'attribution se fait par appel à projets (cycles trimestriels), évaluation par pairs (comité scientifique élu), et allocation de budget (V_recherche).</w:t>
      </w:r>
    </w:p>
    <w:p>
      <w:pPr>
        <w:pStyle w:val="BodyText"/>
        <w:rPr/>
      </w:pPr>
      <w:r>
        <w:rPr/>
        <w:t>Les chercheurs sont rémunérés en V (salaire recherche) et publient leurs résultats ouverts (pas de brevets privatifs).</w:t>
      </w:r>
    </w:p>
    <w:p>
      <w:pPr>
        <w:pStyle w:val="BodyText"/>
        <w:rPr/>
      </w:pPr>
      <w:r>
        <w:rPr/>
        <w:t>Pour les innovations : si une application commerciale est possible, la Chambre peut vendre une licence d'exploitation aux CE intéressés, et les revenus rejoignent le Pool_chambre (autofinancement partiel).</w:t>
      </w:r>
    </w:p>
    <w:p>
      <w:pPr>
        <w:pStyle w:val="BodyText"/>
        <w:rPr/>
      </w:pPr>
      <w:r>
        <w:rPr/>
      </w:r>
    </w:p>
    <w:p>
      <w:pPr>
        <w:pStyle w:val="Heading4"/>
        <w:numPr>
          <w:ilvl w:val="3"/>
          <w:numId w:val="3"/>
        </w:numPr>
        <w:ind w:hanging="0" w:left="0"/>
        <w:rPr/>
      </w:pPr>
      <w:r>
        <w:rPr>
          <w:rStyle w:val="Strong"/>
          <w:b/>
          <w:bCs/>
        </w:rPr>
        <w:t>Théorème 4.7 (Cercle vertueux innovation).</w:t>
      </w:r>
    </w:p>
    <w:p>
      <w:pPr>
        <w:pStyle w:val="BodyText"/>
        <w:rPr/>
      </w:pPr>
      <w:r>
        <w:rPr/>
        <w:t>La Chambre finance la recherche (dépense V), l'innovation est générée, la licence est vendue (rentrée V), puis le réinvestissement dans la recherche s'opère.</w:t>
      </w:r>
    </w:p>
    <w:p>
      <w:pPr>
        <w:pStyle w:val="BodyText"/>
        <w:rPr/>
      </w:pPr>
      <w:r>
        <w:rPr/>
        <w:t>Ce mécanisme réduit la dépendance au budget collectif : plus la Chambre innove, plus elle s'autofinance.</w:t>
      </w:r>
    </w:p>
    <w:p>
      <w:pPr>
        <w:pStyle w:val="BodyText"/>
        <w:rPr/>
      </w:pPr>
      <w:r>
        <w:rPr/>
      </w:r>
    </w:p>
    <w:p>
      <w:pPr>
        <w:pStyle w:val="Heading4"/>
        <w:numPr>
          <w:ilvl w:val="3"/>
          <w:numId w:val="3"/>
        </w:numPr>
        <w:ind w:hanging="0" w:left="0"/>
        <w:rPr/>
      </w:pPr>
      <w:r>
        <w:rPr>
          <w:rStyle w:val="Strong"/>
          <w:b/>
          <w:bCs/>
        </w:rPr>
        <w:t>Proposition 4.15 (Open source par défaut).</w:t>
      </w:r>
    </w:p>
    <w:p>
      <w:pPr>
        <w:pStyle w:val="BodyText"/>
        <w:rPr/>
      </w:pPr>
      <w:r>
        <w:rPr/>
        <w:t>Toutes recherches financées par la Chambre produisent des résultats open source (licences libres, publications ouvertes). Seules les applications commerciales spécifiques peuvent être licenciées (revenus de la chambre).</w:t>
      </w:r>
    </w:p>
    <w:p>
      <w:pPr>
        <w:pStyle w:val="Heading4"/>
        <w:numPr>
          <w:ilvl w:val="3"/>
          <w:numId w:val="3"/>
        </w:numPr>
        <w:ind w:hanging="0" w:left="0"/>
        <w:rPr/>
      </w:pPr>
      <w:r>
        <w:rPr/>
        <w:t>Composition et fonctionnement</w:t>
      </w:r>
    </w:p>
    <w:p>
      <w:pPr>
        <w:pStyle w:val="BodyText"/>
        <w:rPr/>
      </w:pPr>
      <w:r>
        <w:rPr/>
        <w:t>Les membres comprennent des chercheurs (toutes disciplines), des enseignants (primaire jusqu'au supérieur), et des ingénieurs pédagogiques (conception de contenus).</w:t>
      </w:r>
    </w:p>
    <w:p>
      <w:pPr>
        <w:pStyle w:val="BodyText"/>
        <w:rPr/>
      </w:pPr>
      <w:r>
        <w:rPr/>
        <w:t>La rémunération provient du budget collectif et des revenus de licences.</w:t>
      </w:r>
    </w:p>
    <w:p>
      <w:pPr>
        <w:pStyle w:val="BodyText"/>
        <w:rPr/>
      </w:pPr>
      <w:r>
        <w:rPr/>
        <w:t>Le nombre indicatif s'établit entre mille et trois mille membres (fonction exigeante).</w:t>
      </w:r>
    </w:p>
    <w:p>
      <w:pPr>
        <w:pStyle w:val="Heading3"/>
        <w:numPr>
          <w:ilvl w:val="2"/>
          <w:numId w:val="3"/>
        </w:numPr>
        <w:ind w:hanging="0" w:left="0"/>
        <w:rPr/>
      </w:pPr>
      <w:r>
        <w:rPr/>
        <w:t>4.2.5. Chambre Médicale : Santé et certification vitale</w:t>
      </w:r>
    </w:p>
    <w:p>
      <w:pPr>
        <w:pStyle w:val="BodyText"/>
        <w:rPr/>
      </w:pPr>
      <w:r>
        <w:rPr/>
      </w:r>
    </w:p>
    <w:p>
      <w:pPr>
        <w:pStyle w:val="Heading4"/>
        <w:numPr>
          <w:ilvl w:val="3"/>
          <w:numId w:val="3"/>
        </w:numPr>
        <w:ind w:hanging="0" w:left="0"/>
        <w:rPr/>
      </w:pPr>
      <w:r>
        <w:rPr>
          <w:rStyle w:val="Strong"/>
          <w:b/>
          <w:bCs/>
        </w:rPr>
        <w:t>Définition 4.14 (Chambre Médicale).</w:t>
      </w:r>
    </w:p>
    <w:p>
      <w:pPr>
        <w:pStyle w:val="BodyText"/>
        <w:rPr/>
      </w:pPr>
      <w:r>
        <w:rPr/>
        <w:t>La Chambre Médicale incarne la fonction biologique du système. Elle administre les soins, certifie les événements vitaux (naissances, décès) et gère les tutelles.</w:t>
      </w:r>
    </w:p>
    <w:p>
      <w:pPr>
        <w:pStyle w:val="BodyText"/>
        <w:rPr/>
      </w:pPr>
      <w:r>
        <w:rPr/>
      </w:r>
    </w:p>
    <w:p>
      <w:pPr>
        <w:pStyle w:val="Heading4"/>
        <w:numPr>
          <w:ilvl w:val="3"/>
          <w:numId w:val="3"/>
        </w:numPr>
        <w:ind w:hanging="0" w:left="0"/>
        <w:rPr/>
      </w:pPr>
      <w:r>
        <w:rPr>
          <w:rStyle w:val="Strong"/>
          <w:b/>
          <w:bCs/>
        </w:rPr>
        <w:t>Axiome 4.7 (Santé comme droit fondamental).</w:t>
      </w:r>
    </w:p>
    <w:p>
      <w:pPr>
        <w:pStyle w:val="BodyText"/>
        <w:rPr/>
      </w:pPr>
      <w:r>
        <w:rPr/>
        <w:t>Tous les soins essentiels sont gratuits (financés par budget collectif), seules les prestations optionnelles peuvent être payantes.</w:t>
      </w:r>
    </w:p>
    <w:p>
      <w:pPr>
        <w:pStyle w:val="Heading4"/>
        <w:numPr>
          <w:ilvl w:val="3"/>
          <w:numId w:val="3"/>
        </w:numPr>
        <w:ind w:hanging="0" w:left="0"/>
        <w:rPr/>
      </w:pPr>
      <w:r>
        <w:rPr/>
        <w:t>Fonction 1 : Certification des naissances</w:t>
      </w:r>
    </w:p>
    <w:p>
      <w:pPr>
        <w:pStyle w:val="BodyText"/>
        <w:rPr/>
      </w:pPr>
      <w:r>
        <w:rPr/>
        <w:t>L'émission de NFT-Naissance intervient lorsqu'une naissance est déclarée (hôpital, sage-femme, médecin).</w:t>
      </w:r>
    </w:p>
    <w:p>
      <w:pPr>
        <w:pStyle w:val="BodyText"/>
        <w:rPr/>
      </w:pPr>
      <w:r>
        <w:rPr/>
        <w:t>La Chambre Médicale vérifie l'authenticité de l'acte médical et identifie les parents (TU existants).</w:t>
      </w:r>
    </w:p>
    <w:p>
      <w:pPr>
        <w:pStyle w:val="BodyText"/>
        <w:rPr/>
      </w:pPr>
      <w:r>
        <w:rPr/>
        <w:t>La création d'un Compte à Naissance (CAN) comprend la génération du TU_enfant (biométrie initiale : empreintes, ADN anonymisé), un Wallet inactif (aucun RU avant majorité, géré par tuteur), et un CNP vierge.</w:t>
      </w:r>
    </w:p>
    <w:p>
      <w:pPr>
        <w:pStyle w:val="BodyText"/>
        <w:rPr/>
      </w:pPr>
      <w:r>
        <w:rPr/>
        <w:t>La liaison de tutelle s'effectue par NFT-Tutelle vers les parent(s), avec contrôle total des finances de l'enfant jusqu'à la majorité (dix-huit ans).</w:t>
      </w:r>
    </w:p>
    <w:p>
      <w:pPr>
        <w:pStyle w:val="BodyText"/>
        <w:rPr/>
      </w:pPr>
      <w:r>
        <w:rPr/>
        <w:t>La notification est envoyée vers la Chambre Administrative (audit de cohérence), vers UR (mise à jour démographie N), et vers la Chambre Exécutive-Législative (enregistrement état-civil).</w:t>
      </w:r>
    </w:p>
    <w:p>
      <w:pPr>
        <w:pStyle w:val="BodyText"/>
        <w:rPr/>
      </w:pPr>
      <w:r>
        <w:rPr/>
      </w:r>
    </w:p>
    <w:p>
      <w:pPr>
        <w:pStyle w:val="Heading4"/>
        <w:numPr>
          <w:ilvl w:val="3"/>
          <w:numId w:val="3"/>
        </w:numPr>
        <w:ind w:hanging="0" w:left="0"/>
        <w:rPr/>
      </w:pPr>
      <w:r>
        <w:rPr>
          <w:rStyle w:val="Strong"/>
          <w:b/>
          <w:bCs/>
        </w:rPr>
        <w:t>Corollaire 4.3 (Absence de RU pour les mineurs).</w:t>
      </w:r>
    </w:p>
    <w:p>
      <w:pPr>
        <w:pStyle w:val="BodyText"/>
        <w:rPr/>
      </w:pPr>
      <w:r>
        <w:rPr/>
        <w:t>Les enfants ne reçoivent pas de RU (N_actifs exclut les mineurs), évitant une incitation nataliste perverse. Le RU commence à la majorité.</w:t>
      </w:r>
    </w:p>
    <w:p>
      <w:pPr>
        <w:pStyle w:val="Heading4"/>
        <w:numPr>
          <w:ilvl w:val="3"/>
          <w:numId w:val="3"/>
        </w:numPr>
        <w:ind w:hanging="0" w:left="0"/>
        <w:rPr/>
      </w:pPr>
      <w:r>
        <w:rPr/>
        <w:t>Fonction 2 : Certification des décès</w:t>
      </w:r>
    </w:p>
    <w:p>
      <w:pPr>
        <w:pStyle w:val="BodyText"/>
        <w:rPr/>
      </w:pPr>
      <w:r>
        <w:rPr/>
        <w:t>L'émission de NFT-Décès intervient lorsqu'un décès est déclaré (médecin, hôpital, pompes funèbres).</w:t>
      </w:r>
    </w:p>
    <w:p>
      <w:pPr>
        <w:pStyle w:val="BodyText"/>
        <w:rPr/>
      </w:pPr>
      <w:r>
        <w:rPr/>
        <w:t>La Chambre Médicale vérifie l'authenticité du certificat médical et que le TU_défunt existe.</w:t>
      </w:r>
    </w:p>
    <w:p>
      <w:pPr>
        <w:pStyle w:val="BodyText"/>
        <w:rPr/>
      </w:pPr>
      <w:r>
        <w:rPr/>
        <w:t>Le déclenchement de la succession s'opère alors : gel du TU_défunt, activation du testament cryptographique (si existe), notification vers la Chambre Exécutive-Législative (clôture CU), vers la Chambre Mémorielle (gestion patrimoine orphelin), et vers UR (mise à jour N).</w:t>
      </w:r>
    </w:p>
    <w:p>
      <w:pPr>
        <w:pStyle w:val="Heading4"/>
        <w:numPr>
          <w:ilvl w:val="3"/>
          <w:numId w:val="3"/>
        </w:numPr>
        <w:ind w:hanging="0" w:left="0"/>
        <w:rPr/>
      </w:pPr>
      <w:r>
        <w:rPr/>
        <w:t>Fonction 3 : Gestion des tutelles</w:t>
      </w:r>
    </w:p>
    <w:p>
      <w:pPr>
        <w:pStyle w:val="BodyText"/>
        <w:rPr/>
      </w:pPr>
      <w:r>
        <w:rPr/>
        <w:t>L'émission de NFT-Tutelle concerne les cas suivants : mineurs (parents tuteurs légaux), personnes incapables (handicap mental, démence), et curatelle renforcée (addictions, prodigalité).</w:t>
      </w:r>
    </w:p>
    <w:p>
      <w:pPr>
        <w:pStyle w:val="BodyText"/>
        <w:rPr/>
      </w:pPr>
      <w:r>
        <w:rPr/>
        <w:t>La désignation du tuteur s'effectue par vote familial (si famille) OU par décision de la Chambre Exécutive-Législative (si tuteur professionnel).</w:t>
      </w:r>
    </w:p>
    <w:p>
      <w:pPr>
        <w:pStyle w:val="BodyText"/>
        <w:rPr/>
      </w:pPr>
      <w:r>
        <w:rPr/>
        <w:t>Les pouvoirs du tuteur incluent la gestion du Wallet (dépenses, conversions V→U), la signature des transactions (avec limite : pas de vente du patrimoine sans autorisation du juge), et la représentation légale.</w:t>
      </w:r>
    </w:p>
    <w:p>
      <w:pPr>
        <w:pStyle w:val="BodyText"/>
        <w:rPr/>
      </w:pPr>
      <w:r>
        <w:rPr/>
        <w:t>Le contrôle comprend un audit annuel par la Chambre Exécutive-Législative (pas d'abus) et la révocabilité (si tuteur défaillant).</w:t>
      </w:r>
    </w:p>
    <w:p>
      <w:pPr>
        <w:pStyle w:val="BodyText"/>
        <w:rPr/>
      </w:pPr>
      <w:r>
        <w:rPr/>
      </w:r>
    </w:p>
    <w:p>
      <w:pPr>
        <w:pStyle w:val="Heading4"/>
        <w:numPr>
          <w:ilvl w:val="3"/>
          <w:numId w:val="3"/>
        </w:numPr>
        <w:ind w:hanging="0" w:left="0"/>
        <w:rPr/>
      </w:pPr>
      <w:r>
        <w:rPr>
          <w:rStyle w:val="Strong"/>
          <w:b/>
          <w:bCs/>
        </w:rPr>
        <w:t>Théorème 4.8 (Protection des vulnérables).</w:t>
      </w:r>
    </w:p>
    <w:p>
      <w:pPr>
        <w:pStyle w:val="BodyText"/>
        <w:rPr/>
      </w:pPr>
      <w:r>
        <w:rPr/>
        <w:t>La tutelle garantit que les personnes incapables de gérer leur compte conservent leurs droits (RU, patrimoine) sans risque de spoliation.</w:t>
      </w:r>
    </w:p>
    <w:p>
      <w:pPr>
        <w:pStyle w:val="Heading4"/>
        <w:numPr>
          <w:ilvl w:val="3"/>
          <w:numId w:val="3"/>
        </w:numPr>
        <w:ind w:hanging="0" w:left="0"/>
        <w:rPr/>
      </w:pPr>
      <w:r>
        <w:rPr/>
        <w:t>Composition et fonctionnement</w:t>
      </w:r>
    </w:p>
    <w:p>
      <w:pPr>
        <w:pStyle w:val="BodyText"/>
        <w:rPr/>
      </w:pPr>
      <w:r>
        <w:rPr/>
        <w:t>Les membres comprennent des médecins (toutes spécialités), des infirmiers et aides-soignants, des psychologues et psychiatres, et des administratifs de santé.</w:t>
      </w:r>
    </w:p>
    <w:p>
      <w:pPr>
        <w:pStyle w:val="BodyText"/>
        <w:rPr/>
      </w:pPr>
      <w:r>
        <w:rPr/>
        <w:t>La rémunération provient du budget collectif (le plus élevé avec la Chambre Exécutive-Législative).</w:t>
      </w:r>
    </w:p>
    <w:p>
      <w:pPr>
        <w:pStyle w:val="BodyText"/>
        <w:rPr/>
      </w:pPr>
      <w:r>
        <w:rPr/>
        <w:t>Le nombre indicatif s'établit entre deux mille et cinq mille membres (fonction critique).</w:t>
      </w:r>
    </w:p>
    <w:p>
      <w:pPr>
        <w:pStyle w:val="Heading2"/>
        <w:numPr>
          <w:ilvl w:val="1"/>
          <w:numId w:val="3"/>
        </w:numPr>
        <w:ind w:hanging="0" w:left="0"/>
        <w:rPr/>
      </w:pPr>
      <w:r>
        <w:rPr/>
        <w:t>4.3. Confidentialité et séparation des rôles.</w:t>
      </w:r>
    </w:p>
    <w:p>
      <w:pPr>
        <w:pStyle w:val="BodyText"/>
        <w:rPr/>
      </w:pPr>
      <w:r>
        <w:rPr/>
      </w:r>
    </w:p>
    <w:p>
      <w:pPr>
        <w:pStyle w:val="Heading4"/>
        <w:numPr>
          <w:ilvl w:val="3"/>
          <w:numId w:val="3"/>
        </w:numPr>
        <w:ind w:hanging="0" w:left="0"/>
        <w:rPr/>
      </w:pPr>
      <w:r>
        <w:rPr>
          <w:rStyle w:val="Strong"/>
          <w:b/>
          <w:bCs/>
        </w:rPr>
        <w:t>Théorème 4.9 (Principe de spécialisation informationnelle).</w:t>
      </w:r>
    </w:p>
    <w:p>
      <w:pPr>
        <w:pStyle w:val="BodyText"/>
        <w:rPr/>
      </w:pPr>
      <w:r>
        <w:rPr/>
        <w:t>Aucune chambre ne détient l'intégralité de l'information. Chaque donnée est fragmentée selon le besoin fonctionnel.</w:t>
      </w:r>
    </w:p>
    <w:p>
      <w:pPr>
        <w:pStyle w:val="BodyText"/>
        <w:rPr/>
      </w:pPr>
      <w:r>
        <w:rPr/>
        <w:t>La distribution des données s'opère selon le tableau suivant. Les arbres de transactions sont accessibles à la Chambre Administrative (anonymisés) uniquement. Les identités nominatives sont réservées à la Chambre Exécutive-Législative et partiellement à la Chambre Médicale. Le patrimoine NFT est géré par la Chambre Mémorielle exclusivement. Les dossiers médicaux appartiennent à la Chambre Médicale seule. Les naissances et décès sont validés par la Chambre Exécutive-Législative, gérés patrimonialement par la Chambre Mémorielle, et certifiés à la source par la Chambre Médicale.</w:t>
      </w:r>
    </w:p>
    <w:p>
      <w:pPr>
        <w:pStyle w:val="BodyText"/>
        <w:rPr/>
      </w:pPr>
      <w:r>
        <w:rPr/>
      </w:r>
    </w:p>
    <w:p>
      <w:pPr>
        <w:pStyle w:val="Heading4"/>
        <w:numPr>
          <w:ilvl w:val="3"/>
          <w:numId w:val="3"/>
        </w:numPr>
        <w:ind w:hanging="0" w:left="0"/>
        <w:rPr/>
      </w:pPr>
      <w:r>
        <w:rPr>
          <w:rStyle w:val="Strong"/>
          <w:b/>
          <w:bCs/>
        </w:rPr>
        <w:t>Proposition 4.16 (Circulation contrôlée).</w:t>
      </w:r>
    </w:p>
    <w:p>
      <w:pPr>
        <w:pStyle w:val="BodyText"/>
        <w:rPr/>
      </w:pPr>
      <w:r>
        <w:rPr/>
        <w:t>Les données circulent entre chambres uniquement via des protocoles sécurisés : chiffrement bout-en-bout, logs immuables (traçabilité des accès), et autorisations granulaires (besoin de savoir strict).</w:t>
      </w:r>
    </w:p>
    <w:p>
      <w:pPr>
        <w:pStyle w:val="BodyText"/>
        <w:rPr/>
      </w:pPr>
      <w:r>
        <w:rPr/>
        <w:t>Par exemple : la Chambre Administrative détecte une anomalie (TU_A et TU_B suspects). Elle envoie à la Chambre Exécutive-Législative uniquement les hashs anonymisés et les arbres de transactions. La Chambre Exécutive-Législative croise avec UR (identités nominatives) et décide d'enquêter. Elle ne partage l'identité qu'avec la Chambre Médicale si nécessaire (exemple : vérification biométrique pour doublon).</w:t>
      </w:r>
    </w:p>
    <w:p>
      <w:pPr>
        <w:pStyle w:val="BodyText"/>
        <w:rPr/>
      </w:pPr>
      <w:r>
        <w:rPr/>
      </w:r>
    </w:p>
    <w:p>
      <w:pPr>
        <w:pStyle w:val="Heading4"/>
        <w:numPr>
          <w:ilvl w:val="3"/>
          <w:numId w:val="3"/>
        </w:numPr>
        <w:ind w:hanging="0" w:left="0"/>
        <w:rPr/>
      </w:pPr>
      <w:r>
        <w:rPr>
          <w:rStyle w:val="Strong"/>
          <w:b/>
          <w:bCs/>
        </w:rPr>
        <w:t>Théorème 4.10 (Impossibilité de la surveillance totale).</w:t>
      </w:r>
    </w:p>
    <w:p>
      <w:pPr>
        <w:pStyle w:val="BodyText"/>
        <w:rPr/>
      </w:pPr>
      <w:r>
        <w:rPr/>
        <w:t>Par construction, aucune entité (chambre, utilisateur, attaquant externe) ne peut reconstituer le profil complet d'un utilisateur sans : l'accès simultané à plusieurs chambres (difficile, requiert collusion), les clefs privées de l'utilisateur (détenues localement uniquement), et une autorisation judiciaire explicite (NFT-Jugement motivé, traçable).</w:t>
      </w:r>
    </w:p>
    <w:p>
      <w:pPr>
        <w:pStyle w:val="BodyText"/>
        <w:rPr/>
      </w:pPr>
      <w:r>
        <w:rPr/>
        <w:t>Cette architecture garantit l'auditabilité publique (flux globaux transparents) et la confidentialité individuelle (détails privés protégés).</w:t>
      </w:r>
    </w:p>
    <w:p>
      <w:pPr>
        <w:pStyle w:val="BodyText"/>
        <w:rPr/>
      </w:pPr>
      <w:r>
        <w:rPr/>
      </w:r>
    </w:p>
    <w:p>
      <w:pPr>
        <w:pStyle w:val="Heading2"/>
        <w:numPr>
          <w:ilvl w:val="1"/>
          <w:numId w:val="3"/>
        </w:numPr>
        <w:ind w:hanging="0" w:left="0"/>
        <w:rPr/>
      </w:pPr>
      <w:r>
        <w:rPr/>
        <w:t>4.4. Amorçage et constitution des chambres.</w:t>
      </w:r>
    </w:p>
    <w:p>
      <w:pPr>
        <w:pStyle w:val="BodyText"/>
        <w:rPr/>
      </w:pPr>
      <w:r>
        <w:rPr/>
      </w:r>
    </w:p>
    <w:p>
      <w:pPr>
        <w:pStyle w:val="Heading4"/>
        <w:numPr>
          <w:ilvl w:val="3"/>
          <w:numId w:val="3"/>
        </w:numPr>
        <w:ind w:hanging="0" w:left="0"/>
        <w:rPr/>
      </w:pPr>
      <w:r>
        <w:rPr>
          <w:rStyle w:val="Strong"/>
          <w:b/>
          <w:bCs/>
        </w:rPr>
        <w:t>Définition 4.15 (Phase d'amorçage).</w:t>
      </w:r>
    </w:p>
    <w:p>
      <w:pPr>
        <w:pStyle w:val="BodyText"/>
        <w:rPr/>
      </w:pPr>
      <w:r>
        <w:rPr/>
        <w:t>Période initiale (typiquement six à douze cycles) durant laquelle les chambres se constituent et se coordonnent avant fonctionnement autonome.</w:t>
      </w:r>
    </w:p>
    <w:p>
      <w:pPr>
        <w:pStyle w:val="BodyText"/>
        <w:rPr/>
      </w:pPr>
      <w:r>
        <w:rPr/>
      </w:r>
    </w:p>
    <w:p>
      <w:pPr>
        <w:pStyle w:val="Heading3"/>
        <w:numPr>
          <w:ilvl w:val="2"/>
          <w:numId w:val="3"/>
        </w:numPr>
        <w:ind w:hanging="0" w:left="0"/>
        <w:rPr/>
      </w:pPr>
      <w:r>
        <w:rPr/>
        <w:t>4.4.1. Processus électif</w:t>
      </w:r>
    </w:p>
    <w:p>
      <w:pPr>
        <w:pStyle w:val="BodyText"/>
        <w:rPr/>
      </w:pPr>
      <w:r>
        <w:rPr/>
      </w:r>
    </w:p>
    <w:p>
      <w:pPr>
        <w:pStyle w:val="Heading4"/>
        <w:numPr>
          <w:ilvl w:val="3"/>
          <w:numId w:val="3"/>
        </w:numPr>
        <w:ind w:hanging="0" w:left="0"/>
        <w:rPr/>
      </w:pPr>
      <w:r>
        <w:rPr>
          <w:rStyle w:val="Strong"/>
          <w:b/>
          <w:bCs/>
        </w:rPr>
        <w:t>Axiome 4.8 (Un vivant, une voix).</w:t>
      </w:r>
    </w:p>
    <w:p>
      <w:pPr>
        <w:pStyle w:val="BodyText"/>
        <w:rPr/>
      </w:pPr>
      <w:r>
        <w:rPr/>
        <w:t>Chaque CU détenant un TU/VC valide dispose d'un droit de vote égalitaire, indépendamment de son patrimoine, ancienneté ou statut.</w:t>
      </w:r>
    </w:p>
    <w:p>
      <w:pPr>
        <w:pStyle w:val="BodyText"/>
        <w:rPr/>
      </w:pPr>
      <w:r>
        <w:rPr/>
      </w:r>
    </w:p>
    <w:p>
      <w:pPr>
        <w:pStyle w:val="Heading4"/>
        <w:numPr>
          <w:ilvl w:val="3"/>
          <w:numId w:val="3"/>
        </w:numPr>
        <w:ind w:hanging="0" w:left="0"/>
        <w:rPr/>
      </w:pPr>
      <w:r>
        <w:rPr>
          <w:rStyle w:val="Strong"/>
          <w:b/>
          <w:bCs/>
        </w:rPr>
        <w:t>Proposition 4.17 (Élection des Organisateurs fondateurs).</w:t>
      </w:r>
    </w:p>
    <w:p>
      <w:pPr>
        <w:pStyle w:val="BodyText"/>
        <w:rPr/>
      </w:pPr>
      <w:r>
        <w:rPr/>
        <w:t>Les candidatures sont ouvertes (tous CU peuvent se porter candidats). Les critères recommandés (non obligatoires) varient selon les chambres : pour la Chambre Administrative, auditeurs et experts blockchain ; pour la Chambre Exécutive-Législative, juristes, magistrats et forces de l'ordre ; pour la Chambre Mémorielle, notaires et experts immobiliers ; pour la Chambre Scientifique-Éducative, chercheurs et enseignants ; pour la Chambre Médicale, médecins et infirmiers.</w:t>
      </w:r>
    </w:p>
    <w:p>
      <w:pPr>
        <w:pStyle w:val="BodyText"/>
        <w:rPr/>
      </w:pPr>
      <w:r>
        <w:rPr/>
        <w:t>Le vote s'opère ainsi : un CU égale une voix, scrutin proportionnel (chaque chambre : cinquante à cent membres initiaux), durée de mandat de trois cycles (renouvellement partiel ensuite).</w:t>
      </w:r>
    </w:p>
    <w:p>
      <w:pPr>
        <w:pStyle w:val="BodyText"/>
        <w:rPr/>
      </w:pPr>
      <w:r>
        <w:rPr/>
        <w:t>Le résultat produit cinquante à cent Organisateurs fondateurs par chambre, formant la DAO interne (gouvernance de la chambre).</w:t>
      </w:r>
    </w:p>
    <w:p>
      <w:pPr>
        <w:pStyle w:val="BodyText"/>
        <w:rPr/>
      </w:pPr>
      <w:r>
        <w:rPr/>
      </w:r>
    </w:p>
    <w:p>
      <w:pPr>
        <w:pStyle w:val="Heading4"/>
        <w:numPr>
          <w:ilvl w:val="3"/>
          <w:numId w:val="3"/>
        </w:numPr>
        <w:ind w:hanging="0" w:left="0"/>
        <w:rPr/>
      </w:pPr>
      <w:r>
        <w:rPr>
          <w:rStyle w:val="Strong"/>
          <w:b/>
          <w:bCs/>
        </w:rPr>
        <w:t>Corollaire 4.4 (Nature contributive).</w:t>
      </w:r>
    </w:p>
    <w:p>
      <w:pPr>
        <w:pStyle w:val="BodyText"/>
        <w:rPr/>
      </w:pPr>
      <w:r>
        <w:rPr/>
        <w:t>Les Organisateurs ne sont pas des « élus professionnels » mais des contributeurs spécialisés rémunérés pour leur travail. Tout CU peut devenir Organisateur s'il possède les compétences et obtient les votes.</w:t>
      </w:r>
    </w:p>
    <w:p>
      <w:pPr>
        <w:pStyle w:val="BodyText"/>
        <w:rPr/>
      </w:pPr>
      <w:r>
        <w:rPr/>
      </w:r>
    </w:p>
    <w:p>
      <w:pPr>
        <w:pStyle w:val="Heading3"/>
        <w:numPr>
          <w:ilvl w:val="2"/>
          <w:numId w:val="3"/>
        </w:numPr>
        <w:ind w:hanging="0" w:left="0"/>
        <w:rPr/>
      </w:pPr>
      <w:r>
        <w:rPr/>
        <w:t>4.4.2. Constitution progressive</w:t>
      </w:r>
    </w:p>
    <w:p>
      <w:pPr>
        <w:pStyle w:val="BodyText"/>
        <w:rPr/>
      </w:pPr>
      <w:r>
        <w:rPr/>
      </w:r>
    </w:p>
    <w:p>
      <w:pPr>
        <w:pStyle w:val="BodyText"/>
        <w:rPr/>
      </w:pPr>
      <w:r>
        <w:rPr>
          <w:rStyle w:val="Strong"/>
        </w:rPr>
        <w:t>Phase 1 : Recrutement (Cycles 1-3)</w:t>
      </w:r>
    </w:p>
    <w:p>
      <w:pPr>
        <w:pStyle w:val="BodyText"/>
        <w:rPr/>
      </w:pPr>
      <w:r>
        <w:rPr/>
        <w:t>Les Organisateurs fondateurs recrutent des collaborateurs : Wallets professionnels connectés à la chambre, contrats de collaboration (rémunération V cyclique), et formation interne (standards, protocoles).</w:t>
      </w:r>
    </w:p>
    <w:p>
      <w:pPr>
        <w:pStyle w:val="BodyText"/>
        <w:rPr/>
      </w:pPr>
      <w:r>
        <w:rPr/>
        <w:t>Chaque chambre atteint deux cents à cinq cents membres actifs.</w:t>
      </w:r>
    </w:p>
    <w:p>
      <w:pPr>
        <w:pStyle w:val="BodyText"/>
        <w:rPr/>
      </w:pPr>
      <w:r>
        <w:rPr/>
      </w:r>
    </w:p>
    <w:p>
      <w:pPr>
        <w:pStyle w:val="BodyText"/>
        <w:rPr/>
      </w:pPr>
      <w:r>
        <w:rPr>
          <w:rStyle w:val="Strong"/>
        </w:rPr>
        <w:t>Phase 2 : Élection des Représentants (Cycle 4)</w:t>
      </w:r>
    </w:p>
    <w:p>
      <w:pPr>
        <w:pStyle w:val="BodyText"/>
        <w:rPr/>
      </w:pPr>
      <w:r>
        <w:rPr/>
        <w:t>La DAO interne de chaque chambre élit un Représentant : vote des membres de la chambre (un membre égale une voix), mandat de six cycles (renouvelable).</w:t>
      </w:r>
    </w:p>
    <w:p>
      <w:pPr>
        <w:pStyle w:val="BodyText"/>
        <w:rPr/>
      </w:pPr>
      <w:r>
        <w:rPr/>
        <w:t>Les cinq Représentants forment le Conseil des Cinq.</w:t>
      </w:r>
    </w:p>
    <w:p>
      <w:pPr>
        <w:pStyle w:val="BodyText"/>
        <w:rPr/>
      </w:pPr>
      <w:r>
        <w:rPr/>
      </w:r>
    </w:p>
    <w:p>
      <w:pPr>
        <w:pStyle w:val="BodyText"/>
        <w:rPr/>
      </w:pPr>
      <w:r>
        <w:rPr>
          <w:rStyle w:val="Strong"/>
        </w:rPr>
        <w:t>Phase 3 : Premier budget (Cycles 5-6)</w:t>
      </w:r>
    </w:p>
    <w:p>
      <w:pPr>
        <w:pStyle w:val="BodyText"/>
        <w:rPr/>
      </w:pPr>
      <w:r>
        <w:rPr/>
        <w:t>Le Conseil des Cinq élabore le budget consolidé : répartition de V_total entre les cinq chambres, basée sur les besoins fonctionnels (salaires, équipements), les projets prioritaires (infrastructure, urgences), et les revenus propres (Chambre Scientifique-Éducative, Chambre Mémorielle).</w:t>
      </w:r>
    </w:p>
    <w:p>
      <w:pPr>
        <w:pStyle w:val="BodyText"/>
        <w:rPr/>
      </w:pPr>
      <w:r>
        <w:rPr/>
        <w:t>Le vote citoyen ratifie (majorité simple cinquante pour cent plus un).</w:t>
      </w:r>
    </w:p>
    <w:p>
      <w:pPr>
        <w:pStyle w:val="BodyText"/>
        <w:rPr/>
      </w:pPr>
      <w:r>
        <w:rPr/>
        <w:t>Si accepté, le budget s'applique au cycle suivant. Sinon, renvoi au Conseil (réécriture).</w:t>
      </w:r>
    </w:p>
    <w:p>
      <w:pPr>
        <w:pStyle w:val="BodyText"/>
        <w:rPr/>
      </w:pPr>
      <w:r>
        <w:rPr/>
      </w:r>
    </w:p>
    <w:p>
      <w:pPr>
        <w:pStyle w:val="Heading4"/>
        <w:numPr>
          <w:ilvl w:val="3"/>
          <w:numId w:val="3"/>
        </w:numPr>
        <w:ind w:hanging="0" w:left="0"/>
        <w:rPr/>
      </w:pPr>
      <w:r>
        <w:rPr>
          <w:rStyle w:val="Strong"/>
          <w:b/>
          <w:bCs/>
        </w:rPr>
        <w:t>Théorème 4.11 (Légitimité circulaire).</w:t>
      </w:r>
    </w:p>
    <w:p>
      <w:pPr>
        <w:pStyle w:val="BodyText"/>
        <w:rPr/>
      </w:pPr>
      <w:r>
        <w:rPr/>
        <w:t>La légitimité circule dans les deux sens. De bas en haut : citoyens élisent Organisateurs, Organisateurs élisent Représentants. De haut en bas : Conseil propose budget, citoyens ratifient, chambres exécutent.</w:t>
      </w:r>
    </w:p>
    <w:p>
      <w:pPr>
        <w:pStyle w:val="BodyText"/>
        <w:rPr/>
      </w:pPr>
      <w:r>
        <w:rPr/>
        <w:t>Cette double circulation évite l'oligarchie (pouvoir auto-entretenu) et la démagogie (décisions populistes court-termistes).</w:t>
      </w:r>
    </w:p>
    <w:p>
      <w:pPr>
        <w:pStyle w:val="Heading2"/>
        <w:numPr>
          <w:ilvl w:val="1"/>
          <w:numId w:val="3"/>
        </w:numPr>
        <w:ind w:hanging="0" w:left="0"/>
        <w:rPr/>
      </w:pPr>
      <w:r>
        <w:rPr/>
        <w:t>4.5. Le Conseil des Cinq : coordination sans domination.</w:t>
      </w:r>
    </w:p>
    <w:p>
      <w:pPr>
        <w:pStyle w:val="BodyText"/>
        <w:rPr/>
      </w:pPr>
      <w:r>
        <w:rPr/>
      </w:r>
    </w:p>
    <w:p>
      <w:pPr>
        <w:pStyle w:val="Heading4"/>
        <w:numPr>
          <w:ilvl w:val="3"/>
          <w:numId w:val="3"/>
        </w:numPr>
        <w:ind w:hanging="0" w:left="0"/>
        <w:rPr/>
      </w:pPr>
      <w:r>
        <w:rPr>
          <w:rStyle w:val="Strong"/>
          <w:b/>
          <w:bCs/>
        </w:rPr>
        <w:t>Définition 4.16 (Conseil des Cinq).</w:t>
      </w:r>
    </w:p>
    <w:p>
      <w:pPr>
        <w:pStyle w:val="BodyText"/>
        <w:rPr/>
      </w:pPr>
      <w:r>
        <w:rPr/>
        <w:t>Organe de coordination réunissant les cinq Représentants de chambres. Il ne gouverne pas : il synchronise.</w:t>
      </w:r>
    </w:p>
    <w:p>
      <w:pPr>
        <w:pStyle w:val="BodyText"/>
        <w:rPr/>
      </w:pPr>
      <w:r>
        <w:rPr/>
      </w:r>
    </w:p>
    <w:p>
      <w:pPr>
        <w:pStyle w:val="Heading4"/>
        <w:numPr>
          <w:ilvl w:val="3"/>
          <w:numId w:val="3"/>
        </w:numPr>
        <w:ind w:hanging="0" w:left="0"/>
        <w:rPr/>
      </w:pPr>
      <w:r>
        <w:rPr>
          <w:rStyle w:val="Strong"/>
          <w:b/>
          <w:bCs/>
        </w:rPr>
        <w:t>Axiome 4.9 (Pas de pouvoir exécutif propre).</w:t>
      </w:r>
    </w:p>
    <w:p>
      <w:pPr>
        <w:pStyle w:val="BodyText"/>
        <w:rPr/>
      </w:pPr>
      <w:r>
        <w:rPr/>
        <w:t>Le Conseil ne peut créer de lois (réservé à la Chambre Exécutive-Législative et au vote citoyen), modifier les budgets unilatéralement (requiert ratification citoyenne), ni intervenir dans les décisions internes des chambres (autonomie DAO).</w:t>
      </w:r>
    </w:p>
    <w:p>
      <w:pPr>
        <w:pStyle w:val="BodyText"/>
        <w:rPr/>
      </w:pPr>
      <w:r>
        <w:rPr/>
      </w:r>
    </w:p>
    <w:p>
      <w:pPr>
        <w:pStyle w:val="Heading4"/>
        <w:numPr>
          <w:ilvl w:val="3"/>
          <w:numId w:val="3"/>
        </w:numPr>
        <w:ind w:hanging="0" w:left="0"/>
        <w:rPr/>
      </w:pPr>
      <w:r>
        <w:rPr>
          <w:rStyle w:val="Strong"/>
          <w:b/>
          <w:bCs/>
        </w:rPr>
        <w:t>Proposition 4.18 (Fonctions du Conseil).</w:t>
      </w:r>
    </w:p>
    <w:p>
      <w:pPr>
        <w:pStyle w:val="BodyText"/>
        <w:rPr/>
      </w:pPr>
      <w:r>
        <w:rPr>
          <w:rStyle w:val="Strong"/>
        </w:rPr>
        <w:t>Première fonction : Élaboration du budget consolidé</w:t>
      </w:r>
    </w:p>
    <w:p>
      <w:pPr>
        <w:pStyle w:val="BodyText"/>
        <w:rPr/>
      </w:pPr>
      <w:r>
        <w:rPr/>
        <w:t>Chaque trimestre (quatre cycles), chaque Représentant présente les besoins de sa chambre : salaires prévus (nouveaux membres ?), projets spéciaux (infrastructures, recherche), et revenus propres anticipés (ventes CR, licences).</w:t>
      </w:r>
    </w:p>
    <w:p>
      <w:pPr>
        <w:pStyle w:val="BodyText"/>
        <w:rPr/>
      </w:pPr>
      <w:r>
        <w:rPr/>
        <w:t>La négociation collective répartit ∑V_budget selon les priorités. Typiquement : Chambre Médicale trente pour cent (fonction critique), Chambre Exécutive-Législative vingt-cinq pour cent (régalien), Chambre Scientifique-Éducative vingt pour cent (investissement futur), Chambre Administrative quinze pour cent (audit continu), Chambre Mémorielle dix pour cent (plus revenus propres).</w:t>
      </w:r>
    </w:p>
    <w:p>
      <w:pPr>
        <w:pStyle w:val="BodyText"/>
        <w:rPr/>
      </w:pPr>
      <w:r>
        <w:rPr/>
        <w:t>Le vote interne du Conseil (unanimité préférable, majorité trois sur cinq suffisante) précède la publication de la proposition budgétaire (transparence DHT).</w:t>
      </w:r>
    </w:p>
    <w:p>
      <w:pPr>
        <w:pStyle w:val="BodyText"/>
        <w:rPr/>
      </w:pPr>
      <w:r>
        <w:rPr/>
        <w:t>Le vote citoyen (un cycle de délibération, un cycle de vote) détermine l'issue. Si accepté (supérieur à cinquante pour cent), application au cycle suivant. Sinon, renvoi (amendements citoyens possibles).</w:t>
      </w:r>
    </w:p>
    <w:p>
      <w:pPr>
        <w:pStyle w:val="BodyText"/>
        <w:rPr/>
      </w:pPr>
      <w:r>
        <w:rPr/>
      </w:r>
    </w:p>
    <w:p>
      <w:pPr>
        <w:pStyle w:val="BodyText"/>
        <w:rPr/>
      </w:pPr>
      <w:r>
        <w:rPr>
          <w:rStyle w:val="Strong"/>
        </w:rPr>
        <w:t>Deuxième fonction : Coordination inter-chambres</w:t>
      </w:r>
    </w:p>
    <w:p>
      <w:pPr>
        <w:pStyle w:val="BodyText"/>
        <w:rPr/>
      </w:pPr>
      <w:r>
        <w:rPr/>
        <w:t>La résolution des conflits intervient si deux chambres sont en désaccord (exemple : Chambre Administrative signale anomalie, Chambre Exécutive-Législative refuse d'enquêter), le Conseil arbitre.</w:t>
      </w:r>
    </w:p>
    <w:p>
      <w:pPr>
        <w:pStyle w:val="BodyText"/>
        <w:rPr/>
      </w:pPr>
      <w:r>
        <w:rPr/>
        <w:t>Les projets transversaux sont coordonnés (exemple : infrastructure santé numérique, Chambre Médicale plus Chambre Scientifique-Éducative, Conseil coordonne budget partagé).</w:t>
      </w:r>
    </w:p>
    <w:p>
      <w:pPr>
        <w:pStyle w:val="BodyText"/>
        <w:rPr/>
      </w:pPr>
      <w:r>
        <w:rPr/>
        <w:t>En situations d'urgence (catastrophe, crise systémique), le Conseil peut proposer un budget exceptionnel (requiert toujours ratification citoyenne accélérée).</w:t>
      </w:r>
    </w:p>
    <w:p>
      <w:pPr>
        <w:pStyle w:val="BodyText"/>
        <w:rPr/>
      </w:pPr>
      <w:r>
        <w:rPr>
          <w:rStyle w:val="Strong"/>
        </w:rPr>
        <w:t>Troisième fonction : Proposition de Fédération Économique</w:t>
      </w:r>
    </w:p>
    <w:p>
      <w:pPr>
        <w:pStyle w:val="Heading4"/>
        <w:numPr>
          <w:ilvl w:val="3"/>
          <w:numId w:val="3"/>
        </w:numPr>
        <w:ind w:hanging="0" w:left="0"/>
        <w:rPr/>
      </w:pPr>
      <w:r>
        <w:rPr>
          <w:rStyle w:val="Strong"/>
          <w:b/>
          <w:bCs/>
        </w:rPr>
        <w:t>Définition 4.17 (Fédération Économique).</w:t>
      </w:r>
    </w:p>
    <w:p>
      <w:pPr>
        <w:pStyle w:val="BodyText"/>
        <w:rPr/>
      </w:pPr>
      <w:r>
        <w:rPr/>
        <w:t>Alliance entre plusieurs systèmes IRIS nationaux ou régionaux, permettant la circulation de V entre fédérés.</w:t>
      </w:r>
    </w:p>
    <w:p>
      <w:pPr>
        <w:pStyle w:val="BodyText"/>
        <w:rPr/>
      </w:pPr>
      <w:r>
        <w:rPr/>
      </w:r>
    </w:p>
    <w:p>
      <w:pPr>
        <w:pStyle w:val="Heading4"/>
        <w:numPr>
          <w:ilvl w:val="3"/>
          <w:numId w:val="3"/>
        </w:numPr>
        <w:ind w:hanging="0" w:left="0"/>
        <w:rPr/>
      </w:pPr>
      <w:r>
        <w:rPr>
          <w:rStyle w:val="Strong"/>
          <w:b/>
          <w:bCs/>
        </w:rPr>
        <w:t>Proposition 4.19 (Création Fédération).</w:t>
      </w:r>
    </w:p>
    <w:p>
      <w:pPr>
        <w:pStyle w:val="BodyText"/>
        <w:rPr/>
      </w:pPr>
      <w:r>
        <w:rPr/>
        <w:t>Les conditions exigent l'unanimité du Conseil des Cinq (cinq voix sur cinq), un vote citoyen en super-majorité (supérieur ou égal à soixante-six pour cent), et la réciprocité (l'autre système IRIS accepte aussi).</w:t>
      </w:r>
    </w:p>
    <w:p>
      <w:pPr>
        <w:pStyle w:val="BodyText"/>
        <w:rPr/>
      </w:pPr>
      <w:r>
        <w:rPr/>
        <w:t>Les effets incluent l'interopérabilité V (conversion selon taux de change établi par Oracles décentralisés), la reconnaissance mutuelle des NFT (achat d'un bien d'un système depuis l'autre), et la coordination des budgets (projets inter-fédéraux possibles).</w:t>
      </w:r>
    </w:p>
    <w:p>
      <w:pPr>
        <w:pStyle w:val="BodyText"/>
        <w:rPr/>
      </w:pPr>
      <w:r>
        <w:rPr/>
        <w:t>Les limites maintiennent que le RU reste national (pas de redistribution inter-systèmes) et la gouvernance autonome (chaque système garde ses chambres).</w:t>
      </w:r>
    </w:p>
    <w:p>
      <w:pPr>
        <w:pStyle w:val="BodyText"/>
        <w:rPr/>
      </w:pPr>
      <w:r>
        <w:rPr/>
      </w:r>
    </w:p>
    <w:p>
      <w:pPr>
        <w:pStyle w:val="Heading4"/>
        <w:numPr>
          <w:ilvl w:val="3"/>
          <w:numId w:val="3"/>
        </w:numPr>
        <w:ind w:hanging="0" w:left="0"/>
        <w:rPr/>
      </w:pPr>
      <w:r>
        <w:rPr>
          <w:rStyle w:val="Strong"/>
          <w:b/>
          <w:bCs/>
        </w:rPr>
        <w:t>Théorème 4.12 (Fédération optionnelle).</w:t>
      </w:r>
    </w:p>
    <w:p>
      <w:pPr>
        <w:pStyle w:val="BodyText"/>
        <w:rPr/>
      </w:pPr>
      <w:r>
        <w:rPr/>
        <w:t>Un système IRIS peut fonctionner indéfiniment en autarcie. La fédération est une option, non une nécessité.</w:t>
      </w:r>
    </w:p>
    <w:p>
      <w:pPr>
        <w:pStyle w:val="BodyText"/>
        <w:rPr/>
      </w:pPr>
      <w:r>
        <w:rPr/>
      </w:r>
    </w:p>
    <w:p>
      <w:pPr>
        <w:pStyle w:val="Heading2"/>
        <w:numPr>
          <w:ilvl w:val="1"/>
          <w:numId w:val="3"/>
        </w:numPr>
        <w:ind w:hanging="0" w:left="0"/>
        <w:rPr/>
      </w:pPr>
      <w:r>
        <w:rPr/>
        <w:t>4.6. Législation et contrôle citoyen.</w:t>
      </w:r>
    </w:p>
    <w:p>
      <w:pPr>
        <w:pStyle w:val="BodyText"/>
        <w:rPr/>
      </w:pPr>
      <w:r>
        <w:rPr/>
      </w:r>
    </w:p>
    <w:p>
      <w:pPr>
        <w:pStyle w:val="Heading3"/>
        <w:numPr>
          <w:ilvl w:val="2"/>
          <w:numId w:val="3"/>
        </w:numPr>
        <w:ind w:hanging="0" w:left="0"/>
        <w:rPr/>
      </w:pPr>
      <w:r>
        <w:rPr/>
        <w:t>4.6.1. Processus législatif (détail)</w:t>
      </w:r>
    </w:p>
    <w:p>
      <w:pPr>
        <w:pStyle w:val="BodyText"/>
        <w:rPr/>
      </w:pPr>
      <w:r>
        <w:rPr/>
      </w:r>
    </w:p>
    <w:p>
      <w:pPr>
        <w:pStyle w:val="Heading4"/>
        <w:numPr>
          <w:ilvl w:val="3"/>
          <w:numId w:val="3"/>
        </w:numPr>
        <w:ind w:hanging="0" w:left="0"/>
        <w:rPr/>
      </w:pPr>
      <w:r>
        <w:rPr>
          <w:rStyle w:val="Strong"/>
          <w:b/>
          <w:bCs/>
        </w:rPr>
        <w:t>Proposition 4.20 (Types de lois).</w:t>
      </w:r>
    </w:p>
    <w:p>
      <w:pPr>
        <w:pStyle w:val="BodyText"/>
        <w:rPr/>
      </w:pPr>
      <w:r>
        <w:rPr/>
        <w:t>Les lois structurelles (modifient les principes fondamentaux) requièrent une super-majorité de soixante-six pour cent. Exemples : modification de la répartition quarante/soixante des CE, bornes η/κ, durée des cycles T.</w:t>
      </w:r>
    </w:p>
    <w:p>
      <w:pPr>
        <w:pStyle w:val="BodyText"/>
        <w:rPr/>
      </w:pPr>
      <w:r>
        <w:rPr/>
        <w:t>Les lois ordinaires (règlements opérationnels) requièrent une majorité qualifiée de soixante pour cent. Exemples : normes NFT-Habitat, règles d'imports CEtr.</w:t>
      </w:r>
    </w:p>
    <w:p>
      <w:pPr>
        <w:pStyle w:val="BodyText"/>
        <w:rPr/>
      </w:pPr>
      <w:r>
        <w:rPr/>
        <w:t>Les lois d'urgence (réponse à une crise) requièrent l'unanimité du Conseil plus une majorité simple de cinquante pour cent plus un (vote accéléré, un cycle total). Leur durée est limitée (six cycles maximum, renouvellement si besoin).</w:t>
      </w:r>
    </w:p>
    <w:p>
      <w:pPr>
        <w:pStyle w:val="Heading3"/>
        <w:numPr>
          <w:ilvl w:val="2"/>
          <w:numId w:val="3"/>
        </w:numPr>
        <w:ind w:hanging="0" w:left="0"/>
        <w:rPr/>
      </w:pPr>
      <w:r>
        <w:rPr/>
        <w:t>4.6.2. Abrogation citoyenne</w:t>
      </w:r>
    </w:p>
    <w:p>
      <w:pPr>
        <w:pStyle w:val="BodyText"/>
        <w:rPr/>
      </w:pPr>
      <w:r>
        <w:rPr/>
      </w:r>
    </w:p>
    <w:p>
      <w:pPr>
        <w:pStyle w:val="Heading4"/>
        <w:numPr>
          <w:ilvl w:val="3"/>
          <w:numId w:val="3"/>
        </w:numPr>
        <w:ind w:hanging="0" w:left="0"/>
        <w:rPr/>
      </w:pPr>
      <w:r>
        <w:rPr>
          <w:rStyle w:val="Strong"/>
          <w:b/>
          <w:bCs/>
        </w:rPr>
        <w:t>Proposition 4.21 (Initiative populaire).</w:t>
      </w:r>
    </w:p>
    <w:p>
      <w:pPr>
        <w:pStyle w:val="BodyText"/>
        <w:rPr/>
      </w:pPr>
      <w:r>
        <w:rPr/>
        <w:t>N'importe quel CU peut proposer l'abrogation d'une loi existante : rédaction d'une pétition (motivation argumentée), collecte de signatures (supérieure ou égale à dix pour cent de N_CU actifs), délai de six cycles maximum pour atteindre le seuil.</w:t>
      </w:r>
    </w:p>
    <w:p>
      <w:pPr>
        <w:pStyle w:val="BodyText"/>
        <w:rPr/>
      </w:pPr>
      <w:r>
        <w:rPr/>
        <w:t>Si le seuil est atteint, le vote citoyen automatique (un cycle) intervient. La majorité simple (supérieure à cinquante pour cent) suffit pour abroger.</w:t>
      </w:r>
    </w:p>
    <w:p>
      <w:pPr>
        <w:pStyle w:val="BodyText"/>
        <w:rPr/>
      </w:pPr>
      <w:r>
        <w:rPr/>
        <w:t>Si l'abrogation est votée, la NFT-Loi est archivée (statut « Abrogée », date), et l'application est immédiate (cycle suivant).</w:t>
      </w:r>
    </w:p>
    <w:p>
      <w:pPr>
        <w:pStyle w:val="BodyText"/>
        <w:rPr/>
      </w:pPr>
      <w:r>
        <w:rPr/>
      </w:r>
    </w:p>
    <w:p>
      <w:pPr>
        <w:pStyle w:val="Heading4"/>
        <w:numPr>
          <w:ilvl w:val="3"/>
          <w:numId w:val="3"/>
        </w:numPr>
        <w:ind w:hanging="0" w:left="0"/>
        <w:rPr/>
      </w:pPr>
      <w:r>
        <w:rPr>
          <w:rStyle w:val="Strong"/>
          <w:b/>
          <w:bCs/>
        </w:rPr>
        <w:t>Théorème 4.13 (Souveraineté ultime citoyenne).</w:t>
      </w:r>
    </w:p>
    <w:p>
      <w:pPr>
        <w:pStyle w:val="BodyText"/>
        <w:rPr/>
      </w:pPr>
      <w:r>
        <w:rPr/>
        <w:t>Aucune loi n'est définitive. Toute NFT-Loi peut être révoquée par la volonté populaire, garantissant que le pouvoir législatif reste in fine entre les mains des vivants.</w:t>
      </w:r>
    </w:p>
    <w:p>
      <w:pPr>
        <w:pStyle w:val="BodyText"/>
        <w:rPr/>
      </w:pPr>
      <w:r>
        <w:rPr/>
      </w:r>
    </w:p>
    <w:p>
      <w:pPr>
        <w:pStyle w:val="Heading2"/>
        <w:numPr>
          <w:ilvl w:val="1"/>
          <w:numId w:val="3"/>
        </w:numPr>
        <w:ind w:hanging="0" w:left="0"/>
        <w:rPr/>
      </w:pPr>
      <w:r>
        <w:rPr/>
        <w:t>4.7. Financement : respiration économique.</w:t>
      </w:r>
    </w:p>
    <w:p>
      <w:pPr>
        <w:pStyle w:val="BodyText"/>
        <w:rPr/>
      </w:pPr>
      <w:r>
        <w:rPr/>
      </w:r>
    </w:p>
    <w:p>
      <w:pPr>
        <w:pStyle w:val="Heading4"/>
        <w:numPr>
          <w:ilvl w:val="3"/>
          <w:numId w:val="3"/>
        </w:numPr>
        <w:ind w:hanging="0" w:left="0"/>
        <w:rPr/>
      </w:pPr>
      <w:r>
        <w:rPr>
          <w:rStyle w:val="Strong"/>
          <w:b/>
          <w:bCs/>
        </w:rPr>
        <w:t>Axiome 4.10 (Financement par circulation, non extraction).</w:t>
      </w:r>
    </w:p>
    <w:p>
      <w:pPr>
        <w:pStyle w:val="BodyText"/>
        <w:rPr/>
      </w:pPr>
      <w:r>
        <w:rPr/>
        <w:t>Les chambres ne prélèvent pas la richesse (pas d'impôt confiscatoire), elles reçoivent une fraction du flux collectif.</w:t>
      </w:r>
    </w:p>
    <w:p>
      <w:pPr>
        <w:pStyle w:val="Heading3"/>
        <w:numPr>
          <w:ilvl w:val="2"/>
          <w:numId w:val="3"/>
        </w:numPr>
        <w:ind w:hanging="0" w:left="0"/>
        <w:rPr/>
      </w:pPr>
      <w:r>
        <w:rPr/>
        <w:t>4.7.1. Sources de financement</w:t>
      </w:r>
    </w:p>
    <w:p>
      <w:pPr>
        <w:pStyle w:val="BodyText"/>
        <w:rPr/>
      </w:pPr>
      <w:r>
        <w:rPr/>
      </w:r>
    </w:p>
    <w:p>
      <w:pPr>
        <w:pStyle w:val="BodyText"/>
        <w:rPr/>
      </w:pPr>
      <w:r>
        <w:rPr>
          <w:rStyle w:val="Strong"/>
        </w:rPr>
        <w:t>Source 1 : Abonnement public (conversion U→V automatique)</w:t>
      </w:r>
    </w:p>
    <w:p>
      <w:pPr>
        <w:pStyle w:val="Heading4"/>
        <w:numPr>
          <w:ilvl w:val="3"/>
          <w:numId w:val="3"/>
        </w:numPr>
        <w:ind w:hanging="0" w:left="0"/>
        <w:rPr/>
      </w:pPr>
      <w:r>
        <w:rPr>
          <w:rStyle w:val="Strong"/>
          <w:b/>
          <w:bCs/>
        </w:rPr>
        <w:t>Proposition 4.22 (Contribution universelle).</w:t>
      </w:r>
    </w:p>
    <w:p>
      <w:pPr>
        <w:pStyle w:val="BodyText"/>
        <w:rPr/>
      </w:pPr>
      <w:r>
        <w:rPr/>
        <w:t>Chaque cycle, une fraction α_public du RU de chaque CU est automatiquement convertie en V puis allouée au budget des chambres.</w:t>
      </w:r>
    </w:p>
    <w:p>
      <w:pPr>
        <w:pStyle w:val="BodyText"/>
        <w:rPr/>
      </w:pPr>
      <w:r>
        <w:rPr/>
        <w:t>Le α_public typique s'établit entre cinq et dix pour cent du RU.</w:t>
      </w:r>
    </w:p>
    <w:p>
      <w:pPr>
        <w:pStyle w:val="BodyText"/>
        <w:rPr/>
      </w:pPr>
      <w:r>
        <w:rPr/>
        <w:t>Par exemple : RU_moyen égale cent vingt U, α_public égale sept pour cent, contribution égale cent vingt fois zéro virgule zéro sept égale huit virgule quatre U, converti selon κ_t en environ huit V (si κ approximativement égal à un).</w:t>
      </w:r>
    </w:p>
    <w:p>
      <w:pPr>
        <w:pStyle w:val="BodyText"/>
        <w:rPr/>
      </w:pPr>
      <w:r>
        <w:rPr/>
        <w:t>Sur N égale un million de CU : Budget_total approximativement égal à huit millions V par cycle égale quatre-vingt-seize millions V par an.</w:t>
      </w:r>
    </w:p>
    <w:p>
      <w:pPr>
        <w:pStyle w:val="BodyText"/>
        <w:rPr/>
      </w:pPr>
      <w:r>
        <w:rPr/>
        <w:t>Justification : cette contribution finance les services essentiels (santé, justice, éducation, sécurité) dont tous bénéficient. Ce n'est pas un « impôt » (prélèvement arbitraire) mais un abonnement collectif aux fonctions régulatrices.</w:t>
      </w:r>
    </w:p>
    <w:p>
      <w:pPr>
        <w:pStyle w:val="BodyText"/>
        <w:rPr/>
      </w:pPr>
      <w:r>
        <w:rPr/>
      </w:r>
    </w:p>
    <w:p>
      <w:pPr>
        <w:pStyle w:val="BodyText"/>
        <w:rPr/>
      </w:pPr>
      <w:r>
        <w:rPr>
          <w:rStyle w:val="Strong"/>
        </w:rPr>
        <w:t>Source 2 : NFT de finance publique</w:t>
      </w:r>
    </w:p>
    <w:p>
      <w:pPr>
        <w:pStyle w:val="Heading4"/>
        <w:numPr>
          <w:ilvl w:val="0"/>
          <w:numId w:val="0"/>
        </w:numPr>
        <w:ind w:hanging="0" w:left="0"/>
        <w:rPr/>
      </w:pPr>
      <w:r>
        <w:rPr>
          <w:rStyle w:val="Strong"/>
          <w:b/>
          <w:bCs/>
        </w:rPr>
        <w:t>Définition 4.18 (NFT-FP).</w:t>
      </w:r>
    </w:p>
    <w:p>
      <w:pPr>
        <w:pStyle w:val="BodyText"/>
        <w:rPr/>
      </w:pPr>
      <w:r>
        <w:rPr/>
        <w:t>Jeton financier émis par les chambres pour financer les grands projets (infrastructures, recherche).</w:t>
      </w:r>
    </w:p>
    <w:p>
      <w:pPr>
        <w:pStyle w:val="BodyText"/>
        <w:rPr/>
      </w:pPr>
      <w:r>
        <w:rPr/>
        <w:t>Exemple : construction d'un hôpital régional. Coût estimé : cinquante mille V. Émission de NFT-FP_hopital : les investisseurs achètent (U + S → V immobilisé), la Chambre Médicale reçoit V immédiatement (financement du projet).</w:t>
      </w:r>
    </w:p>
    <w:p>
      <w:pPr>
        <w:pStyle w:val="BodyText"/>
        <w:rPr/>
      </w:pPr>
      <w:r>
        <w:rPr/>
        <w:t>Le remboursement s'effectue sur dix ans (cent vingt cycles), sans intérêt (principe IRIS), avec dividendes possibles (si l'hôpital génère des revenus via CEtr soins payants).</w:t>
      </w:r>
    </w:p>
    <w:p>
      <w:pPr>
        <w:pStyle w:val="BodyText"/>
        <w:rPr/>
      </w:pPr>
      <w:r>
        <w:rPr/>
      </w:r>
    </w:p>
    <w:p>
      <w:pPr>
        <w:pStyle w:val="Heading4"/>
        <w:numPr>
          <w:ilvl w:val="3"/>
          <w:numId w:val="3"/>
        </w:numPr>
        <w:ind w:hanging="0" w:left="0"/>
        <w:rPr/>
      </w:pPr>
      <w:r>
        <w:rPr>
          <w:rStyle w:val="Strong"/>
          <w:b/>
          <w:bCs/>
        </w:rPr>
        <w:t>Proposition 4.23 (Lissage temporel des investissements).</w:t>
      </w:r>
    </w:p>
    <w:p>
      <w:pPr>
        <w:pStyle w:val="BodyText"/>
        <w:rPr/>
      </w:pPr>
      <w:r>
        <w:rPr/>
        <w:t>Les NFT-FP permettent de lisser temporellement les investissements lourds sans peser sur le budget courant.</w:t>
      </w:r>
    </w:p>
    <w:p>
      <w:pPr>
        <w:pStyle w:val="BodyText"/>
        <w:rPr/>
      </w:pPr>
      <w:r>
        <w:rPr/>
      </w:r>
    </w:p>
    <w:p>
      <w:pPr>
        <w:pStyle w:val="BodyText"/>
        <w:rPr/>
      </w:pPr>
      <w:r>
        <w:rPr>
          <w:rStyle w:val="Strong"/>
        </w:rPr>
        <w:t>Source 3 : Revenus propres</w:t>
      </w:r>
    </w:p>
    <w:p>
      <w:pPr>
        <w:pStyle w:val="BodyText"/>
        <w:rPr/>
      </w:pPr>
      <w:r>
        <w:rPr/>
        <w:t>La Chambre Mémorielle perçoit les ventes CR (soixante pour cent vers projets collectifs, mais quarante pour cent peut rester à la chambre) et les frais d'enregistrement cadastral (modiques, dissuasifs contre la fraude).</w:t>
      </w:r>
    </w:p>
    <w:p>
      <w:pPr>
        <w:pStyle w:val="BodyText"/>
        <w:rPr/>
      </w:pPr>
      <w:r>
        <w:rPr/>
        <w:t>La Chambre Scientifique-Éducative perçoit les licences d'innovations (ventes aux CE ou CEtr) et les formations payantes pour CEtr.</w:t>
      </w:r>
    </w:p>
    <w:p>
      <w:pPr>
        <w:pStyle w:val="BodyText"/>
        <w:rPr/>
      </w:pPr>
      <w:r>
        <w:rPr/>
      </w:r>
    </w:p>
    <w:p>
      <w:pPr>
        <w:pStyle w:val="Heading4"/>
        <w:numPr>
          <w:ilvl w:val="3"/>
          <w:numId w:val="3"/>
        </w:numPr>
        <w:ind w:hanging="0" w:left="0"/>
        <w:rPr/>
      </w:pPr>
      <w:r>
        <w:rPr>
          <w:rStyle w:val="Strong"/>
          <w:b/>
          <w:bCs/>
        </w:rPr>
        <w:t>Théorème 4.14 (Autofinancement partiel).</w:t>
      </w:r>
    </w:p>
    <w:p>
      <w:pPr>
        <w:pStyle w:val="BodyText"/>
        <w:rPr/>
      </w:pPr>
      <w:r>
        <w:rPr/>
        <w:t>Plus une chambre est efficace (innovations vendables, CR bien géré), moins elle dépend du budget collectif, libérant des ressources pour les autres chambres.</w:t>
      </w:r>
    </w:p>
    <w:p>
      <w:pPr>
        <w:pStyle w:val="BodyText"/>
        <w:rPr/>
      </w:pPr>
      <w:r>
        <w:rPr/>
      </w:r>
    </w:p>
    <w:p>
      <w:pPr>
        <w:pStyle w:val="Heading3"/>
        <w:numPr>
          <w:ilvl w:val="2"/>
          <w:numId w:val="3"/>
        </w:numPr>
        <w:ind w:hanging="0" w:left="0"/>
        <w:rPr/>
      </w:pPr>
      <w:r>
        <w:rPr/>
        <w:t>4.7.2. Répartition et priorités</w:t>
      </w:r>
    </w:p>
    <w:p>
      <w:pPr>
        <w:pStyle w:val="BodyText"/>
        <w:rPr/>
      </w:pPr>
      <w:r>
        <w:rPr/>
      </w:r>
    </w:p>
    <w:p>
      <w:pPr>
        <w:pStyle w:val="Heading4"/>
        <w:numPr>
          <w:ilvl w:val="3"/>
          <w:numId w:val="3"/>
        </w:numPr>
        <w:ind w:hanging="0" w:left="0"/>
        <w:rPr/>
      </w:pPr>
      <w:r>
        <w:rPr>
          <w:rStyle w:val="Strong"/>
          <w:b/>
          <w:bCs/>
        </w:rPr>
        <w:t>Proposition 4.24 (Ordre de priorité thermodynamique).</w:t>
      </w:r>
    </w:p>
    <w:p>
      <w:pPr>
        <w:pStyle w:val="BodyText"/>
        <w:rPr>
          <w:rStyle w:val="Strong"/>
        </w:rPr>
      </w:pPr>
      <w:r>
        <w:rPr/>
      </w:r>
    </w:p>
    <w:p>
      <w:pPr>
        <w:pStyle w:val="BodyText"/>
        <w:jc w:val="center"/>
        <w:rPr/>
      </w:pPr>
      <w:r>
        <w:rPr/>
        <w:t>Budget_total_cycle = Abonnement_public + NFT-FP + Revenus_propres</w:t>
      </w:r>
    </w:p>
    <w:p>
      <w:pPr>
        <w:pStyle w:val="BodyText"/>
        <w:rPr/>
      </w:pPr>
      <w:r>
        <w:rPr/>
      </w:r>
    </w:p>
    <w:p>
      <w:pPr>
        <w:pStyle w:val="BodyText"/>
        <w:rPr/>
      </w:pPr>
      <w:r>
        <w:rPr/>
        <w:t>L'allocation respecte l'ordre suivant : premièrement, salaires des membres (garanti, incompressible) ; deuxièmement, fonctionnement courant (serveurs, équipements) ; troisièmement, projets validés (infrastructures, recherche) ; quatrièmement, fonds de réserve (imprévus, dix pour cent du budget).</w:t>
      </w:r>
    </w:p>
    <w:p>
      <w:pPr>
        <w:pStyle w:val="BodyText"/>
        <w:rPr/>
      </w:pPr>
      <w:r>
        <w:rPr/>
        <w:t>Les interdictions sont formelles : pas d'accumulation (pas de thésaurisation V, tout doit circuler), pas de spéculation (chambres ne peuvent investir en NFT-F hors leurs missions), et pas de clientélisme (rémunérations transparentes, grille publique).</w:t>
      </w:r>
    </w:p>
    <w:p>
      <w:pPr>
        <w:pStyle w:val="BodyText"/>
        <w:rPr/>
      </w:pPr>
      <w:r>
        <w:rPr/>
      </w:r>
    </w:p>
    <w:p>
      <w:pPr>
        <w:pStyle w:val="Heading4"/>
        <w:numPr>
          <w:ilvl w:val="3"/>
          <w:numId w:val="3"/>
        </w:numPr>
        <w:ind w:hanging="0" w:left="0"/>
        <w:rPr/>
      </w:pPr>
      <w:r>
        <w:rPr>
          <w:rStyle w:val="Strong"/>
          <w:b/>
          <w:bCs/>
        </w:rPr>
        <w:t>Corollaire 4.5 (Redistribution des excédents).</w:t>
      </w:r>
    </w:p>
    <w:p>
      <w:pPr>
        <w:pStyle w:val="BodyText"/>
        <w:rPr/>
      </w:pPr>
      <w:r>
        <w:rPr/>
        <w:t>Si une chambre dépense moins que prévu (projet annulé, efficacité accrue), l'excédent retourne au Pool collectif (redistribué au cycle suivant), pas à la chambre. Cela évite l'incitation à gaspiller.</w:t>
      </w:r>
    </w:p>
    <w:p>
      <w:pPr>
        <w:pStyle w:val="Heading2"/>
        <w:numPr>
          <w:ilvl w:val="1"/>
          <w:numId w:val="3"/>
        </w:numPr>
        <w:ind w:hanging="0" w:left="0"/>
        <w:rPr/>
      </w:pPr>
      <w:r>
        <w:rPr/>
        <w:t>4.8. Intégration systémique : la boucle complète {#intégration-systémique .unnumbered}</w:t>
      </w:r>
    </w:p>
    <w:p>
      <w:pPr>
        <w:pStyle w:val="BodyText"/>
        <w:rPr/>
      </w:pPr>
      <w:r>
        <w:rPr/>
      </w:r>
    </w:p>
    <w:p>
      <w:pPr>
        <w:pStyle w:val="Heading4"/>
        <w:numPr>
          <w:ilvl w:val="3"/>
          <w:numId w:val="3"/>
        </w:numPr>
        <w:ind w:hanging="0" w:left="0"/>
        <w:rPr/>
      </w:pPr>
      <w:r>
        <w:rPr>
          <w:rStyle w:val="Strong"/>
          <w:b/>
          <w:bCs/>
        </w:rPr>
        <w:t>Théorème 4.15 (Cohérence organique).</w:t>
      </w:r>
    </w:p>
    <w:p>
      <w:pPr>
        <w:pStyle w:val="BodyText"/>
        <w:rPr/>
      </w:pPr>
      <w:r>
        <w:rPr/>
        <w:t>Les cinq chambres plus les modules techniques (UR, Exchange, RAD, CR) forment un système intégré où chaque élément assume une fonction spécialisée dans le métabolisme collectif.</w:t>
      </w:r>
    </w:p>
    <w:p>
      <w:pPr>
        <w:pStyle w:val="BodyText"/>
        <w:rPr/>
      </w:pPr>
      <w:r>
        <w:rPr/>
        <w:t>La cartographie fonctionnelle décrit le flux d'un vivant dans IRIS (naissance jusqu'à mort).</w:t>
      </w:r>
    </w:p>
    <w:p>
      <w:pPr>
        <w:pStyle w:val="BodyText"/>
        <w:rPr/>
      </w:pPr>
      <w:r>
        <w:rPr>
          <w:rStyle w:val="Strong"/>
        </w:rPr>
        <w:t>Naissance</w:t>
      </w:r>
      <w:r>
        <w:rPr/>
        <w:t xml:space="preserve"> : La Chambre Médicale émet un NFT-Naissance, création du CAN (TU_enfant), notification à la Chambre Exécutive-Législative (état-civil) et notification à UR (mise à jour N).</w:t>
      </w:r>
    </w:p>
    <w:p>
      <w:pPr>
        <w:pStyle w:val="BodyText"/>
        <w:rPr/>
      </w:pPr>
      <w:r>
        <w:rPr>
          <w:rStyle w:val="Strong"/>
        </w:rPr>
        <w:t>Majorité (dix-huit ans)</w:t>
      </w:r>
      <w:r>
        <w:rPr/>
        <w:t xml:space="preserve"> : Activation du Wallet (RU commence), audit de cohérence par la Chambre Administrative.</w:t>
      </w:r>
    </w:p>
    <w:p>
      <w:pPr>
        <w:pStyle w:val="BodyText"/>
        <w:rPr/>
      </w:pPr>
      <w:r>
        <w:rPr>
          <w:rStyle w:val="Strong"/>
        </w:rPr>
        <w:t>Vie active</w:t>
      </w:r>
      <w:r>
        <w:rPr/>
        <w:t xml:space="preserve"> : Production (CE) validée par l'Exchange, ΔV créé ; la Chambre Administrative audite les arbres ; si anomalie, la Chambre Exécutive-Législative enquête. Consommation (achat NFT), combustion U+S, CNP enrichi (patrimoine). Éducation fournie par la Chambre Scientifique-Éducative (formations gratuites). Santé assurée par la Chambre Médicale (soins gratuits). Litiges traités par la Chambre Exécutive-Législative (justice).</w:t>
      </w:r>
    </w:p>
    <w:p>
      <w:pPr>
        <w:pStyle w:val="BodyText"/>
        <w:rPr/>
      </w:pPr>
      <w:r>
        <w:rPr>
          <w:rStyle w:val="Strong"/>
        </w:rPr>
        <w:t>Décès</w:t>
      </w:r>
      <w:r>
        <w:rPr/>
        <w:t xml:space="preserve"> : La Chambre Médicale émet un NFT-Décès, gel du TU, clôture du CU par la Chambre Exécutive-Législative, gestion du patrimoine par la Chambre Mémorielle (testament ou CR), mise à jour de N par UR.</w:t>
      </w:r>
    </w:p>
    <w:p>
      <w:pPr>
        <w:pStyle w:val="BodyText"/>
        <w:rPr/>
      </w:pPr>
      <w:r>
        <w:rPr>
          <w:rStyle w:val="Strong"/>
        </w:rPr>
        <w:t>Mémoire</w:t>
      </w:r>
      <w:r>
        <w:rPr/>
        <w:t xml:space="preserve"> : Les NFT créés par le défunt continuent d'exister (généalogie préservée), le patrimoine est recyclé (héritiers ou CR), garantissant la continuité transgénérationnelle.</w:t>
      </w:r>
    </w:p>
    <w:p>
      <w:pPr>
        <w:pStyle w:val="BodyText"/>
        <w:rPr/>
      </w:pPr>
      <w:r>
        <w:rPr/>
      </w:r>
    </w:p>
    <w:p>
      <w:pPr>
        <w:pStyle w:val="Heading4"/>
        <w:numPr>
          <w:ilvl w:val="3"/>
          <w:numId w:val="3"/>
        </w:numPr>
        <w:ind w:hanging="0" w:left="0"/>
        <w:rPr/>
      </w:pPr>
      <w:r>
        <w:rPr>
          <w:rStyle w:val="Strong"/>
          <w:b/>
          <w:bCs/>
        </w:rPr>
        <w:t>Proposition 4.25 (Aucun point de défaillance unique).</w:t>
      </w:r>
    </w:p>
    <w:p>
      <w:pPr>
        <w:pStyle w:val="BodyText"/>
        <w:rPr/>
      </w:pPr>
      <w:r>
        <w:rPr/>
        <w:t>Si une chambre dysfonctionne (attaque, corruption, incompétence), les autres continuent de fonctionner (autonomie), les citoyens peuvent révoquer les Organisateurs (élection anticipée), et le Conseil peut proposer un budget d'urgence (réallocation des ressources).</w:t>
      </w:r>
    </w:p>
    <w:p>
      <w:pPr>
        <w:pStyle w:val="BodyText"/>
        <w:rPr/>
      </w:pPr>
      <w:r>
        <w:rPr/>
        <w:t>Cette résilience contraste avec les systèmes centralisés où la défaillance du centre paralyse tout.</w:t>
      </w:r>
    </w:p>
    <w:p>
      <w:pPr>
        <w:pStyle w:val="BodyText"/>
        <w:rPr/>
      </w:pPr>
      <w:r>
        <w:rPr/>
      </w:r>
    </w:p>
    <w:p>
      <w:pPr>
        <w:pStyle w:val="Heading2"/>
        <w:numPr>
          <w:ilvl w:val="1"/>
          <w:numId w:val="3"/>
        </w:numPr>
        <w:ind w:hanging="0" w:left="0"/>
        <w:rPr/>
      </w:pPr>
      <w:r>
        <w:rPr/>
        <w:t>4.9. Synthèse : Gouvernance comme respiration collective.</w:t>
      </w:r>
    </w:p>
    <w:p>
      <w:pPr>
        <w:pStyle w:val="BodyText"/>
        <w:rPr/>
      </w:pPr>
      <w:r>
        <w:rPr/>
      </w:r>
    </w:p>
    <w:p>
      <w:pPr>
        <w:pStyle w:val="Heading3"/>
        <w:numPr>
          <w:ilvl w:val="2"/>
          <w:numId w:val="3"/>
        </w:numPr>
        <w:ind w:hanging="0" w:left="0"/>
        <w:rPr/>
      </w:pPr>
      <w:r>
        <w:rPr/>
        <w:t>4.9.1. Propriétés émergentes</w:t>
      </w:r>
    </w:p>
    <w:p>
      <w:pPr>
        <w:pStyle w:val="BodyText"/>
        <w:rPr/>
      </w:pPr>
      <w:r>
        <w:rPr/>
      </w:r>
    </w:p>
    <w:p>
      <w:pPr>
        <w:pStyle w:val="BodyText"/>
        <w:rPr/>
      </w:pPr>
      <w:r>
        <w:rPr>
          <w:rStyle w:val="Strong"/>
        </w:rPr>
        <w:t>Première propriété : Souveraineté distribuée sans dilution</w:t>
      </w:r>
    </w:p>
    <w:p>
      <w:pPr>
        <w:pStyle w:val="BodyText"/>
        <w:rPr/>
      </w:pPr>
      <w:r>
        <w:rPr/>
        <w:t>Contrairement aux démocraties représentatives classiques (où la souveraineté est déléguée puis confisquée), IRIS maintient une souveraineté active permanente : vote direct sur les lois (pas de représentants législatifs non révocables), ratification des budgets (contrôle financier continu), révocabilité des Organisateurs (élections périodiques), et initiative populaire (abrogation des lois, propositions citoyennes).</w:t>
      </w:r>
    </w:p>
    <w:p>
      <w:pPr>
        <w:pStyle w:val="BodyText"/>
        <w:rPr/>
      </w:pPr>
      <w:r>
        <w:rPr/>
      </w:r>
    </w:p>
    <w:p>
      <w:pPr>
        <w:pStyle w:val="BodyText"/>
        <w:rPr/>
      </w:pPr>
      <w:r>
        <w:rPr>
          <w:rStyle w:val="Strong"/>
        </w:rPr>
        <w:t>Deuxième propriété : Spécialisation sans oligarchie</w:t>
      </w:r>
    </w:p>
    <w:p>
      <w:pPr>
        <w:pStyle w:val="BodyText"/>
        <w:rPr/>
      </w:pPr>
      <w:r>
        <w:rPr/>
        <w:t>Les chambres sont spécialisées (expertise requise) mais pas oligarchiques : transparence totale (budgets, décisions, votes publiés DHT), rotation des membres (mandats limités, renouvellement), rémunération encadrée (grilles publiques, pas d'enrichissement), et auditabilité croisée (chaque chambre surveille les autres).</w:t>
      </w:r>
    </w:p>
    <w:p>
      <w:pPr>
        <w:pStyle w:val="BodyText"/>
        <w:rPr/>
      </w:pPr>
      <w:r>
        <w:rPr/>
      </w:r>
    </w:p>
    <w:p>
      <w:pPr>
        <w:pStyle w:val="BodyText"/>
        <w:rPr/>
      </w:pPr>
      <w:r>
        <w:rPr>
          <w:rStyle w:val="Strong"/>
        </w:rPr>
        <w:t>Troisième propriété : Efficacité sans autoritarisme</w:t>
      </w:r>
    </w:p>
    <w:p>
      <w:pPr>
        <w:pStyle w:val="BodyText"/>
        <w:rPr/>
      </w:pPr>
      <w:r>
        <w:rPr/>
        <w:t>Le système peut prendre des décisions rapides (urgences, crises) sans dériver vers l'autoritarisme : les procédures d'urgence existent (vote accéléré, Couche 3 de régulation), mais toujours sous contrôle démocratique (votes citoyens, justifications publiques), et avec durée limitée (retour à la normale obligatoire).</w:t>
      </w:r>
    </w:p>
    <w:p>
      <w:pPr>
        <w:pStyle w:val="BodyText"/>
        <w:rPr/>
      </w:pPr>
      <w:r>
        <w:rPr/>
      </w:r>
    </w:p>
    <w:p>
      <w:pPr>
        <w:pStyle w:val="Heading3"/>
        <w:numPr>
          <w:ilvl w:val="2"/>
          <w:numId w:val="3"/>
        </w:numPr>
        <w:ind w:hanging="0" w:left="0"/>
        <w:rPr/>
      </w:pPr>
      <w:r>
        <w:rPr/>
        <w:t>4.9.2. Différences fondamentales avec les systèmes classiques</w:t>
      </w:r>
    </w:p>
    <w:p>
      <w:pPr>
        <w:pStyle w:val="BodyText"/>
        <w:rPr/>
      </w:pPr>
      <w:r>
        <w:rPr/>
      </w:r>
    </w:p>
    <w:p>
      <w:pPr>
        <w:pStyle w:val="BodyText"/>
        <w:rPr/>
      </w:pPr>
      <w:r>
        <w:rPr/>
        <w:t>Par rapport à la démocratie représentative classique : IRIS substitue une souveraineté active (votes continus) à une souveraineté déléguée (élections tous les quatre à cinq ans) ; une législation citoyenne plus Chambre Exécutive-Législative (révocable) remplace un parlement non révocable ; un budget transparent (DHT, détaillé, ratifié) supplante un budget opaque (milliers de lignes, votées en bloc) ; un contrôle continu (audits permanents) remplace un contrôle a posteriori (scandales, élections suivantes).</w:t>
      </w:r>
    </w:p>
    <w:p>
      <w:pPr>
        <w:pStyle w:val="BodyText"/>
        <w:rPr/>
      </w:pPr>
      <w:r>
        <w:rPr/>
        <w:t>Par rapport à la technocratie : IRIS fonde sa légitimité sur l'expertise plus l'élection (Organisateurs votés) plutôt que sur l'expertise seule (non élus) ; les décisions suivent un processus bottom-up (citoyens ratifient) au lieu de top-down (experts décident) ; la transparence est totale (DHT publique) contre une transparence faible (secret technique).</w:t>
      </w:r>
    </w:p>
    <w:p>
      <w:pPr>
        <w:pStyle w:val="BodyText"/>
        <w:rPr/>
      </w:pPr>
      <w:r>
        <w:rPr/>
        <w:t>Par rapport à l'anarchie ou au libertarianisme : IRIS organise la coordination (chambres spécialisées) contre une coordination spontanée (main invisible) ; la justice collective (NFT-Jugements opposables) remplace la justice privée (arbitrage volontaire) ; les biens publics sont financés (abonnement universel) plutôt que sous-provisionnés chroniquement.</w:t>
      </w:r>
    </w:p>
    <w:p>
      <w:pPr>
        <w:pStyle w:val="BodyText"/>
        <w:rPr/>
      </w:pPr>
      <w:r>
        <w:rPr/>
        <w:t>IRIS synthétise l'efficacité technocratique (spécialisation, expertise), la légitimité démocratique (élection, révocabilité, transparence), et la résilience anarchiste (décentralisation, autonomie, pas de centre).</w:t>
      </w:r>
    </w:p>
    <w:p>
      <w:pPr>
        <w:pStyle w:val="BodyText"/>
        <w:rPr/>
      </w:pPr>
      <w:r>
        <w:rPr/>
      </w:r>
    </w:p>
    <w:p>
      <w:pPr>
        <w:pStyle w:val="Heading3"/>
        <w:numPr>
          <w:ilvl w:val="2"/>
          <w:numId w:val="3"/>
        </w:numPr>
        <w:ind w:hanging="0" w:left="0"/>
        <w:rPr/>
      </w:pPr>
      <w:r>
        <w:rPr/>
        <w:t>4.9.3. Vision finale : L'économie politique comme thermodynamique sociale</w:t>
      </w:r>
    </w:p>
    <w:p>
      <w:pPr>
        <w:pStyle w:val="BodyText"/>
        <w:rPr/>
      </w:pPr>
      <w:r>
        <w:rPr/>
      </w:r>
    </w:p>
    <w:p>
      <w:pPr>
        <w:pStyle w:val="Heading4"/>
        <w:numPr>
          <w:ilvl w:val="3"/>
          <w:numId w:val="3"/>
        </w:numPr>
        <w:ind w:hanging="0" w:left="0"/>
        <w:rPr/>
      </w:pPr>
      <w:r>
        <w:rPr>
          <w:rStyle w:val="Strong"/>
          <w:b/>
          <w:bCs/>
        </w:rPr>
        <w:t>Proposition 4.26 (Gouvernance égale régulation homéostatique).</w:t>
      </w:r>
    </w:p>
    <w:p>
      <w:pPr>
        <w:pStyle w:val="BodyText"/>
        <w:rPr/>
      </w:pPr>
      <w:r>
        <w:rPr/>
        <w:t>Les cinq chambres fonctionnent comme les organes d'un organisme vivant.</w:t>
      </w:r>
    </w:p>
    <w:p>
      <w:pPr>
        <w:pStyle w:val="BodyText"/>
        <w:rPr/>
      </w:pPr>
      <w:r>
        <w:rPr/>
        <w:t>La Chambre Administrative correspond au système nerveux (détecte les signaux, transmet les informations). La Chambre Exécutive-Législative correspond au système immunitaire (défend contre les fraudes, maintient l'intégrité). La Chambre Mémorielle correspond au système digestif (recycle les déchets, régénère les nutriments). La Chambre Scientifique-Éducative correspond au système reproductif (transmet les connaissances, génère les innovations). La Chambre Médicale correspond au système cardio-vasculaire (maintient la vitalité, certifie les naissances et décès).</w:t>
      </w:r>
    </w:p>
    <w:p>
      <w:pPr>
        <w:pStyle w:val="BodyText"/>
        <w:rPr/>
      </w:pPr>
      <w:r>
        <w:rPr/>
        <w:t>Le Conseil des Cinq correspond au système endocrinien (coordonne via signaux chimiques ou budgets, pas par contrôle direct).</w:t>
      </w:r>
    </w:p>
    <w:p>
      <w:pPr>
        <w:pStyle w:val="BodyText"/>
        <w:rPr/>
      </w:pPr>
      <w:r>
        <w:rPr/>
        <w:t>Cette analogie n'est pas métaphorique : elle traduit une réalité fonctionnelle. Comme un organisme biologique, IRIS s'autorégule (feedback loops entre chambres), s'adapte (budgets ajustés selon besoins), se reproduit (transmission transgénérationnelle via CNP, héritages), et meurt partiellement sans s'effondrer (clôtures CU, recyclage CR).</w:t>
      </w:r>
    </w:p>
    <w:p>
      <w:pPr>
        <w:pStyle w:val="BodyText"/>
        <w:rPr/>
      </w:pPr>
      <w:r>
        <w:rPr/>
      </w:r>
    </w:p>
    <w:p>
      <w:pPr>
        <w:pStyle w:val="Heading4"/>
        <w:numPr>
          <w:ilvl w:val="3"/>
          <w:numId w:val="3"/>
        </w:numPr>
        <w:ind w:hanging="0" w:left="0"/>
        <w:rPr/>
      </w:pPr>
      <w:r>
        <w:rPr>
          <w:rStyle w:val="Strong"/>
          <w:b/>
          <w:bCs/>
        </w:rPr>
        <w:t>Théorème 4.16 (Gouvernance émergente).</w:t>
      </w:r>
    </w:p>
    <w:p>
      <w:pPr>
        <w:pStyle w:val="BodyText"/>
        <w:rPr/>
      </w:pPr>
      <w:r>
        <w:rPr/>
        <w:t>La gouvernance d'IRIS n'est pas imposée par une constitution figée, mais émerge de l'interaction des cinq chambres selon des lois thermodynamiques.</w:t>
      </w:r>
    </w:p>
    <w:p>
      <w:pPr>
        <w:pStyle w:val="BodyText"/>
        <w:rPr/>
      </w:pPr>
      <w:r>
        <w:rPr/>
        <w:t>Entrée d'énergie (abonnement public) transformée (services rendus) produit une sortie (bien commun produit).</w:t>
      </w:r>
    </w:p>
    <w:p>
      <w:pPr>
        <w:pStyle w:val="BodyText"/>
        <w:rPr/>
      </w:pPr>
      <w:r>
        <w:rPr/>
        <w:t>Conservation énergétique : ∑Budgets_chambres ≤ ∑Revenus_collectifs (pas de déficit chronique possible).</w:t>
      </w:r>
    </w:p>
    <w:p>
      <w:pPr>
        <w:pStyle w:val="BodyText"/>
        <w:rPr/>
      </w:pPr>
      <w:r>
        <w:rPr/>
        <w:t>Cette contrainte force l'efficacité : une chambre inefficace (dépense élevée, résultats faibles) voit son budget réduit au cycle suivant (vote citoyen), libérant des ressources pour les chambres plus performantes.</w:t>
      </w:r>
    </w:p>
    <w:p>
      <w:pPr>
        <w:pStyle w:val="BodyText"/>
        <w:rPr/>
      </w:pPr>
      <w:r>
        <w:rPr/>
      </w:r>
    </w:p>
    <w:p>
      <w:pPr>
        <w:pStyle w:val="Heading2"/>
        <w:numPr>
          <w:ilvl w:val="1"/>
          <w:numId w:val="3"/>
        </w:numPr>
        <w:ind w:hanging="0" w:left="0"/>
        <w:rPr/>
      </w:pPr>
      <w:r>
        <w:rPr>
          <w:rStyle w:val="Strong"/>
          <w:b/>
          <w:bCs/>
        </w:rPr>
        <w:t>Conclusion philosophique</w:t>
      </w:r>
    </w:p>
    <w:p>
      <w:pPr>
        <w:pStyle w:val="BodyText"/>
        <w:rPr/>
      </w:pPr>
      <w:r>
        <w:rPr/>
        <w:t>IRIS ne propose pas une utopie (société parfaite sans conflits), mais une hétérotopie (espace alternatif avec règles différentes) : pas de croissance infinie forcée (stabilité possible), pas de dette systémique (neutralité énergétique), pas de centralisation coercitive (souveraineté distribuée), et pas d'opacité bureaucratique (transparence cryptographique).</w:t>
      </w:r>
    </w:p>
    <w:p>
      <w:pPr>
        <w:pStyle w:val="BodyText"/>
        <w:rPr/>
      </w:pPr>
      <w:r>
        <w:rPr/>
        <w:t>La gouvernance y devient respiration collective : chaque vivant inspire (reçoit RU, services publics), transforme (produit, consomme, investit), expire (contribue au budget, participe aux votes), dans un cycle perpétuel qui maintient l'équilibre sans le figer.</w:t>
      </w:r>
    </w:p>
    <w:p>
      <w:pPr>
        <w:pStyle w:val="BodyText"/>
        <w:rPr/>
      </w:pPr>
      <w:r>
        <w:rPr/>
        <w:t>Les cinq chambres ne gouvernent pas : elles régulent, au sens thermodynamique du terme. Elles ne dominent pas : elles coordonnent, permettant à des millions d'individus autonomes de former un système cohérent sans sacrifice de leur souveraineté.</w:t>
      </w:r>
    </w:p>
    <w:p>
      <w:pPr>
        <w:pStyle w:val="BodyText"/>
        <w:rPr/>
      </w:pPr>
      <w:r>
        <w:rPr/>
        <w:t>C'est en cela qu'IRIS diffère radicalement de toute forme politique antérieure : ni État (monopole de la contrainte centralisé), ni Marché (anarchie coordonnée par les prix), mais Organisme (autorégulation homéostatique par preuves cryptographiques et votes continus).</w:t>
      </w:r>
    </w:p>
    <w:p>
      <w:pPr>
        <w:pStyle w:val="BodyText"/>
        <w:rPr/>
      </w:pPr>
      <w:r>
        <w:rPr/>
        <w:t>La gouvernance décentralisée d'IRIS prouve qu'une autre politique est possible : une politique du vivant, pour les vivants, régulée par les lois de la thermodynamique plutôt que par celles de la domination.</w:t>
      </w:r>
    </w:p>
    <w:p>
      <w:pPr>
        <w:pStyle w:val="BodyText"/>
        <w:spacing w:before="34" w:after="34"/>
        <w:rPr/>
      </w:pPr>
      <w:r>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erif">
    <w:altName w:val="Times New Roman"/>
    <w:charset w:val="01"/>
    <w:family w:val="swiss"/>
    <w:pitch w:val="variable"/>
  </w:font>
  <w:font w:name="OpenSymbol">
    <w:altName w:val="Arial Unicode MS"/>
    <w:charset w:val="01"/>
    <w:family w:val="roman"/>
    <w:pitch w:val="variable"/>
  </w:font>
  <w:font w:name="Liberation Sans">
    <w:altName w:val="Arial"/>
    <w:charset w:val="01"/>
    <w:family w:val="roman"/>
    <w:pitch w:val="variable"/>
  </w:font>
  <w:font w:name="Liberation Mono">
    <w:altName w:val="Courier New"/>
    <w:charset w:val="01"/>
    <w:family w:val="roman"/>
    <w:pitch w:val="variable"/>
  </w:font>
  <w:font w:name="Courier New">
    <w:charset w:val="01"/>
    <w:family w:val="roman"/>
    <w:pitch w:val="variable"/>
  </w:font>
  <w:font w:name="Symbol">
    <w:charset w:val="02"/>
    <w:family w:val="auto"/>
    <w:pitch w:val="default"/>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3">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5">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6">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7">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8">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0">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5">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6">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8">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6">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7">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8">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9">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1">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2">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8">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bering>
</file>

<file path=word/settings.xml><?xml version="1.0" encoding="utf-8"?>
<w:settings xmlns:w="http://schemas.openxmlformats.org/wordprocessingml/2006/main">
  <w:zoom w:percent="95"/>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fr-FR"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SC" w:cs="Noto Sans Devanagari"/>
      <w:color w:val="auto"/>
      <w:kern w:val="2"/>
      <w:sz w:val="24"/>
      <w:szCs w:val="24"/>
      <w:lang w:val="fr-FR" w:eastAsia="zh-CN" w:bidi="hi-IN"/>
    </w:rPr>
  </w:style>
  <w:style w:type="paragraph" w:styleId="Heading1">
    <w:name w:val="Heading 1"/>
    <w:basedOn w:val="Titre"/>
    <w:next w:val="BodyText"/>
    <w:qFormat/>
    <w:pPr>
      <w:numPr>
        <w:ilvl w:val="0"/>
        <w:numId w:val="3"/>
      </w:numPr>
      <w:spacing w:before="0" w:after="102"/>
      <w:jc w:val="center"/>
      <w:outlineLvl w:val="0"/>
    </w:pPr>
    <w:rPr>
      <w:rFonts w:ascii="Liberation Serif" w:hAnsi="Liberation Serif"/>
      <w:b/>
      <w:bCs/>
      <w:sz w:val="36"/>
      <w:szCs w:val="36"/>
    </w:rPr>
  </w:style>
  <w:style w:type="paragraph" w:styleId="Heading2">
    <w:name w:val="Heading 2"/>
    <w:basedOn w:val="Titre"/>
    <w:next w:val="BodyText"/>
    <w:qFormat/>
    <w:pPr>
      <w:numPr>
        <w:ilvl w:val="1"/>
        <w:numId w:val="3"/>
      </w:numPr>
      <w:spacing w:before="102" w:after="68"/>
      <w:outlineLvl w:val="1"/>
    </w:pPr>
    <w:rPr>
      <w:rFonts w:ascii="Liberation Serif" w:hAnsi="Liberation Serif"/>
      <w:b/>
      <w:bCs/>
      <w:sz w:val="32"/>
      <w:szCs w:val="32"/>
    </w:rPr>
  </w:style>
  <w:style w:type="paragraph" w:styleId="Heading3">
    <w:name w:val="Heading 3"/>
    <w:basedOn w:val="Titre"/>
    <w:next w:val="BodyText"/>
    <w:qFormat/>
    <w:pPr>
      <w:numPr>
        <w:ilvl w:val="2"/>
        <w:numId w:val="3"/>
      </w:numPr>
      <w:spacing w:before="68" w:after="68"/>
      <w:outlineLvl w:val="2"/>
    </w:pPr>
    <w:rPr>
      <w:rFonts w:ascii="Liberation Serif" w:hAnsi="Liberation Serif"/>
      <w:b/>
      <w:bCs/>
      <w:sz w:val="28"/>
      <w:szCs w:val="28"/>
    </w:rPr>
  </w:style>
  <w:style w:type="paragraph" w:styleId="Heading4">
    <w:name w:val="Heading 4"/>
    <w:basedOn w:val="Titre"/>
    <w:next w:val="BodyText"/>
    <w:qFormat/>
    <w:pPr>
      <w:numPr>
        <w:ilvl w:val="3"/>
        <w:numId w:val="3"/>
      </w:numPr>
      <w:spacing w:lineRule="auto" w:line="240" w:before="57" w:after="57"/>
      <w:outlineLvl w:val="3"/>
    </w:pPr>
    <w:rPr>
      <w:rFonts w:ascii="Liberation Serif" w:hAnsi="Liberation Serif"/>
      <w:b/>
      <w:bCs/>
      <w:i/>
      <w:iCs/>
      <w:sz w:val="24"/>
      <w:szCs w:val="26"/>
    </w:rPr>
  </w:style>
  <w:style w:type="paragraph" w:styleId="Heading5">
    <w:name w:val="Heading 5"/>
    <w:basedOn w:val="Titre"/>
    <w:next w:val="BodyText"/>
    <w:qFormat/>
    <w:pPr>
      <w:numPr>
        <w:ilvl w:val="4"/>
        <w:numId w:val="2"/>
      </w:numPr>
      <w:spacing w:before="120" w:after="60"/>
      <w:outlineLvl w:val="4"/>
    </w:pPr>
    <w:rPr>
      <w:b/>
      <w:bCs/>
      <w:sz w:val="24"/>
      <w:szCs w:val="24"/>
    </w:rPr>
  </w:style>
  <w:style w:type="character" w:styleId="Caractresdenumrotation">
    <w:name w:val="Caractères de numérotation"/>
    <w:qFormat/>
    <w:rPr/>
  </w:style>
  <w:style w:type="character" w:styleId="Strong">
    <w:name w:val="Strong"/>
    <w:qFormat/>
    <w:rPr>
      <w:b/>
      <w:bCs/>
    </w:rPr>
  </w:style>
  <w:style w:type="character" w:styleId="Emphasis">
    <w:name w:val="Emphasis"/>
    <w:qFormat/>
    <w:rPr>
      <w:i/>
      <w:iCs/>
    </w:rPr>
  </w:style>
  <w:style w:type="character" w:styleId="Puces">
    <w:name w:val="Puces"/>
    <w:qFormat/>
    <w:rPr>
      <w:rFonts w:ascii="OpenSymbol" w:hAnsi="OpenSymbol" w:eastAsia="OpenSymbol" w:cs="OpenSymbol"/>
    </w:rPr>
  </w:style>
  <w:style w:type="character" w:styleId="Hyperlink">
    <w:name w:val="Hyperlink"/>
    <w:rPr>
      <w:color w:val="000080"/>
      <w:u w:val="single"/>
    </w:rPr>
  </w:style>
  <w:style w:type="paragraph" w:styleId="Titre">
    <w:name w:val="Titre"/>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bidi w:val="0"/>
      <w:spacing w:lineRule="auto" w:line="240" w:before="34" w:after="34"/>
      <w:jc w:val="left"/>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Titre"/>
    <w:next w:val="BodyText"/>
    <w:qFormat/>
    <w:pPr>
      <w:jc w:val="center"/>
    </w:pPr>
    <w:rPr>
      <w:rFonts w:ascii="Liberation Serif" w:hAnsi="Liberation Serif"/>
      <w:b/>
      <w:bCs/>
      <w:sz w:val="56"/>
      <w:szCs w:val="56"/>
    </w:rPr>
  </w:style>
  <w:style w:type="paragraph" w:styleId="Blocdecitation">
    <w:name w:val="Bloc de citation"/>
    <w:basedOn w:val="Normal"/>
    <w:qFormat/>
    <w:pPr>
      <w:spacing w:before="0" w:after="283"/>
      <w:ind w:hanging="0" w:left="567" w:right="567"/>
    </w:pPr>
    <w:rPr/>
  </w:style>
  <w:style w:type="paragraph" w:styleId="Lignehorizontale">
    <w:name w:val="Ligne horizontale"/>
    <w:basedOn w:val="Normal"/>
    <w:next w:val="BodyText"/>
    <w:qFormat/>
    <w:pPr>
      <w:suppressLineNumbers/>
      <w:pBdr>
        <w:bottom w:val="double" w:sz="2" w:space="0" w:color="808080"/>
      </w:pBdr>
      <w:spacing w:before="0" w:after="283"/>
    </w:pPr>
    <w:rPr>
      <w:sz w:val="12"/>
      <w:szCs w:val="12"/>
    </w:rPr>
  </w:style>
  <w:style w:type="paragraph" w:styleId="Texteprformat">
    <w:name w:val="Texte préformaté"/>
    <w:basedOn w:val="Normal"/>
    <w:qFormat/>
    <w:pPr>
      <w:spacing w:before="0" w:after="0"/>
    </w:pPr>
    <w:rPr>
      <w:rFonts w:ascii="Liberation Mono" w:hAnsi="Liberation Mono" w:eastAsia="Noto Sans Mono CJK SC" w:cs="Liberation Mono"/>
      <w:sz w:val="20"/>
      <w:szCs w:val="20"/>
    </w:rPr>
  </w:style>
  <w:style w:type="paragraph" w:styleId="MonoTree">
    <w:name w:val="Mono Tree"/>
    <w:qFormat/>
    <w:pPr>
      <w:widowControl/>
      <w:suppressAutoHyphens w:val="true"/>
      <w:bidi w:val="0"/>
      <w:spacing w:lineRule="exact" w:line="280" w:before="0" w:after="0"/>
      <w:jc w:val="left"/>
    </w:pPr>
    <w:rPr>
      <w:rFonts w:ascii="Courier New" w:hAnsi="Courier New" w:eastAsia="Courier New" w:cs="Courier New"/>
      <w:color w:val="2C3E50"/>
      <w:kern w:val="2"/>
      <w:sz w:val="22"/>
      <w:szCs w:val="22"/>
      <w:lang w:val="fr-FR" w:eastAsia="zh-CN" w:bidi="hi-IN"/>
    </w:rPr>
  </w:style>
  <w:style w:type="paragraph" w:styleId="ListParagraph">
    <w:name w:val="List Paragraph"/>
    <w:qFormat/>
    <w:pPr>
      <w:widowControl/>
      <w:suppressAutoHyphens w:val="true"/>
      <w:bidi w:val="0"/>
      <w:spacing w:before="0" w:after="0"/>
      <w:jc w:val="left"/>
    </w:pPr>
    <w:rPr>
      <w:rFonts w:ascii="Liberation Serif" w:hAnsi="Liberation Serif" w:eastAsia="Noto Serif CJK SC" w:cs="Noto Sans Devanagari"/>
      <w:color w:val="auto"/>
      <w:kern w:val="2"/>
      <w:sz w:val="24"/>
      <w:szCs w:val="24"/>
      <w:lang w:val="fr-FR" w:eastAsia="zh-CN" w:bidi="hi-IN"/>
    </w:rPr>
  </w:style>
  <w:style w:type="numbering" w:styleId="Puce">
    <w:name w:val="Puce •"/>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426</TotalTime>
  <Application>LibreOffice/24.2.7.2$Linux_X86_64 LibreOffice_project/420$Build-2</Application>
  <AppVersion>15.0000</AppVersion>
  <Pages>96</Pages>
  <Words>37225</Words>
  <Characters>220628</Characters>
  <CharactersWithSpaces>257136</CharactersWithSpaces>
  <Paragraphs>1940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2025-11-10T01:44:07Z</dcterms:created>
  <dc:creator/>
  <dc:description/>
  <dc:language>fr-FR</dc:language>
  <cp:lastModifiedBy/>
  <dcterms:modified xsi:type="dcterms:W3CDTF">2025-11-11T17:18:35Z</dcterms:modified>
  <cp:revision>31</cp:revision>
  <dc:subject/>
  <dc:title/>
</cp:coreProperties>
</file>

<file path=docProps/custom.xml><?xml version="1.0" encoding="utf-8"?>
<Properties xmlns="http://schemas.openxmlformats.org/officeDocument/2006/custom-properties" xmlns:vt="http://schemas.openxmlformats.org/officeDocument/2006/docPropsVTypes"/>
</file>