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262D3F">
      <w:pPr>
        <w:numPr>
          <w:ilvl w:val="0"/>
          <w:numId w:val="0"/>
        </w:numPr>
        <w:jc w:val="center"/>
        <w:outlineLvl w:val="9"/>
        <w:rPr>
          <w:rFonts w:hint="eastAsia" w:asciiTheme="minorEastAsia" w:hAnsiTheme="minorEastAsia" w:cstheme="minorEastAsia"/>
          <w:b/>
          <w:bCs/>
          <w:sz w:val="96"/>
          <w:szCs w:val="96"/>
          <w:lang w:val="en-US" w:eastAsia="zh-CN"/>
        </w:rPr>
      </w:pPr>
      <w:bookmarkStart w:id="0" w:name="_Toc28053"/>
      <w:bookmarkStart w:id="1" w:name="_Toc28066"/>
      <w:bookmarkStart w:id="2" w:name="_Toc13612"/>
      <w:bookmarkStart w:id="3" w:name="_Toc9292"/>
      <w:bookmarkStart w:id="4" w:name="_Toc27529"/>
      <w:bookmarkStart w:id="5" w:name="_Toc6114"/>
      <w:bookmarkStart w:id="6" w:name="_Toc1245"/>
      <w:bookmarkStart w:id="7" w:name="_Toc21949"/>
      <w:bookmarkStart w:id="8" w:name="_Toc23043"/>
      <w:r>
        <w:rPr>
          <w:rFonts w:hint="eastAsia" w:asciiTheme="minorEastAsia" w:hAnsiTheme="minorEastAsia" w:cstheme="minorEastAsia"/>
          <w:b/>
          <w:bCs/>
          <w:sz w:val="96"/>
          <w:szCs w:val="96"/>
          <w:lang w:val="en-US" w:eastAsia="zh-CN"/>
        </w:rPr>
        <w:t>恒</w:t>
      </w:r>
    </w:p>
    <w:p w14:paraId="50377F04">
      <w:pPr>
        <w:numPr>
          <w:ilvl w:val="0"/>
          <w:numId w:val="0"/>
        </w:numPr>
        <w:jc w:val="center"/>
        <w:outlineLvl w:val="9"/>
        <w:rPr>
          <w:rFonts w:hint="eastAsia" w:asciiTheme="minorEastAsia" w:hAnsiTheme="minorEastAsia" w:cstheme="minorEastAsia"/>
          <w:b/>
          <w:bCs/>
          <w:sz w:val="96"/>
          <w:szCs w:val="96"/>
          <w:lang w:val="en-US" w:eastAsia="zh-CN"/>
        </w:rPr>
      </w:pPr>
      <w:r>
        <w:rPr>
          <w:rFonts w:hint="eastAsia" w:asciiTheme="minorEastAsia" w:hAnsiTheme="minorEastAsia" w:cstheme="minorEastAsia"/>
          <w:b/>
          <w:bCs/>
          <w:sz w:val="96"/>
          <w:szCs w:val="96"/>
          <w:lang w:val="en-US" w:eastAsia="zh-CN"/>
        </w:rPr>
        <w:t>海</w:t>
      </w:r>
    </w:p>
    <w:p w14:paraId="098892F6">
      <w:pPr>
        <w:numPr>
          <w:ilvl w:val="0"/>
          <w:numId w:val="0"/>
        </w:numPr>
        <w:jc w:val="center"/>
        <w:outlineLvl w:val="9"/>
        <w:rPr>
          <w:rFonts w:hint="eastAsia" w:asciiTheme="minorEastAsia" w:hAnsiTheme="minorEastAsia" w:cstheme="minorEastAsia"/>
          <w:b/>
          <w:bCs/>
          <w:sz w:val="96"/>
          <w:szCs w:val="96"/>
          <w:lang w:val="en-US" w:eastAsia="zh-CN"/>
        </w:rPr>
      </w:pPr>
      <w:r>
        <w:rPr>
          <w:rFonts w:hint="eastAsia" w:asciiTheme="minorEastAsia" w:hAnsiTheme="minorEastAsia" w:cstheme="minorEastAsia"/>
          <w:b/>
          <w:bCs/>
          <w:sz w:val="96"/>
          <w:szCs w:val="96"/>
          <w:lang w:val="en-US" w:eastAsia="zh-CN"/>
        </w:rPr>
        <w:t>实</w:t>
      </w:r>
    </w:p>
    <w:p w14:paraId="639C8674">
      <w:pPr>
        <w:numPr>
          <w:ilvl w:val="0"/>
          <w:numId w:val="0"/>
        </w:numPr>
        <w:jc w:val="center"/>
        <w:outlineLvl w:val="9"/>
        <w:rPr>
          <w:rFonts w:hint="default" w:asciiTheme="minorEastAsia" w:hAnsiTheme="minorEastAsia" w:cstheme="minorEastAsia"/>
          <w:b/>
          <w:bCs/>
          <w:sz w:val="96"/>
          <w:szCs w:val="96"/>
          <w:lang w:val="en-US" w:eastAsia="zh-CN"/>
        </w:rPr>
      </w:pPr>
      <w:r>
        <w:rPr>
          <w:rFonts w:hint="eastAsia" w:asciiTheme="minorEastAsia" w:hAnsiTheme="minorEastAsia" w:cstheme="minorEastAsia"/>
          <w:b/>
          <w:bCs/>
          <w:sz w:val="96"/>
          <w:szCs w:val="96"/>
          <w:lang w:val="en-US" w:eastAsia="zh-CN"/>
        </w:rPr>
        <w:t>业</w:t>
      </w:r>
    </w:p>
    <w:p w14:paraId="3F1E7CC9">
      <w:pPr>
        <w:numPr>
          <w:ilvl w:val="0"/>
          <w:numId w:val="0"/>
        </w:numPr>
        <w:jc w:val="center"/>
        <w:outlineLvl w:val="9"/>
        <w:rPr>
          <w:rFonts w:hint="eastAsia" w:asciiTheme="minorEastAsia" w:hAnsiTheme="minorEastAsia" w:cstheme="minorEastAsia"/>
          <w:b/>
          <w:bCs/>
          <w:sz w:val="96"/>
          <w:szCs w:val="96"/>
          <w:lang w:val="en-US" w:eastAsia="zh-CN"/>
        </w:rPr>
      </w:pPr>
      <w:r>
        <w:rPr>
          <w:rFonts w:hint="eastAsia" w:asciiTheme="minorEastAsia" w:hAnsiTheme="minorEastAsia" w:cstheme="minorEastAsia"/>
          <w:b/>
          <w:bCs/>
          <w:sz w:val="96"/>
          <w:szCs w:val="96"/>
          <w:lang w:val="en-US" w:eastAsia="zh-CN"/>
        </w:rPr>
        <w:t>集</w:t>
      </w:r>
    </w:p>
    <w:p w14:paraId="13401F7B">
      <w:pPr>
        <w:numPr>
          <w:ilvl w:val="0"/>
          <w:numId w:val="0"/>
        </w:numPr>
        <w:jc w:val="center"/>
        <w:outlineLvl w:val="9"/>
        <w:rPr>
          <w:rFonts w:hint="eastAsia" w:asciiTheme="minorEastAsia" w:hAnsiTheme="minorEastAsia" w:cstheme="minorEastAsia"/>
          <w:b/>
          <w:bCs/>
          <w:sz w:val="96"/>
          <w:szCs w:val="96"/>
          <w:lang w:val="en-US" w:eastAsia="zh-CN"/>
        </w:rPr>
      </w:pPr>
      <w:r>
        <w:rPr>
          <w:rFonts w:hint="eastAsia" w:asciiTheme="minorEastAsia" w:hAnsiTheme="minorEastAsia" w:cstheme="minorEastAsia"/>
          <w:b/>
          <w:bCs/>
          <w:sz w:val="96"/>
          <w:szCs w:val="96"/>
          <w:lang w:val="en-US" w:eastAsia="zh-CN"/>
        </w:rPr>
        <w:t>团</w:t>
      </w:r>
    </w:p>
    <w:p w14:paraId="56A00643">
      <w:pPr>
        <w:numPr>
          <w:ilvl w:val="0"/>
          <w:numId w:val="0"/>
        </w:numPr>
        <w:jc w:val="center"/>
        <w:outlineLvl w:val="9"/>
        <w:rPr>
          <w:rFonts w:hint="eastAsia" w:asciiTheme="minorEastAsia" w:hAnsiTheme="minorEastAsia" w:cstheme="minorEastAsia"/>
          <w:b/>
          <w:bCs/>
          <w:sz w:val="96"/>
          <w:szCs w:val="96"/>
          <w:lang w:val="en-US" w:eastAsia="zh-CN"/>
        </w:rPr>
      </w:pPr>
      <w:r>
        <w:rPr>
          <w:rFonts w:hint="eastAsia" w:asciiTheme="minorEastAsia" w:hAnsiTheme="minorEastAsia" w:cstheme="minorEastAsia"/>
          <w:b/>
          <w:bCs/>
          <w:sz w:val="96"/>
          <w:szCs w:val="96"/>
          <w:lang w:val="en-US" w:eastAsia="zh-CN"/>
        </w:rPr>
        <w:t>员</w:t>
      </w:r>
    </w:p>
    <w:p w14:paraId="77A64071">
      <w:pPr>
        <w:numPr>
          <w:ilvl w:val="0"/>
          <w:numId w:val="0"/>
        </w:numPr>
        <w:jc w:val="center"/>
        <w:outlineLvl w:val="9"/>
        <w:rPr>
          <w:rFonts w:hint="eastAsia" w:asciiTheme="minorEastAsia" w:hAnsiTheme="minorEastAsia" w:cstheme="minorEastAsia"/>
          <w:b/>
          <w:bCs/>
          <w:sz w:val="96"/>
          <w:szCs w:val="96"/>
          <w:lang w:val="en-US" w:eastAsia="zh-CN"/>
        </w:rPr>
      </w:pPr>
      <w:r>
        <w:rPr>
          <w:rFonts w:hint="eastAsia" w:asciiTheme="minorEastAsia" w:hAnsiTheme="minorEastAsia" w:cstheme="minorEastAsia"/>
          <w:b/>
          <w:bCs/>
          <w:sz w:val="96"/>
          <w:szCs w:val="96"/>
          <w:lang w:val="en-US" w:eastAsia="zh-CN"/>
        </w:rPr>
        <w:t>工</w:t>
      </w:r>
    </w:p>
    <w:p w14:paraId="34A3532B">
      <w:pPr>
        <w:numPr>
          <w:ilvl w:val="0"/>
          <w:numId w:val="0"/>
        </w:numPr>
        <w:jc w:val="center"/>
        <w:outlineLvl w:val="9"/>
        <w:rPr>
          <w:rFonts w:hint="eastAsia" w:asciiTheme="minorEastAsia" w:hAnsiTheme="minorEastAsia" w:cstheme="minorEastAsia"/>
          <w:b/>
          <w:bCs/>
          <w:sz w:val="96"/>
          <w:szCs w:val="96"/>
          <w:lang w:val="en-US" w:eastAsia="zh-CN"/>
        </w:rPr>
      </w:pPr>
      <w:r>
        <w:rPr>
          <w:rFonts w:hint="eastAsia" w:asciiTheme="minorEastAsia" w:hAnsiTheme="minorEastAsia" w:cstheme="minorEastAsia"/>
          <w:b/>
          <w:bCs/>
          <w:sz w:val="96"/>
          <w:szCs w:val="96"/>
          <w:lang w:val="en-US" w:eastAsia="zh-CN"/>
        </w:rPr>
        <w:t>手</w:t>
      </w:r>
    </w:p>
    <w:p w14:paraId="5B5EF76A">
      <w:pPr>
        <w:numPr>
          <w:ilvl w:val="0"/>
          <w:numId w:val="0"/>
        </w:numPr>
        <w:jc w:val="center"/>
        <w:outlineLvl w:val="9"/>
        <w:rPr>
          <w:rFonts w:hint="default" w:asciiTheme="minorEastAsia" w:hAnsiTheme="minorEastAsia" w:cstheme="minorEastAsia"/>
          <w:b/>
          <w:bCs/>
          <w:sz w:val="96"/>
          <w:szCs w:val="96"/>
          <w:lang w:val="en-US" w:eastAsia="zh-CN"/>
        </w:rPr>
      </w:pPr>
      <w:r>
        <w:rPr>
          <w:rFonts w:hint="eastAsia" w:asciiTheme="minorEastAsia" w:hAnsiTheme="minorEastAsia" w:cstheme="minorEastAsia"/>
          <w:b/>
          <w:bCs/>
          <w:sz w:val="96"/>
          <w:szCs w:val="96"/>
          <w:lang w:val="en-US" w:eastAsia="zh-CN"/>
        </w:rPr>
        <w:t>册</w:t>
      </w:r>
    </w:p>
    <w:p w14:paraId="474CBE61">
      <w:pPr>
        <w:numPr>
          <w:ilvl w:val="0"/>
          <w:numId w:val="0"/>
        </w:numPr>
        <w:jc w:val="both"/>
        <w:outlineLvl w:val="9"/>
        <w:rPr>
          <w:rFonts w:hint="eastAsia" w:asciiTheme="minorEastAsia" w:hAnsiTheme="minorEastAsia" w:cstheme="minorEastAsia"/>
          <w:b/>
          <w:bCs/>
          <w:sz w:val="40"/>
          <w:szCs w:val="40"/>
          <w:lang w:val="en-US" w:eastAsia="zh-CN"/>
        </w:rPr>
      </w:pPr>
    </w:p>
    <w:p w14:paraId="09B6351F">
      <w:pPr>
        <w:numPr>
          <w:ilvl w:val="0"/>
          <w:numId w:val="0"/>
        </w:numPr>
        <w:jc w:val="both"/>
        <w:outlineLvl w:val="9"/>
        <w:rPr>
          <w:rFonts w:hint="eastAsia" w:asciiTheme="minorEastAsia" w:hAnsiTheme="minorEastAsia" w:cstheme="minorEastAsia"/>
          <w:b/>
          <w:bCs/>
          <w:sz w:val="40"/>
          <w:szCs w:val="40"/>
          <w:lang w:val="en-US" w:eastAsia="zh-CN"/>
        </w:rPr>
      </w:pPr>
    </w:p>
    <w:p w14:paraId="0FD5FE0A">
      <w:pPr>
        <w:bidi w:val="0"/>
        <w:jc w:val="center"/>
        <w:rPr>
          <w:rFonts w:hint="eastAsia"/>
          <w:b/>
          <w:bCs/>
          <w:sz w:val="36"/>
          <w:szCs w:val="36"/>
          <w:lang w:val="en-US" w:eastAsia="zh-CN"/>
        </w:rPr>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pPr>
      <w:bookmarkStart w:id="9" w:name="_Toc6761"/>
      <w:bookmarkStart w:id="10" w:name="_Toc9467"/>
      <w:bookmarkStart w:id="11" w:name="_Toc8815"/>
      <w:bookmarkStart w:id="12" w:name="_Toc10222"/>
      <w:bookmarkStart w:id="13" w:name="_Toc5752"/>
      <w:bookmarkStart w:id="14" w:name="_Toc13129"/>
    </w:p>
    <w:p w14:paraId="58C8A9E6">
      <w:pPr>
        <w:bidi w:val="0"/>
        <w:jc w:val="center"/>
        <w:rPr>
          <w:rFonts w:hint="eastAsia"/>
          <w:b/>
          <w:bCs/>
          <w:sz w:val="36"/>
          <w:szCs w:val="36"/>
          <w:lang w:val="en-US" w:eastAsia="zh-CN"/>
        </w:rPr>
      </w:pPr>
      <w:r>
        <w:rPr>
          <w:rFonts w:hint="eastAsia"/>
          <w:b/>
          <w:bCs/>
          <w:sz w:val="36"/>
          <w:szCs w:val="36"/>
          <w:lang w:val="en-US" w:eastAsia="zh-CN"/>
        </w:rPr>
        <w:t>欢迎辞</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1148092B">
      <w:pPr>
        <w:keepNext w:val="0"/>
        <w:keepLines w:val="0"/>
        <w:widowControl/>
        <w:suppressLineNumbers w:val="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亲爱的伙伴：</w:t>
      </w:r>
    </w:p>
    <w:p w14:paraId="016DB41E">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热烈欢迎你加入我们这个充满活力与创新的大家庭！从你踏入公司的那一刻起，我们便携手踏上了共同成长的全新旅程。</w:t>
      </w:r>
    </w:p>
    <w:p w14:paraId="1D36F08E">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集团始终以人才为核心，注重员工的成长与发展，不断追求进步与突破。</w:t>
      </w:r>
      <w:r>
        <w:rPr>
          <w:rFonts w:hint="eastAsia" w:ascii="Times New Roman" w:hAnsi="Times New Roman" w:eastAsia="方正仿宋_GB2312" w:cs="Times New Roman"/>
          <w:b w:val="0"/>
          <w:bCs w:val="0"/>
          <w:sz w:val="28"/>
          <w:szCs w:val="28"/>
          <w:lang w:val="en-US" w:eastAsia="zh-CN"/>
        </w:rPr>
        <w:t>我们深知，每一位员工都是公司宝贵的财富，是推动公司不断前行的核心动力。因此，我们为每一位伙伴精心准备了这份手册，它涵盖了公司文化、规章制度、福利待遇等信息，希望你能够仔细阅读，快速融入这个大家庭。</w:t>
      </w:r>
    </w:p>
    <w:p w14:paraId="18FF4D9D">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在工作过程中，你可能会遇到各种问题和困难，但请相信，这正是成长的契机。我们鼓励你勇于尝试，敢于创新，即使遇到挫折，也要保持积极乐观的心态。公司</w:t>
      </w:r>
      <w:r>
        <w:rPr>
          <w:rFonts w:hint="default" w:ascii="Times New Roman" w:hAnsi="Times New Roman" w:eastAsia="方正仿宋_GB2312" w:cs="Times New Roman"/>
          <w:b w:val="0"/>
          <w:bCs w:val="0"/>
          <w:sz w:val="28"/>
          <w:szCs w:val="28"/>
          <w:lang w:val="en-US" w:eastAsia="zh-CN"/>
        </w:rPr>
        <w:t>永远</w:t>
      </w:r>
      <w:r>
        <w:rPr>
          <w:rFonts w:hint="eastAsia" w:ascii="Times New Roman" w:hAnsi="Times New Roman" w:eastAsia="方正仿宋_GB2312" w:cs="Times New Roman"/>
          <w:b w:val="0"/>
          <w:bCs w:val="0"/>
          <w:sz w:val="28"/>
          <w:szCs w:val="28"/>
          <w:lang w:val="en-US" w:eastAsia="zh-CN"/>
        </w:rPr>
        <w:t>是你坚实的后盾，我们</w:t>
      </w:r>
      <w:r>
        <w:rPr>
          <w:rFonts w:hint="default" w:ascii="Times New Roman" w:hAnsi="Times New Roman" w:eastAsia="方正仿宋_GB2312" w:cs="Times New Roman"/>
          <w:b w:val="0"/>
          <w:bCs w:val="0"/>
          <w:sz w:val="28"/>
          <w:szCs w:val="28"/>
          <w:lang w:val="en-US" w:eastAsia="zh-CN"/>
        </w:rPr>
        <w:t>将</w:t>
      </w:r>
      <w:r>
        <w:rPr>
          <w:rFonts w:hint="eastAsia" w:ascii="Times New Roman" w:hAnsi="Times New Roman" w:eastAsia="方正仿宋_GB2312" w:cs="Times New Roman"/>
          <w:b w:val="0"/>
          <w:bCs w:val="0"/>
          <w:sz w:val="28"/>
          <w:szCs w:val="28"/>
          <w:lang w:val="en-US" w:eastAsia="zh-CN"/>
        </w:rPr>
        <w:t>与你并肩作战，共同克服困难，迎接每一个挑战。</w:t>
      </w:r>
    </w:p>
    <w:p w14:paraId="3E00F208">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未来的道路或许充满挑战，但也满是机遇。让我们一起并肩作战，在实现个人价值的同时，共同铸就公司更加辉煌的明天！期待与你一起书写精彩篇章！</w:t>
      </w:r>
    </w:p>
    <w:p w14:paraId="7DB0DEC8">
      <w:pPr>
        <w:numPr>
          <w:ilvl w:val="0"/>
          <w:numId w:val="0"/>
        </w:numPr>
        <w:ind w:firstLine="560" w:firstLineChars="200"/>
        <w:jc w:val="both"/>
        <w:rPr>
          <w:rFonts w:hint="eastAsia" w:asciiTheme="minorEastAsia" w:hAnsiTheme="minorEastAsia" w:cstheme="minorEastAsia"/>
          <w:b w:val="0"/>
          <w:bCs w:val="0"/>
          <w:sz w:val="28"/>
          <w:szCs w:val="28"/>
          <w:lang w:val="en-US" w:eastAsia="zh-CN"/>
        </w:rPr>
      </w:pPr>
    </w:p>
    <w:p w14:paraId="71FF18D4">
      <w:pPr>
        <w:numPr>
          <w:ilvl w:val="0"/>
          <w:numId w:val="0"/>
        </w:numPr>
        <w:ind w:firstLine="560" w:firstLineChars="200"/>
        <w:jc w:val="both"/>
        <w:rPr>
          <w:rFonts w:hint="eastAsia" w:asciiTheme="minorEastAsia" w:hAnsiTheme="minorEastAsia" w:cstheme="minorEastAsia"/>
          <w:b w:val="0"/>
          <w:bCs w:val="0"/>
          <w:sz w:val="28"/>
          <w:szCs w:val="28"/>
          <w:lang w:val="en-US" w:eastAsia="zh-CN"/>
        </w:rPr>
      </w:pPr>
    </w:p>
    <w:p w14:paraId="5F6E6B03">
      <w:pPr>
        <w:spacing w:before="0" w:beforeLines="0" w:after="0" w:afterLines="0" w:line="240" w:lineRule="auto"/>
        <w:ind w:left="0" w:leftChars="0" w:right="0" w:rightChars="0" w:firstLine="0" w:firstLineChars="0"/>
        <w:jc w:val="both"/>
        <w:rPr>
          <w:rFonts w:ascii="宋体" w:hAnsi="宋体" w:eastAsia="宋体" w:cstheme="minorBidi"/>
          <w:kern w:val="2"/>
          <w:sz w:val="21"/>
          <w:szCs w:val="24"/>
          <w:lang w:val="en-US" w:eastAsia="zh-CN" w:bidi="ar-SA"/>
        </w:rPr>
      </w:pPr>
    </w:p>
    <w:p w14:paraId="7CC6EC5D">
      <w:pPr>
        <w:spacing w:before="0" w:beforeLines="0" w:after="0" w:afterLines="0" w:line="240" w:lineRule="auto"/>
        <w:ind w:left="0" w:leftChars="0" w:right="0" w:rightChars="0" w:firstLine="0" w:firstLineChars="0"/>
        <w:jc w:val="both"/>
        <w:rPr>
          <w:rFonts w:ascii="宋体" w:hAnsi="宋体" w:eastAsia="宋体" w:cstheme="minorBidi"/>
          <w:kern w:val="2"/>
          <w:sz w:val="21"/>
          <w:szCs w:val="24"/>
          <w:lang w:val="en-US" w:eastAsia="zh-CN" w:bidi="ar-SA"/>
        </w:rPr>
      </w:pPr>
    </w:p>
    <w:sdt>
      <w:sdtPr>
        <w:rPr>
          <w:rFonts w:ascii="宋体" w:hAnsi="宋体" w:eastAsia="宋体" w:cstheme="minorBidi"/>
          <w:kern w:val="2"/>
          <w:sz w:val="21"/>
          <w:szCs w:val="24"/>
          <w:lang w:val="en-US" w:eastAsia="zh-CN" w:bidi="ar-SA"/>
        </w:rPr>
        <w:id w:val="147470613"/>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316000F4">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0FCC3B01">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0A9C26C0">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5A8A13A2">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45D71A90">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7E9BC904">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768063F1">
          <w:pPr>
            <w:spacing w:before="0" w:beforeLines="0" w:after="0" w:afterLines="0" w:line="240" w:lineRule="auto"/>
            <w:ind w:left="0" w:leftChars="0" w:right="0" w:rightChars="0" w:firstLine="0" w:firstLineChars="0"/>
            <w:jc w:val="center"/>
            <w:rPr>
              <w:rFonts w:ascii="宋体" w:hAnsi="宋体" w:eastAsia="宋体"/>
              <w:sz w:val="32"/>
              <w:szCs w:val="32"/>
            </w:rPr>
            <w:sectPr>
              <w:footerReference r:id="rId5" w:type="default"/>
              <w:pgSz w:w="11906" w:h="16838"/>
              <w:pgMar w:top="1440" w:right="1800" w:bottom="1440" w:left="1800" w:header="851" w:footer="992" w:gutter="0"/>
              <w:pgNumType w:fmt="decimal" w:start="1"/>
              <w:cols w:space="425" w:num="1"/>
              <w:docGrid w:type="lines" w:linePitch="312" w:charSpace="0"/>
            </w:sectPr>
          </w:pPr>
        </w:p>
        <w:p w14:paraId="59A9EB85">
          <w:pPr>
            <w:spacing w:before="0" w:beforeLines="0" w:after="0" w:afterLines="0" w:line="240" w:lineRule="auto"/>
            <w:ind w:left="0" w:leftChars="0" w:right="0" w:rightChars="0" w:firstLine="0" w:firstLineChars="0"/>
            <w:jc w:val="center"/>
            <w:rPr>
              <w:rFonts w:hint="eastAsia" w:ascii="方正小标宋简体" w:hAnsi="方正小标宋简体" w:eastAsia="方正小标宋简体" w:cs="方正小标宋简体"/>
              <w:b w:val="0"/>
              <w:bCs w:val="0"/>
              <w:sz w:val="28"/>
              <w:szCs w:val="28"/>
            </w:rPr>
          </w:pPr>
          <w:r>
            <w:rPr>
              <w:rFonts w:hint="eastAsia" w:ascii="方正小标宋简体" w:hAnsi="方正小标宋简体" w:eastAsia="方正小标宋简体" w:cs="方正小标宋简体"/>
              <w:b w:val="0"/>
              <w:bCs w:val="0"/>
              <w:sz w:val="28"/>
              <w:szCs w:val="28"/>
            </w:rPr>
            <w:t>目录</w:t>
          </w:r>
        </w:p>
        <w:p w14:paraId="4245239B">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 w:val="0"/>
              <w:bCs w:val="0"/>
              <w:kern w:val="2"/>
              <w:sz w:val="28"/>
              <w:szCs w:val="28"/>
              <w:lang w:val="en-US" w:eastAsia="zh-CN" w:bidi="ar-SA"/>
            </w:rPr>
            <w:fldChar w:fldCharType="begin"/>
          </w:r>
          <w:r>
            <w:rPr>
              <w:rFonts w:hint="eastAsia" w:ascii="方正小标宋简体" w:hAnsi="方正小标宋简体" w:eastAsia="方正小标宋简体" w:cs="方正小标宋简体"/>
              <w:b w:val="0"/>
              <w:bCs w:val="0"/>
              <w:kern w:val="2"/>
              <w:sz w:val="28"/>
              <w:szCs w:val="28"/>
              <w:lang w:val="en-US" w:eastAsia="zh-CN" w:bidi="ar-SA"/>
            </w:rPr>
            <w:instrText xml:space="preserve">TOC \o "1-1" \h \u </w:instrText>
          </w:r>
          <w:r>
            <w:rPr>
              <w:rFonts w:hint="eastAsia" w:ascii="方正小标宋简体" w:hAnsi="方正小标宋简体" w:eastAsia="方正小标宋简体" w:cs="方正小标宋简体"/>
              <w:b w:val="0"/>
              <w:bCs w:val="0"/>
              <w:kern w:val="2"/>
              <w:sz w:val="28"/>
              <w:szCs w:val="28"/>
              <w:lang w:val="en-US" w:eastAsia="zh-CN" w:bidi="ar-SA"/>
            </w:rPr>
            <w:fldChar w:fldCharType="separate"/>
          </w: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_Toc30938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第一章  总则</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_Toc30938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1</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2557F993">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_Toc25069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第二章  公司概况</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_Toc25069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2</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0870A3C9">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_Toc28959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第三章  企业文化</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_Toc28959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6</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653D4F1E">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_Toc6463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第四章  集团部门职责</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_Toc6463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7</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03CBCFA8">
          <w:pPr>
            <w:pStyle w:val="10"/>
            <w:tabs>
              <w:tab w:val="right" w:leader="dot" w:pos="8306"/>
            </w:tabs>
            <w:rPr>
              <w:rFonts w:hint="eastAsia" w:ascii="方正小标宋简体" w:hAnsi="方正小标宋简体" w:eastAsia="方正小标宋简体" w:cs="方正小标宋简体"/>
              <w:b/>
              <w:bCs/>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_Toc16618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第五章  行政管理</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_Toc16618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14</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149086A4">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_Toc17972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第六章  人事管理</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_Toc17972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18</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40FDE8B8">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_Toc27685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第七章  考勤管理</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_Toc27685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22</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33337B64">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_Toc6358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第八章  请休假管理</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_Toc6358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24</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351D8674">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_Toc14187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第九章  绩效管理</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_Toc14187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28</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632698B1">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_Toc11553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第十章  薪酬管理</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_Toc11553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30</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533D9982">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_Toc22863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第十一章  财务管理</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_Toc22863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32</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67B73D93">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_Toc26561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第十二章 违规违纪管理</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_Toc26561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34</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2ABDCDB7">
          <w:pPr>
            <w:pStyle w:val="10"/>
            <w:tabs>
              <w:tab w:val="right" w:leader="dot" w:pos="8306"/>
            </w:tabs>
            <w:rPr>
              <w:rFonts w:hint="eastAsia" w:ascii="方正小标宋简体" w:hAnsi="方正小标宋简体" w:eastAsia="方正小标宋简体" w:cs="方正小标宋简体"/>
              <w:sz w:val="28"/>
              <w:szCs w:val="28"/>
            </w:rPr>
          </w:pPr>
          <w:r>
            <w:rPr>
              <w:rFonts w:hint="eastAsia" w:ascii="方正小标宋简体" w:hAnsi="方正小标宋简体" w:eastAsia="方正小标宋简体" w:cs="方正小标宋简体"/>
              <w:bCs w:val="0"/>
              <w:kern w:val="2"/>
              <w:sz w:val="28"/>
              <w:szCs w:val="28"/>
              <w:lang w:val="en-US" w:eastAsia="zh-CN" w:bidi="ar-SA"/>
            </w:rPr>
            <w:fldChar w:fldCharType="begin"/>
          </w:r>
          <w:r>
            <w:rPr>
              <w:rFonts w:hint="eastAsia" w:ascii="方正小标宋简体" w:hAnsi="方正小标宋简体" w:eastAsia="方正小标宋简体" w:cs="方正小标宋简体"/>
              <w:bCs w:val="0"/>
              <w:kern w:val="2"/>
              <w:sz w:val="28"/>
              <w:szCs w:val="28"/>
              <w:lang w:val="en-US" w:eastAsia="zh-CN" w:bidi="ar-SA"/>
            </w:rPr>
            <w:instrText xml:space="preserve"> HYPERLINK \l _Toc4782 </w:instrText>
          </w:r>
          <w:r>
            <w:rPr>
              <w:rFonts w:hint="eastAsia" w:ascii="方正小标宋简体" w:hAnsi="方正小标宋简体" w:eastAsia="方正小标宋简体" w:cs="方正小标宋简体"/>
              <w:bCs w:val="0"/>
              <w:kern w:val="2"/>
              <w:sz w:val="28"/>
              <w:szCs w:val="28"/>
              <w:lang w:val="en-US" w:eastAsia="zh-CN" w:bidi="ar-SA"/>
            </w:rPr>
            <w:fldChar w:fldCharType="separate"/>
          </w:r>
          <w:r>
            <w:rPr>
              <w:rFonts w:hint="eastAsia" w:ascii="方正小标宋简体" w:hAnsi="方正小标宋简体" w:eastAsia="方正小标宋简体" w:cs="方正小标宋简体"/>
              <w:bCs w:val="0"/>
              <w:sz w:val="28"/>
              <w:szCs w:val="28"/>
              <w:lang w:val="en-US" w:eastAsia="zh-CN"/>
            </w:rPr>
            <w:t>第十三章  附则</w:t>
          </w:r>
          <w:r>
            <w:rPr>
              <w:rFonts w:hint="eastAsia" w:ascii="方正小标宋简体" w:hAnsi="方正小标宋简体" w:eastAsia="方正小标宋简体" w:cs="方正小标宋简体"/>
              <w:sz w:val="28"/>
              <w:szCs w:val="28"/>
            </w:rPr>
            <w:tab/>
          </w:r>
          <w:r>
            <w:rPr>
              <w:rFonts w:hint="eastAsia" w:ascii="方正小标宋简体" w:hAnsi="方正小标宋简体" w:eastAsia="方正小标宋简体" w:cs="方正小标宋简体"/>
              <w:sz w:val="28"/>
              <w:szCs w:val="28"/>
            </w:rPr>
            <w:fldChar w:fldCharType="begin"/>
          </w:r>
          <w:r>
            <w:rPr>
              <w:rFonts w:hint="eastAsia" w:ascii="方正小标宋简体" w:hAnsi="方正小标宋简体" w:eastAsia="方正小标宋简体" w:cs="方正小标宋简体"/>
              <w:sz w:val="28"/>
              <w:szCs w:val="28"/>
            </w:rPr>
            <w:instrText xml:space="preserve"> PAGEREF _Toc4782 \h </w:instrText>
          </w:r>
          <w:r>
            <w:rPr>
              <w:rFonts w:hint="eastAsia" w:ascii="方正小标宋简体" w:hAnsi="方正小标宋简体" w:eastAsia="方正小标宋简体" w:cs="方正小标宋简体"/>
              <w:sz w:val="28"/>
              <w:szCs w:val="28"/>
            </w:rPr>
            <w:fldChar w:fldCharType="separate"/>
          </w:r>
          <w:r>
            <w:rPr>
              <w:rFonts w:hint="eastAsia" w:ascii="方正小标宋简体" w:hAnsi="方正小标宋简体" w:eastAsia="方正小标宋简体" w:cs="方正小标宋简体"/>
              <w:sz w:val="28"/>
              <w:szCs w:val="28"/>
            </w:rPr>
            <w:t>36</w:t>
          </w:r>
          <w:r>
            <w:rPr>
              <w:rFonts w:hint="eastAsia" w:ascii="方正小标宋简体" w:hAnsi="方正小标宋简体" w:eastAsia="方正小标宋简体" w:cs="方正小标宋简体"/>
              <w:sz w:val="28"/>
              <w:szCs w:val="28"/>
            </w:rPr>
            <w:fldChar w:fldCharType="end"/>
          </w:r>
          <w:r>
            <w:rPr>
              <w:rFonts w:hint="eastAsia" w:ascii="方正小标宋简体" w:hAnsi="方正小标宋简体" w:eastAsia="方正小标宋简体" w:cs="方正小标宋简体"/>
              <w:bCs w:val="0"/>
              <w:kern w:val="2"/>
              <w:sz w:val="28"/>
              <w:szCs w:val="28"/>
              <w:lang w:val="en-US" w:eastAsia="zh-CN" w:bidi="ar-SA"/>
            </w:rPr>
            <w:fldChar w:fldCharType="end"/>
          </w:r>
        </w:p>
        <w:p w14:paraId="06A4C673">
          <w:pPr>
            <w:spacing w:before="0" w:beforeLines="0" w:after="0" w:afterLines="0" w:line="240" w:lineRule="auto"/>
            <w:ind w:left="0" w:leftChars="0" w:right="0" w:rightChars="0" w:firstLine="0" w:firstLineChars="0"/>
            <w:jc w:val="both"/>
            <w:rPr>
              <w:rFonts w:ascii="宋体" w:hAnsi="宋体" w:eastAsia="宋体" w:cstheme="minorBidi"/>
              <w:kern w:val="2"/>
              <w:sz w:val="21"/>
              <w:szCs w:val="24"/>
              <w:lang w:val="en-US" w:eastAsia="zh-CN" w:bidi="ar-SA"/>
            </w:rPr>
            <w:sectPr>
              <w:footerReference r:id="rId6" w:type="default"/>
              <w:pgSz w:w="11906" w:h="16838"/>
              <w:pgMar w:top="1440" w:right="1800" w:bottom="1440" w:left="1800" w:header="851" w:footer="992" w:gutter="0"/>
              <w:pgNumType w:fmt="decimal" w:start="1"/>
              <w:cols w:space="425" w:num="1"/>
              <w:docGrid w:type="lines" w:linePitch="312" w:charSpace="0"/>
            </w:sectPr>
          </w:pPr>
          <w:r>
            <w:rPr>
              <w:rFonts w:hint="eastAsia" w:ascii="方正小标宋简体" w:hAnsi="方正小标宋简体" w:eastAsia="方正小标宋简体" w:cs="方正小标宋简体"/>
              <w:b w:val="0"/>
              <w:bCs w:val="0"/>
              <w:kern w:val="2"/>
              <w:sz w:val="28"/>
              <w:szCs w:val="28"/>
              <w:lang w:val="en-US" w:eastAsia="zh-CN" w:bidi="ar-SA"/>
            </w:rPr>
            <w:fldChar w:fldCharType="end"/>
          </w:r>
        </w:p>
      </w:sdtContent>
    </w:sdt>
    <w:p w14:paraId="03284FC0">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15" w:name="_Toc30938"/>
      <w:bookmarkStart w:id="16" w:name="_Toc4447"/>
      <w:r>
        <w:rPr>
          <w:rFonts w:hint="eastAsia" w:ascii="方正小标宋简体" w:hAnsi="方正小标宋简体" w:eastAsia="方正小标宋简体" w:cs="方正小标宋简体"/>
          <w:b w:val="0"/>
          <w:bCs w:val="0"/>
          <w:sz w:val="40"/>
          <w:szCs w:val="40"/>
          <w:lang w:val="en-US" w:eastAsia="zh-CN"/>
        </w:rPr>
        <w:t>第一章  总则</w:t>
      </w:r>
      <w:bookmarkEnd w:id="15"/>
      <w:bookmarkEnd w:id="16"/>
    </w:p>
    <w:p w14:paraId="3FD2ACE5">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1</w:t>
      </w:r>
      <w:r>
        <w:rPr>
          <w:rFonts w:hint="eastAsia" w:ascii="Times New Roman" w:hAnsi="Times New Roman" w:eastAsia="方正仿宋_GB2312" w:cs="Times New Roman"/>
          <w:b w:val="0"/>
          <w:bCs w:val="0"/>
          <w:sz w:val="28"/>
          <w:szCs w:val="28"/>
          <w:lang w:val="en-US" w:eastAsia="zh-CN"/>
        </w:rPr>
        <w:t>、</w:t>
      </w:r>
      <w:r>
        <w:rPr>
          <w:rFonts w:hint="default" w:ascii="Times New Roman" w:hAnsi="Times New Roman" w:eastAsia="方正仿宋_GB2312" w:cs="Times New Roman"/>
          <w:b w:val="0"/>
          <w:bCs w:val="0"/>
          <w:sz w:val="28"/>
          <w:szCs w:val="28"/>
          <w:lang w:val="en-US" w:eastAsia="zh-CN"/>
        </w:rPr>
        <w:t>本手册是公司的基本行为准则，与公司发布的各项制度、通知（如绩效管理制度、违规违纪管理办法、试用期管理办法等）共同构成完整的规章制度体系，用于指导员工行为。</w:t>
      </w:r>
    </w:p>
    <w:p w14:paraId="221AA01B">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2</w:t>
      </w:r>
      <w:r>
        <w:rPr>
          <w:rFonts w:hint="eastAsia" w:ascii="Times New Roman" w:hAnsi="Times New Roman" w:eastAsia="方正仿宋_GB2312" w:cs="Times New Roman"/>
          <w:b w:val="0"/>
          <w:bCs w:val="0"/>
          <w:sz w:val="28"/>
          <w:szCs w:val="28"/>
          <w:lang w:val="en-US" w:eastAsia="zh-CN"/>
        </w:rPr>
        <w:t>、</w:t>
      </w:r>
      <w:r>
        <w:rPr>
          <w:rFonts w:hint="default" w:ascii="Times New Roman" w:hAnsi="Times New Roman" w:eastAsia="方正仿宋_GB2312" w:cs="Times New Roman"/>
          <w:b w:val="0"/>
          <w:bCs w:val="0"/>
          <w:sz w:val="28"/>
          <w:szCs w:val="28"/>
          <w:lang w:val="en-US" w:eastAsia="zh-CN"/>
        </w:rPr>
        <w:t>本手册制定目的是指导和规范公司全体员工行为和职业道德，充分调动和发挥公司员工的积极性和创造性，切实维护公司利益和保障员工的合法权益，维护正常的工作秩序。</w:t>
      </w:r>
    </w:p>
    <w:p w14:paraId="1D86EF34">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3</w:t>
      </w:r>
      <w:r>
        <w:rPr>
          <w:rFonts w:hint="eastAsia" w:ascii="Times New Roman" w:hAnsi="Times New Roman" w:eastAsia="方正仿宋_GB2312" w:cs="Times New Roman"/>
          <w:b w:val="0"/>
          <w:bCs w:val="0"/>
          <w:sz w:val="28"/>
          <w:szCs w:val="28"/>
          <w:lang w:val="en-US" w:eastAsia="zh-CN"/>
        </w:rPr>
        <w:t>、</w:t>
      </w:r>
      <w:r>
        <w:rPr>
          <w:rFonts w:hint="default" w:ascii="Times New Roman" w:hAnsi="Times New Roman" w:eastAsia="方正仿宋_GB2312" w:cs="Times New Roman"/>
          <w:b w:val="0"/>
          <w:bCs w:val="0"/>
          <w:sz w:val="28"/>
          <w:szCs w:val="28"/>
          <w:lang w:val="en-US" w:eastAsia="zh-CN"/>
        </w:rPr>
        <w:t>本手册适用于全体员工，属内部资料，请员工注意妥善保存，并保证仅在公司内部传阅。</w:t>
      </w:r>
    </w:p>
    <w:p w14:paraId="57F2413B">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4</w:t>
      </w:r>
      <w:r>
        <w:rPr>
          <w:rFonts w:hint="eastAsia" w:ascii="Times New Roman" w:hAnsi="Times New Roman" w:eastAsia="方正仿宋_GB2312" w:cs="Times New Roman"/>
          <w:b w:val="0"/>
          <w:bCs w:val="0"/>
          <w:sz w:val="28"/>
          <w:szCs w:val="28"/>
          <w:lang w:val="en-US" w:eastAsia="zh-CN"/>
        </w:rPr>
        <w:t>、</w:t>
      </w:r>
      <w:r>
        <w:rPr>
          <w:rFonts w:hint="default" w:ascii="Times New Roman" w:hAnsi="Times New Roman" w:eastAsia="方正仿宋_GB2312" w:cs="Times New Roman"/>
          <w:b w:val="0"/>
          <w:bCs w:val="0"/>
          <w:sz w:val="28"/>
          <w:szCs w:val="28"/>
          <w:lang w:val="en-US" w:eastAsia="zh-CN"/>
        </w:rPr>
        <w:t>本手册作为劳动合同的附件，与劳动合同具有同等效力，对本手册内容，可随时向集团人力资源部咨询。</w:t>
      </w:r>
    </w:p>
    <w:p w14:paraId="4C353E28">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5</w:t>
      </w:r>
      <w:r>
        <w:rPr>
          <w:rFonts w:hint="eastAsia" w:ascii="Times New Roman" w:hAnsi="Times New Roman" w:eastAsia="方正仿宋_GB2312" w:cs="Times New Roman"/>
          <w:b w:val="0"/>
          <w:bCs w:val="0"/>
          <w:sz w:val="28"/>
          <w:szCs w:val="28"/>
          <w:lang w:val="en-US" w:eastAsia="zh-CN"/>
        </w:rPr>
        <w:t>、</w:t>
      </w:r>
      <w:r>
        <w:rPr>
          <w:rFonts w:hint="default" w:ascii="Times New Roman" w:hAnsi="Times New Roman" w:eastAsia="方正仿宋_GB2312" w:cs="Times New Roman"/>
          <w:b w:val="0"/>
          <w:bCs w:val="0"/>
          <w:sz w:val="28"/>
          <w:szCs w:val="28"/>
          <w:lang w:val="en-US" w:eastAsia="zh-CN"/>
        </w:rPr>
        <w:t xml:space="preserve">随着公司业务不断发展，相关制度可能进行更新和优化，在任何情况下，均以更新后内容为准。          </w:t>
      </w:r>
    </w:p>
    <w:p w14:paraId="52C2B603">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6</w:t>
      </w:r>
      <w:r>
        <w:rPr>
          <w:rFonts w:hint="eastAsia" w:ascii="Times New Roman" w:hAnsi="Times New Roman" w:eastAsia="方正仿宋_GB2312" w:cs="Times New Roman"/>
          <w:b w:val="0"/>
          <w:bCs w:val="0"/>
          <w:sz w:val="28"/>
          <w:szCs w:val="28"/>
          <w:lang w:val="en-US" w:eastAsia="zh-CN"/>
        </w:rPr>
        <w:t>、</w:t>
      </w:r>
      <w:r>
        <w:rPr>
          <w:rFonts w:hint="default" w:ascii="Times New Roman" w:hAnsi="Times New Roman" w:eastAsia="方正仿宋_GB2312" w:cs="Times New Roman"/>
          <w:b w:val="0"/>
          <w:bCs w:val="0"/>
          <w:sz w:val="28"/>
          <w:szCs w:val="28"/>
          <w:lang w:val="en-US" w:eastAsia="zh-CN"/>
        </w:rPr>
        <w:t>本手册在员工入职时发放，离职时归还。</w:t>
      </w:r>
    </w:p>
    <w:p w14:paraId="3B8726F2">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bookmarkStart w:id="17" w:name="_Toc14553"/>
      <w:r>
        <w:rPr>
          <w:rFonts w:hint="default" w:ascii="Times New Roman" w:hAnsi="Times New Roman" w:eastAsia="方正仿宋_GB2312" w:cs="Times New Roman"/>
          <w:b w:val="0"/>
          <w:bCs w:val="0"/>
          <w:sz w:val="28"/>
          <w:szCs w:val="28"/>
          <w:lang w:val="en-US" w:eastAsia="zh-CN"/>
        </w:rPr>
        <w:t>7</w:t>
      </w:r>
      <w:r>
        <w:rPr>
          <w:rFonts w:hint="eastAsia" w:ascii="Times New Roman" w:hAnsi="Times New Roman" w:eastAsia="方正仿宋_GB2312" w:cs="Times New Roman"/>
          <w:b w:val="0"/>
          <w:bCs w:val="0"/>
          <w:sz w:val="28"/>
          <w:szCs w:val="28"/>
          <w:lang w:val="en-US" w:eastAsia="zh-CN"/>
        </w:rPr>
        <w:t>、</w:t>
      </w:r>
      <w:r>
        <w:rPr>
          <w:rFonts w:hint="default" w:ascii="Times New Roman" w:hAnsi="Times New Roman" w:eastAsia="方正仿宋_GB2312" w:cs="Times New Roman"/>
          <w:b w:val="0"/>
          <w:bCs w:val="0"/>
          <w:sz w:val="28"/>
          <w:szCs w:val="28"/>
          <w:lang w:val="en-US" w:eastAsia="zh-CN"/>
        </w:rPr>
        <w:t>本手册经</w:t>
      </w:r>
      <w:r>
        <w:rPr>
          <w:rFonts w:hint="eastAsia" w:ascii="Times New Roman" w:hAnsi="Times New Roman" w:eastAsia="方正仿宋_GB2312" w:cs="Times New Roman"/>
          <w:b w:val="0"/>
          <w:bCs w:val="0"/>
          <w:sz w:val="28"/>
          <w:szCs w:val="28"/>
          <w:lang w:val="en-US" w:eastAsia="zh-CN"/>
        </w:rPr>
        <w:t>集团</w:t>
      </w:r>
      <w:r>
        <w:rPr>
          <w:rFonts w:hint="default" w:ascii="Times New Roman" w:hAnsi="Times New Roman" w:eastAsia="方正仿宋_GB2312" w:cs="Times New Roman"/>
          <w:b w:val="0"/>
          <w:bCs w:val="0"/>
          <w:sz w:val="28"/>
          <w:szCs w:val="28"/>
          <w:lang w:val="en-US" w:eastAsia="zh-CN"/>
        </w:rPr>
        <w:t>批准，</w:t>
      </w:r>
      <w:r>
        <w:rPr>
          <w:rFonts w:hint="eastAsia" w:ascii="Times New Roman" w:hAnsi="Times New Roman" w:eastAsia="方正仿宋_GB2312" w:cs="Times New Roman"/>
          <w:b w:val="0"/>
          <w:bCs w:val="0"/>
          <w:sz w:val="28"/>
          <w:szCs w:val="28"/>
          <w:lang w:val="en-US" w:eastAsia="zh-CN"/>
        </w:rPr>
        <w:t>2026年5月修订发布，</w:t>
      </w:r>
      <w:r>
        <w:rPr>
          <w:rFonts w:hint="default" w:ascii="Times New Roman" w:hAnsi="Times New Roman" w:eastAsia="方正仿宋_GB2312" w:cs="Times New Roman"/>
          <w:b w:val="0"/>
          <w:bCs w:val="0"/>
          <w:sz w:val="28"/>
          <w:szCs w:val="28"/>
          <w:lang w:val="en-US" w:eastAsia="zh-CN"/>
        </w:rPr>
        <w:t>自发布之日起执行。</w:t>
      </w:r>
      <w:bookmarkEnd w:id="17"/>
    </w:p>
    <w:p w14:paraId="3BC3C667">
      <w:pPr>
        <w:numPr>
          <w:ilvl w:val="0"/>
          <w:numId w:val="0"/>
        </w:numPr>
        <w:jc w:val="both"/>
        <w:rPr>
          <w:rFonts w:hint="default" w:asciiTheme="minorEastAsia" w:hAnsiTheme="minorEastAsia" w:cstheme="minorEastAsia"/>
          <w:b w:val="0"/>
          <w:bCs w:val="0"/>
          <w:sz w:val="28"/>
          <w:szCs w:val="28"/>
          <w:lang w:val="en-US" w:eastAsia="zh-CN"/>
        </w:rPr>
      </w:pPr>
    </w:p>
    <w:p w14:paraId="4E679980">
      <w:pPr>
        <w:numPr>
          <w:ilvl w:val="0"/>
          <w:numId w:val="0"/>
        </w:numPr>
        <w:jc w:val="both"/>
        <w:rPr>
          <w:rFonts w:hint="default" w:asciiTheme="minorEastAsia" w:hAnsiTheme="minorEastAsia" w:cstheme="minorEastAsia"/>
          <w:b w:val="0"/>
          <w:bCs w:val="0"/>
          <w:sz w:val="28"/>
          <w:szCs w:val="28"/>
          <w:lang w:val="en-US" w:eastAsia="zh-CN"/>
        </w:rPr>
      </w:pPr>
    </w:p>
    <w:p w14:paraId="051AE5EB">
      <w:pPr>
        <w:numPr>
          <w:ilvl w:val="0"/>
          <w:numId w:val="0"/>
        </w:numPr>
        <w:jc w:val="both"/>
        <w:rPr>
          <w:rFonts w:hint="default" w:asciiTheme="minorEastAsia" w:hAnsiTheme="minorEastAsia" w:cstheme="minorEastAsia"/>
          <w:b w:val="0"/>
          <w:bCs w:val="0"/>
          <w:sz w:val="28"/>
          <w:szCs w:val="28"/>
          <w:lang w:val="en-US" w:eastAsia="zh-CN"/>
        </w:rPr>
      </w:pPr>
    </w:p>
    <w:p w14:paraId="4FD73B58">
      <w:pPr>
        <w:numPr>
          <w:ilvl w:val="0"/>
          <w:numId w:val="0"/>
        </w:numPr>
        <w:jc w:val="both"/>
        <w:rPr>
          <w:rFonts w:hint="default" w:asciiTheme="minorEastAsia" w:hAnsiTheme="minorEastAsia" w:cstheme="minorEastAsia"/>
          <w:b w:val="0"/>
          <w:bCs w:val="0"/>
          <w:sz w:val="28"/>
          <w:szCs w:val="28"/>
          <w:lang w:val="en-US" w:eastAsia="zh-CN"/>
        </w:rPr>
      </w:pPr>
    </w:p>
    <w:p w14:paraId="42439242">
      <w:pPr>
        <w:numPr>
          <w:ilvl w:val="0"/>
          <w:numId w:val="0"/>
        </w:numPr>
        <w:jc w:val="both"/>
        <w:outlineLvl w:val="9"/>
        <w:rPr>
          <w:rFonts w:hint="eastAsia" w:asciiTheme="minorEastAsia" w:hAnsiTheme="minorEastAsia" w:cstheme="minorEastAsia"/>
          <w:b/>
          <w:bCs/>
          <w:sz w:val="40"/>
          <w:szCs w:val="40"/>
          <w:lang w:val="en-US" w:eastAsia="zh-CN"/>
        </w:rPr>
      </w:pPr>
    </w:p>
    <w:p w14:paraId="6B02AE9D">
      <w:pPr>
        <w:bidi w:val="0"/>
        <w:jc w:val="left"/>
        <w:rPr>
          <w:rFonts w:hint="eastAsia" w:asciiTheme="minorHAnsi" w:hAnsiTheme="minorHAnsi" w:eastAsiaTheme="minorEastAsia" w:cstheme="minorBidi"/>
          <w:kern w:val="2"/>
          <w:sz w:val="21"/>
          <w:szCs w:val="24"/>
          <w:lang w:val="en-US" w:eastAsia="zh-CN" w:bidi="ar-SA"/>
        </w:rPr>
      </w:pPr>
    </w:p>
    <w:p w14:paraId="3A4427B6">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18" w:name="_Toc31110"/>
      <w:bookmarkStart w:id="19" w:name="_Toc25069"/>
      <w:r>
        <w:rPr>
          <w:rFonts w:hint="eastAsia" w:ascii="方正小标宋简体" w:hAnsi="方正小标宋简体" w:eastAsia="方正小标宋简体" w:cs="方正小标宋简体"/>
          <w:b w:val="0"/>
          <w:bCs w:val="0"/>
          <w:sz w:val="40"/>
          <w:szCs w:val="40"/>
          <w:lang w:val="en-US" w:eastAsia="zh-CN"/>
        </w:rPr>
        <w:t>第二章  公司概况</w:t>
      </w:r>
      <w:bookmarkEnd w:id="18"/>
      <w:bookmarkEnd w:id="19"/>
    </w:p>
    <w:p w14:paraId="7E67EC3C">
      <w:pPr>
        <w:numPr>
          <w:ilvl w:val="0"/>
          <w:numId w:val="0"/>
        </w:numPr>
        <w:jc w:val="center"/>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第一节 集团简介</w:t>
      </w:r>
    </w:p>
    <w:p w14:paraId="5647C985">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恒海实业集团创立于2009年，经过十余年的潜心发展，已经成长为集电力装备制造、产业投建</w:t>
      </w:r>
      <w:r>
        <w:rPr>
          <w:rFonts w:hint="eastAsia" w:ascii="Times New Roman" w:hAnsi="Times New Roman" w:eastAsia="方正仿宋_GB2312" w:cs="Times New Roman"/>
          <w:b w:val="0"/>
          <w:bCs w:val="0"/>
          <w:sz w:val="28"/>
          <w:szCs w:val="28"/>
          <w:lang w:val="en-US" w:eastAsia="zh-CN"/>
        </w:rPr>
        <w:t>运服</w:t>
      </w:r>
      <w:r>
        <w:rPr>
          <w:rFonts w:hint="default" w:ascii="Times New Roman" w:hAnsi="Times New Roman" w:eastAsia="方正仿宋_GB2312" w:cs="Times New Roman"/>
          <w:b w:val="0"/>
          <w:bCs w:val="0"/>
          <w:sz w:val="28"/>
          <w:szCs w:val="28"/>
          <w:lang w:val="en-US" w:eastAsia="zh-CN"/>
        </w:rPr>
        <w:t>、科创投资等多业态为一体的综合性、多元化集团企业，是AAA级综合信用企业、国家高新技术企业、河南省高新技术企业、河南省诚信示范企业、河南省重点民营企业、河南省民营企业社会责任百强企业。</w:t>
      </w:r>
    </w:p>
    <w:p w14:paraId="59AC209E">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集团所属公司30余家，其中国家高新技术、专精特新企业8家，瞪羚企业2家，省级技术研究中心4个，各项技术专利500余项，各类资质证书300余项。集团先后为南水北调、西电东送、大兴机场、天眼工程、国家电网、南方电网等重点项目和企业提供了大批专业的电气设备和技术服务。</w:t>
      </w:r>
    </w:p>
    <w:p w14:paraId="394C14AA">
      <w:pPr>
        <w:keepNext w:val="0"/>
        <w:keepLines w:val="0"/>
        <w:widowControl/>
        <w:suppressLineNumbers w:val="0"/>
        <w:ind w:firstLine="560" w:firstLineChars="200"/>
        <w:jc w:val="left"/>
        <w:rPr>
          <w:rFonts w:hint="default" w:ascii="Times New Roman" w:hAnsi="Times New Roman" w:eastAsia="宋体" w:cs="Times New Roman"/>
          <w:kern w:val="0"/>
          <w:sz w:val="24"/>
          <w:szCs w:val="24"/>
          <w:lang w:val="en-US" w:eastAsia="zh-CN" w:bidi="ar"/>
        </w:rPr>
      </w:pPr>
      <w:r>
        <w:rPr>
          <w:rFonts w:hint="default" w:ascii="Times New Roman" w:hAnsi="Times New Roman" w:eastAsia="方正仿宋_GB2312" w:cs="Times New Roman"/>
          <w:b w:val="0"/>
          <w:bCs w:val="0"/>
          <w:sz w:val="28"/>
          <w:szCs w:val="28"/>
          <w:lang w:val="en-US" w:eastAsia="zh-CN"/>
        </w:rPr>
        <w:t>立足中原，面向全国，恒海实业集团专注智能电网、新能源领域，投建恒海电力、中海电器、华拓装备等多个电力产业项目及生产基地，业务辐射全国二十余个省、市、自治区。近年来，集团先后投建省重点项目恒海（郑州）科技产业园、恒海（鲁山）动力谷产业园、河南（宝丰）表面处理产业园等优质产业项目。</w:t>
      </w:r>
    </w:p>
    <w:p w14:paraId="7C0756DD">
      <w:pPr>
        <w:numPr>
          <w:ilvl w:val="0"/>
          <w:numId w:val="0"/>
        </w:numPr>
        <w:jc w:val="center"/>
        <w:outlineLvl w:val="1"/>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第二节 产业发展板块业务简介</w:t>
      </w:r>
    </w:p>
    <w:p w14:paraId="1D370854">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一、宝丰项目（河南表面处理产业园）</w:t>
      </w:r>
    </w:p>
    <w:p w14:paraId="16BBEDF9">
      <w:pPr>
        <w:keepNext w:val="0"/>
        <w:keepLines w:val="0"/>
        <w:widowControl/>
        <w:suppressLineNumbers w:val="0"/>
        <w:ind w:firstLine="560" w:firstLineChars="200"/>
        <w:jc w:val="left"/>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河南表面处理产业园位于平顶山市宝丰县煤炭循环经济产业园。园区规划面积338亩，建设规模25万㎡，设计有118条表面处理生产线，包含金、银、铬、铜、镍、镉、锌、热镀锌、锡、电泳、阳极氧化、塑料电镀等12个表面处理种类，年表面处理能力达678万㎡，已通过环评批复，是中部地区镀种齐全、工艺先进、规模宏大的表面处理产业园区。</w:t>
      </w:r>
    </w:p>
    <w:p w14:paraId="5FECE2AD">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二、郑州项目（恒海科技产业园）</w:t>
      </w:r>
    </w:p>
    <w:p w14:paraId="5329BBD8">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恒海科技产业园项目位于郑州市经开区经开第二十二大街以东、经南十路以南，处于经开国际物流园区核心位置。项目毗邻上汽、海尔、宇通等行业龙头企业，周边建设有省、市人才公寓近百万平米，与白沙行政组团、航空港试验区组团、滨河国际新城组团密切衔接，拥有良好的产业基础及完善的生活配套，力争打造经开区高端装备制造示范园区。</w:t>
      </w:r>
    </w:p>
    <w:p w14:paraId="68DDE518">
      <w:pPr>
        <w:numPr>
          <w:ilvl w:val="0"/>
          <w:numId w:val="0"/>
        </w:numPr>
        <w:ind w:firstLine="560" w:firstLineChars="200"/>
        <w:jc w:val="both"/>
        <w:rPr>
          <w:rFonts w:hint="default"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三、恒海动力谷（鲁山）产业园</w:t>
      </w:r>
    </w:p>
    <w:p w14:paraId="168801A9">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恒海动力谷产业园项目位于鲁山先进制造业开发区，河南省重点项目，项目一期占地175亩，规划建筑面积约5.2万㎡。二、三期规划占地600亩，总建筑面积达18万㎡。主要建设标准化厂房、定制厂房、研发中心、实验检测中心、产品展厅、职工生活服务、绿色能源设施等相配套的零碳综合性园区，实现企业拎包入驻、共享绿色能源、共享配套服务，降低入驻运营成本。建成后拟引入上下游企业20余家，可实现年产值6亿元，提供就业岗位2000余个。项目建成后将以“全产业链承载”的发展模式，打造生产、研发、孵化、展览、办公五位一体的综合集成服务平台。</w:t>
      </w:r>
    </w:p>
    <w:p w14:paraId="1D698E64">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p>
    <w:p w14:paraId="71519AC2">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p>
    <w:p w14:paraId="51140F74">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四、武陟项目（高标农田、水利）</w:t>
      </w:r>
    </w:p>
    <w:p w14:paraId="38785B41">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武陟县建设3.3万亩、8.8万亩高标准农田建设项目，3.3万亩高标准农田建设项目涉及3个乡镇28个行政村，8.8万亩高标准农田建设项目，涉及</w:t>
      </w:r>
      <w:r>
        <w:rPr>
          <w:rFonts w:hint="default" w:ascii="Times New Roman" w:hAnsi="Times New Roman" w:eastAsia="方正仿宋_GB2312" w:cs="Times New Roman"/>
          <w:b w:val="0"/>
          <w:bCs w:val="0"/>
          <w:sz w:val="28"/>
          <w:szCs w:val="28"/>
          <w:lang w:val="en-US" w:eastAsia="zh-CN"/>
        </w:rPr>
        <w:t>6个乡镇59个行政村和</w:t>
      </w:r>
      <w:r>
        <w:rPr>
          <w:rFonts w:hint="eastAsia" w:ascii="Times New Roman" w:hAnsi="Times New Roman" w:eastAsia="方正仿宋_GB2312" w:cs="Times New Roman"/>
          <w:b w:val="0"/>
          <w:bCs w:val="0"/>
          <w:sz w:val="28"/>
          <w:szCs w:val="28"/>
          <w:lang w:val="en-US" w:eastAsia="zh-CN"/>
        </w:rPr>
        <w:t>1</w:t>
      </w:r>
      <w:r>
        <w:rPr>
          <w:rFonts w:hint="default" w:ascii="Times New Roman" w:hAnsi="Times New Roman" w:eastAsia="方正仿宋_GB2312" w:cs="Times New Roman"/>
          <w:b w:val="0"/>
          <w:bCs w:val="0"/>
          <w:sz w:val="28"/>
          <w:szCs w:val="28"/>
          <w:lang w:val="en-US" w:eastAsia="zh-CN"/>
        </w:rPr>
        <w:t>个国营农场。</w:t>
      </w:r>
      <w:r>
        <w:rPr>
          <w:rFonts w:hint="eastAsia" w:ascii="Times New Roman" w:hAnsi="Times New Roman" w:eastAsia="方正仿宋_GB2312" w:cs="Times New Roman"/>
          <w:b w:val="0"/>
          <w:bCs w:val="0"/>
          <w:sz w:val="28"/>
          <w:szCs w:val="28"/>
          <w:lang w:val="en-US" w:eastAsia="zh-CN"/>
        </w:rPr>
        <w:t>项目主要建设内容包括灌溉和排水工程、田间道路工程、生态防护与生态环境保护工程、农田输配电工程。</w:t>
      </w:r>
    </w:p>
    <w:p w14:paraId="2A45B9BB">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西霞院水利项目，灌溉区位于武陟县城西南部，设计灌溉面积11.15万亩，涉及大封、大虹桥、北郭3个乡镇38个行政村。项目主要建设内容包括新建干渠1条，长13.22公里，支渠两条，长12.43公里，新建各类建筑物98座，工程永久占地854.18亩，临时用地916亩。</w:t>
      </w:r>
    </w:p>
    <w:p w14:paraId="4FBD00E7">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五、河南鹏国建筑工程有限公司</w:t>
      </w:r>
    </w:p>
    <w:p w14:paraId="5AE0A5B0">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河南鹏国建筑工程有限公司，成立于2019年5月，是集建筑、市政、公路等多领域于一体的综合性建筑企业。公司凭借强大的专业技术团队，汇聚高级工程师、中级工程师及一级、二级建造师100余名，专注高品质工程建设。</w:t>
      </w:r>
    </w:p>
    <w:p w14:paraId="5905354E">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六、河南恒海智慧舱体科技有限公司</w:t>
      </w:r>
    </w:p>
    <w:p w14:paraId="542F0A9F">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河南恒海智慧舱体科技有限公司依托恒海实业集团装备制造优势，以 AI 赋能，构建 “装备智造 + 精准环控 + 绿色能源” 融合的现代农业产业链，致力打造集研发、生产、技术服务于一体的全球智慧农业标杆企业。</w:t>
      </w:r>
    </w:p>
    <w:p w14:paraId="4115578D">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公司以模块化智慧方舱为载体，融合智能环控、物联网与风光储一体化新能源技术，形成精准种植、远程智管、绿色供能协同的智慧农业装备体系。联合多家科研院所搭建产学研平台，特邀河南省食用菌行业首席专家担任技术顾问，实现从育种到采收的全流程标准化管控。</w:t>
      </w:r>
    </w:p>
    <w:p w14:paraId="1296535C">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依托风光储一体化食用菌智慧方舱示范基地，公司形成可复制、可推广的智慧农业产业模式，以科技赋能农业新质生产力发展，助力乡村振兴战略实施，引领行业高质量发展。</w:t>
      </w:r>
    </w:p>
    <w:p w14:paraId="0E9BE12B">
      <w:pPr>
        <w:keepNext w:val="0"/>
        <w:keepLines w:val="0"/>
        <w:widowControl/>
        <w:numPr>
          <w:ilvl w:val="0"/>
          <w:numId w:val="0"/>
        </w:numPr>
        <w:suppressLineNumbers w:val="0"/>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七、河南</w:t>
      </w:r>
      <w:r>
        <w:rPr>
          <w:rFonts w:hint="default" w:ascii="黑体" w:hAnsi="黑体" w:eastAsia="黑体" w:cs="黑体"/>
          <w:b w:val="0"/>
          <w:bCs w:val="0"/>
          <w:sz w:val="28"/>
          <w:szCs w:val="28"/>
          <w:lang w:val="en-US" w:eastAsia="zh-CN"/>
        </w:rPr>
        <w:t>华建电力工</w:t>
      </w:r>
      <w:r>
        <w:rPr>
          <w:rFonts w:hint="eastAsia" w:ascii="黑体" w:hAnsi="黑体" w:eastAsia="黑体" w:cs="黑体"/>
          <w:b w:val="0"/>
          <w:bCs w:val="0"/>
          <w:sz w:val="28"/>
          <w:szCs w:val="28"/>
          <w:lang w:val="en-US" w:eastAsia="zh-CN"/>
        </w:rPr>
        <w:t>程有限公司</w:t>
      </w:r>
    </w:p>
    <w:p w14:paraId="7BF1A3E1">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华建电力专注于新能源光伏领域，核心业务涵盖光伏项目施工、建设全流程服务，深耕绿色能源赛道，助力“双碳”目标实现。公司资质齐全、体系完备，拥有专业施工团队与成熟技术经验，严格遵循行业标准，严控工程质量与施工安全，高效推进各类光伏项目落地。始终秉持诚信履约、精益求精的理念，以专业实力为客户提供可靠、高效的光伏建设解决方案，致力于成为光伏建设领域值得信赖的合作伙伴。</w:t>
      </w:r>
    </w:p>
    <w:p w14:paraId="4101955D">
      <w:pPr>
        <w:keepNext w:val="0"/>
        <w:keepLines w:val="0"/>
        <w:widowControl/>
        <w:suppressLineNumbers w:val="0"/>
        <w:ind w:firstLine="560" w:firstLineChars="200"/>
        <w:jc w:val="left"/>
        <w:rPr>
          <w:rFonts w:hint="eastAsia" w:ascii="Times New Roman" w:hAnsi="Times New Roman" w:eastAsia="方正仿宋_GB2312" w:cs="Times New Roman"/>
          <w:b w:val="0"/>
          <w:bCs w:val="0"/>
          <w:sz w:val="28"/>
          <w:szCs w:val="28"/>
          <w:lang w:val="en-US" w:eastAsia="zh-CN"/>
        </w:rPr>
      </w:pPr>
    </w:p>
    <w:p w14:paraId="5C36BB0A">
      <w:pPr>
        <w:numPr>
          <w:ilvl w:val="0"/>
          <w:numId w:val="0"/>
        </w:numPr>
        <w:jc w:val="both"/>
        <w:rPr>
          <w:rFonts w:hint="eastAsia" w:asciiTheme="minorEastAsia" w:hAnsiTheme="minorEastAsia" w:cstheme="minorEastAsia"/>
          <w:b/>
          <w:bCs/>
          <w:sz w:val="28"/>
          <w:szCs w:val="28"/>
          <w:lang w:val="en-US" w:eastAsia="zh-CN"/>
        </w:rPr>
      </w:pPr>
    </w:p>
    <w:p w14:paraId="45A4565F">
      <w:pPr>
        <w:numPr>
          <w:ilvl w:val="0"/>
          <w:numId w:val="0"/>
        </w:numPr>
        <w:ind w:firstLine="560" w:firstLineChars="200"/>
        <w:jc w:val="both"/>
        <w:rPr>
          <w:rFonts w:hint="eastAsia" w:ascii="宋体" w:hAnsi="宋体" w:eastAsia="宋体" w:cs="宋体"/>
          <w:sz w:val="28"/>
          <w:szCs w:val="28"/>
          <w:lang w:val="en-US" w:eastAsia="zh-CN"/>
        </w:rPr>
      </w:pPr>
    </w:p>
    <w:p w14:paraId="06083DBF">
      <w:pPr>
        <w:numPr>
          <w:ilvl w:val="0"/>
          <w:numId w:val="0"/>
        </w:numPr>
        <w:ind w:firstLine="0" w:firstLineChars="0"/>
        <w:jc w:val="both"/>
        <w:rPr>
          <w:rFonts w:hint="default" w:ascii="宋体" w:hAnsi="宋体" w:eastAsia="宋体" w:cs="宋体"/>
          <w:sz w:val="28"/>
          <w:szCs w:val="28"/>
          <w:lang w:val="en-US" w:eastAsia="zh-CN"/>
        </w:rPr>
        <w:sectPr>
          <w:footerReference r:id="rId7" w:type="default"/>
          <w:pgSz w:w="11906" w:h="16838"/>
          <w:pgMar w:top="1440" w:right="1800" w:bottom="1440" w:left="1800" w:header="851" w:footer="992" w:gutter="0"/>
          <w:pgNumType w:fmt="decimal" w:start="1"/>
          <w:cols w:space="425" w:num="1"/>
          <w:docGrid w:type="lines" w:linePitch="312" w:charSpace="0"/>
        </w:sectPr>
      </w:pPr>
    </w:p>
    <w:p w14:paraId="01D0D485">
      <w:pPr>
        <w:numPr>
          <w:ilvl w:val="0"/>
          <w:numId w:val="0"/>
        </w:numPr>
        <w:jc w:val="center"/>
        <w:outlineLvl w:val="0"/>
        <w:rPr>
          <w:rFonts w:hint="default" w:ascii="方正小标宋简体" w:hAnsi="方正小标宋简体" w:eastAsia="方正小标宋简体" w:cs="方正小标宋简体"/>
          <w:b w:val="0"/>
          <w:bCs w:val="0"/>
          <w:sz w:val="40"/>
          <w:szCs w:val="40"/>
          <w:lang w:val="en-US" w:eastAsia="zh-CN"/>
        </w:rPr>
      </w:pPr>
      <w:bookmarkStart w:id="20" w:name="_Toc28959"/>
      <w:bookmarkStart w:id="21" w:name="_Toc9919"/>
      <w:r>
        <w:rPr>
          <w:rFonts w:hint="eastAsia" w:ascii="方正小标宋简体" w:hAnsi="方正小标宋简体" w:eastAsia="方正小标宋简体" w:cs="方正小标宋简体"/>
          <w:b w:val="0"/>
          <w:bCs w:val="0"/>
          <w:sz w:val="40"/>
          <w:szCs w:val="40"/>
          <w:lang w:val="en-US" w:eastAsia="zh-CN"/>
        </w:rPr>
        <w:t>第三章  企业文化</w:t>
      </w:r>
      <w:bookmarkEnd w:id="20"/>
      <w:bookmarkEnd w:id="21"/>
    </w:p>
    <w:p w14:paraId="7BF2B7D7">
      <w:pPr>
        <w:numPr>
          <w:ilvl w:val="0"/>
          <w:numId w:val="0"/>
        </w:numPr>
        <w:jc w:val="both"/>
        <w:rPr>
          <w:rFonts w:hint="default" w:ascii="Times New Roman" w:hAnsi="Times New Roman" w:eastAsia="方正仿宋_GB2312" w:cs="Times New Roman"/>
          <w:b/>
          <w:bCs/>
          <w:sz w:val="28"/>
          <w:szCs w:val="28"/>
          <w:lang w:val="en-US" w:eastAsia="zh-CN"/>
        </w:rPr>
      </w:pPr>
      <w:r>
        <w:rPr>
          <w:rFonts w:hint="default" w:ascii="Times New Roman" w:hAnsi="Times New Roman" w:eastAsia="方正仿宋_GB2312" w:cs="Times New Roman"/>
          <w:b/>
          <w:bCs/>
          <w:sz w:val="28"/>
          <w:szCs w:val="28"/>
          <w:lang w:val="en-US" w:eastAsia="zh-CN"/>
        </w:rPr>
        <w:t>两个规划</w:t>
      </w:r>
      <w:r>
        <w:rPr>
          <w:rFonts w:hint="eastAsia" w:ascii="Times New Roman" w:hAnsi="Times New Roman" w:eastAsia="方正仿宋_GB2312" w:cs="Times New Roman"/>
          <w:b/>
          <w:bCs/>
          <w:sz w:val="28"/>
          <w:szCs w:val="28"/>
          <w:lang w:val="en-US" w:eastAsia="zh-CN"/>
        </w:rPr>
        <w:t>——</w:t>
      </w:r>
    </w:p>
    <w:p w14:paraId="47078101">
      <w:pPr>
        <w:numPr>
          <w:ilvl w:val="0"/>
          <w:numId w:val="0"/>
        </w:numPr>
        <w:jc w:val="both"/>
        <w:rPr>
          <w:rFonts w:hint="default" w:ascii="Times New Roman" w:hAnsi="Times New Roman" w:eastAsia="方正仿宋_GB2312" w:cs="Times New Roman"/>
          <w:b/>
          <w:bCs/>
          <w:sz w:val="28"/>
          <w:szCs w:val="28"/>
          <w:lang w:val="en-US" w:eastAsia="zh-CN"/>
        </w:rPr>
      </w:pPr>
      <w:r>
        <w:rPr>
          <w:rFonts w:hint="default" w:ascii="Times New Roman" w:hAnsi="Times New Roman" w:eastAsia="方正仿宋_GB2312" w:cs="Times New Roman"/>
          <w:b/>
          <w:bCs/>
          <w:sz w:val="28"/>
          <w:szCs w:val="28"/>
          <w:lang w:val="en-US" w:eastAsia="zh-CN"/>
        </w:rPr>
        <w:t>·123全员提升规划</w:t>
      </w:r>
    </w:p>
    <w:p w14:paraId="27885D9C">
      <w:pPr>
        <w:numPr>
          <w:ilvl w:val="0"/>
          <w:numId w:val="0"/>
        </w:numPr>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一是树立学习标杆</w:t>
      </w:r>
    </w:p>
    <w:p w14:paraId="4B4162B4">
      <w:pPr>
        <w:numPr>
          <w:ilvl w:val="0"/>
          <w:numId w:val="0"/>
        </w:numPr>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二是具备AI应用能力、专业实践能力</w:t>
      </w:r>
    </w:p>
    <w:p w14:paraId="39E622A5">
      <w:pPr>
        <w:numPr>
          <w:ilvl w:val="0"/>
          <w:numId w:val="0"/>
        </w:numPr>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三是提升领导才干、认知格局、管理与自我管理水平</w:t>
      </w:r>
    </w:p>
    <w:p w14:paraId="5274E9DB">
      <w:pPr>
        <w:numPr>
          <w:ilvl w:val="0"/>
          <w:numId w:val="0"/>
        </w:numPr>
        <w:jc w:val="both"/>
        <w:rPr>
          <w:rFonts w:hint="default" w:ascii="Times New Roman" w:hAnsi="Times New Roman" w:eastAsia="方正仿宋_GB2312" w:cs="Times New Roman"/>
          <w:b/>
          <w:bCs/>
          <w:sz w:val="28"/>
          <w:szCs w:val="28"/>
          <w:lang w:val="en-US" w:eastAsia="zh-CN"/>
        </w:rPr>
      </w:pPr>
      <w:r>
        <w:rPr>
          <w:rFonts w:hint="default" w:ascii="Times New Roman" w:hAnsi="Times New Roman" w:eastAsia="方正仿宋_GB2312" w:cs="Times New Roman"/>
          <w:b/>
          <w:bCs/>
          <w:sz w:val="28"/>
          <w:szCs w:val="28"/>
          <w:lang w:val="en-US" w:eastAsia="zh-CN"/>
        </w:rPr>
        <w:t>·1234战略发展规划</w:t>
      </w:r>
    </w:p>
    <w:p w14:paraId="792F70C4">
      <w:pPr>
        <w:numPr>
          <w:ilvl w:val="0"/>
          <w:numId w:val="0"/>
        </w:numPr>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一个目标：坚决完成年度任务</w:t>
      </w:r>
    </w:p>
    <w:p w14:paraId="01DE4CB0">
      <w:pPr>
        <w:numPr>
          <w:ilvl w:val="0"/>
          <w:numId w:val="0"/>
        </w:numPr>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两个理念：客户至上  业绩为王</w:t>
      </w:r>
    </w:p>
    <w:p w14:paraId="6ACAC0C4">
      <w:pPr>
        <w:numPr>
          <w:ilvl w:val="0"/>
          <w:numId w:val="0"/>
        </w:numPr>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三个关键：提质  降本  增效</w:t>
      </w:r>
    </w:p>
    <w:p w14:paraId="53CEE931">
      <w:pPr>
        <w:numPr>
          <w:ilvl w:val="0"/>
          <w:numId w:val="0"/>
        </w:numPr>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四个确保：安全  质量  进度  成本控制</w:t>
      </w:r>
    </w:p>
    <w:p w14:paraId="7648FB8C">
      <w:pPr>
        <w:numPr>
          <w:ilvl w:val="0"/>
          <w:numId w:val="0"/>
        </w:numPr>
        <w:jc w:val="both"/>
        <w:rPr>
          <w:rFonts w:hint="eastAsia" w:asciiTheme="minorEastAsia" w:hAnsiTheme="minorEastAsia" w:cstheme="minorEastAsia"/>
          <w:b w:val="0"/>
          <w:bCs w:val="0"/>
          <w:sz w:val="28"/>
          <w:szCs w:val="28"/>
          <w:lang w:val="en-US" w:eastAsia="zh-CN"/>
        </w:rPr>
      </w:pPr>
    </w:p>
    <w:p w14:paraId="4A79D8B5">
      <w:pPr>
        <w:numPr>
          <w:ilvl w:val="0"/>
          <w:numId w:val="0"/>
        </w:numPr>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口 号：共美好  创未来</w:t>
      </w:r>
    </w:p>
    <w:p w14:paraId="3C060970">
      <w:pPr>
        <w:numPr>
          <w:ilvl w:val="0"/>
          <w:numId w:val="0"/>
        </w:numPr>
        <w:ind w:left="1120" w:hanging="1120" w:hangingChars="4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使 命：以科技创新驱动能源与产业发展，为客户创价值、为社会做贡献，为员工谋幸福</w:t>
      </w:r>
    </w:p>
    <w:p w14:paraId="654E7808">
      <w:pPr>
        <w:numPr>
          <w:ilvl w:val="0"/>
          <w:numId w:val="0"/>
        </w:numPr>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愿 景：成为百年百强国际化企业</w:t>
      </w:r>
    </w:p>
    <w:p w14:paraId="04858D20">
      <w:pPr>
        <w:numPr>
          <w:ilvl w:val="0"/>
          <w:numId w:val="0"/>
        </w:numPr>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核心价值观：始于奋斗 成于诚信 持于创新</w:t>
      </w:r>
    </w:p>
    <w:p w14:paraId="41CF11BC">
      <w:pPr>
        <w:numPr>
          <w:ilvl w:val="0"/>
          <w:numId w:val="0"/>
        </w:numPr>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人才理念：AI赋能 碳硅基人才协同 敢想敢干敢担当</w:t>
      </w:r>
    </w:p>
    <w:p w14:paraId="62B71531">
      <w:pPr>
        <w:numPr>
          <w:ilvl w:val="0"/>
          <w:numId w:val="0"/>
        </w:numPr>
        <w:jc w:val="both"/>
        <w:rPr>
          <w:rFonts w:hint="eastAsia" w:asciiTheme="minorEastAsia" w:hAnsiTheme="minorEastAsia" w:cstheme="minorEastAsia"/>
          <w:b w:val="0"/>
          <w:bCs w:val="0"/>
          <w:sz w:val="28"/>
          <w:szCs w:val="28"/>
          <w:lang w:val="en-US" w:eastAsia="zh-CN"/>
        </w:rPr>
      </w:pPr>
    </w:p>
    <w:p w14:paraId="09534253">
      <w:pPr>
        <w:numPr>
          <w:ilvl w:val="0"/>
          <w:numId w:val="0"/>
        </w:numPr>
        <w:jc w:val="both"/>
        <w:rPr>
          <w:rFonts w:hint="eastAsia" w:asciiTheme="minorEastAsia" w:hAnsiTheme="minorEastAsia" w:cstheme="minorEastAsia"/>
          <w:b w:val="0"/>
          <w:bCs w:val="0"/>
          <w:sz w:val="28"/>
          <w:szCs w:val="28"/>
          <w:lang w:val="en-US" w:eastAsia="zh-CN"/>
        </w:rPr>
      </w:pPr>
    </w:p>
    <w:p w14:paraId="2DE79AF6">
      <w:pPr>
        <w:numPr>
          <w:ilvl w:val="0"/>
          <w:numId w:val="0"/>
        </w:numPr>
        <w:jc w:val="both"/>
        <w:rPr>
          <w:rFonts w:hint="eastAsia" w:asciiTheme="minorEastAsia" w:hAnsiTheme="minorEastAsia" w:cstheme="minorEastAsia"/>
          <w:b w:val="0"/>
          <w:bCs w:val="0"/>
          <w:sz w:val="28"/>
          <w:szCs w:val="28"/>
          <w:lang w:val="en-US" w:eastAsia="zh-CN"/>
        </w:rPr>
      </w:pPr>
    </w:p>
    <w:p w14:paraId="7C91568F">
      <w:pPr>
        <w:numPr>
          <w:ilvl w:val="0"/>
          <w:numId w:val="0"/>
        </w:numPr>
        <w:jc w:val="both"/>
        <w:rPr>
          <w:rFonts w:hint="eastAsia" w:asciiTheme="minorEastAsia" w:hAnsiTheme="minorEastAsia" w:cstheme="minorEastAsia"/>
          <w:b w:val="0"/>
          <w:bCs w:val="0"/>
          <w:sz w:val="28"/>
          <w:szCs w:val="28"/>
          <w:lang w:val="en-US" w:eastAsia="zh-CN"/>
        </w:rPr>
      </w:pPr>
    </w:p>
    <w:p w14:paraId="6A96D99B">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22" w:name="_Toc6463"/>
      <w:bookmarkStart w:id="23" w:name="_Toc9079"/>
      <w:r>
        <w:rPr>
          <w:rFonts w:hint="eastAsia" w:ascii="方正小标宋简体" w:hAnsi="方正小标宋简体" w:eastAsia="方正小标宋简体" w:cs="方正小标宋简体"/>
          <w:b w:val="0"/>
          <w:bCs w:val="0"/>
          <w:sz w:val="40"/>
          <w:szCs w:val="40"/>
          <w:lang w:val="en-US" w:eastAsia="zh-CN"/>
        </w:rPr>
        <w:t>第四章  集团部门职责</w:t>
      </w:r>
      <w:bookmarkEnd w:id="22"/>
      <w:bookmarkEnd w:id="23"/>
    </w:p>
    <w:p w14:paraId="795F7388">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一、综合部</w:t>
      </w:r>
    </w:p>
    <w:p w14:paraId="316A1013">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1、公司办公环境管理。</w:t>
      </w:r>
    </w:p>
    <w:p w14:paraId="3D43BA5E">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2、办公用品、设备管理。</w:t>
      </w:r>
    </w:p>
    <w:p w14:paraId="12DFAC04">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3、公司车辆管理。</w:t>
      </w:r>
    </w:p>
    <w:p w14:paraId="689EA087">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4、会议管理。</w:t>
      </w:r>
    </w:p>
    <w:p w14:paraId="7223EB5A">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5、公司接待。</w:t>
      </w:r>
    </w:p>
    <w:p w14:paraId="16891DE1">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6、行政档案管理。</w:t>
      </w:r>
    </w:p>
    <w:p w14:paraId="7A00122E">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7、制定和完善各项规章制度。</w:t>
      </w:r>
    </w:p>
    <w:p w14:paraId="788329C9">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8、运营管理。</w:t>
      </w:r>
    </w:p>
    <w:p w14:paraId="05B07FDD">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9、企业文化建设。</w:t>
      </w:r>
    </w:p>
    <w:p w14:paraId="6F3B2438">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10、数智化和AI管理。</w:t>
      </w:r>
    </w:p>
    <w:p w14:paraId="75D7A8E4">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二、人资部</w:t>
      </w:r>
    </w:p>
    <w:p w14:paraId="750170FF">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1、抓好重点岗位（项目副经理及以上）及本部全员的人员管理（项目其他岗位人员由项目自行管理，报备集团人资部）。</w:t>
      </w:r>
    </w:p>
    <w:p w14:paraId="05E1ECB1">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2、人力资源管理制度建立完善。</w:t>
      </w:r>
    </w:p>
    <w:p w14:paraId="06E99D8A">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3、招聘管理。</w:t>
      </w:r>
    </w:p>
    <w:p w14:paraId="1934098B">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4、培训管理。</w:t>
      </w:r>
    </w:p>
    <w:p w14:paraId="3FC6647D">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5、绩效激励管理。</w:t>
      </w:r>
    </w:p>
    <w:p w14:paraId="1AAD540D">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6、薪酬福利管理。</w:t>
      </w:r>
    </w:p>
    <w:p w14:paraId="4E87FA7F">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7、劳动关系管理。</w:t>
      </w:r>
    </w:p>
    <w:p w14:paraId="1373A6DC">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8、考勤管理。</w:t>
      </w:r>
    </w:p>
    <w:p w14:paraId="225AA01C">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三、财务部</w:t>
      </w:r>
    </w:p>
    <w:p w14:paraId="73620B13">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1、负责</w:t>
      </w:r>
      <w:r>
        <w:rPr>
          <w:rFonts w:hint="default" w:ascii="Times New Roman" w:hAnsi="Times New Roman" w:eastAsia="方正仿宋_GB2312" w:cs="Times New Roman"/>
          <w:b w:val="0"/>
          <w:bCs w:val="0"/>
          <w:sz w:val="28"/>
          <w:szCs w:val="28"/>
          <w:lang w:val="en-US" w:eastAsia="zh-CN"/>
        </w:rPr>
        <w:t>制定集团财务核算、审批、资金管理等制度，并监督执行，确保财务流程规范。</w:t>
      </w:r>
    </w:p>
    <w:p w14:paraId="14C25CDE">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w:t>
      </w:r>
      <w:r>
        <w:rPr>
          <w:rFonts w:hint="default" w:ascii="Times New Roman" w:hAnsi="Times New Roman" w:eastAsia="方正仿宋_GB2312" w:cs="Times New Roman"/>
          <w:b w:val="0"/>
          <w:bCs w:val="0"/>
          <w:sz w:val="28"/>
          <w:szCs w:val="28"/>
          <w:lang w:val="en-US" w:eastAsia="zh-CN"/>
        </w:rPr>
        <w:t>编制财务及管理类报表，真实反映集团财务状况与经营成果，必要时对接机构出具审计、专项报告。</w:t>
      </w:r>
    </w:p>
    <w:p w14:paraId="149572F0">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w:t>
      </w:r>
      <w:r>
        <w:rPr>
          <w:rFonts w:hint="default" w:ascii="Times New Roman" w:hAnsi="Times New Roman" w:eastAsia="方正仿宋_GB2312" w:cs="Times New Roman"/>
          <w:b w:val="0"/>
          <w:bCs w:val="0"/>
          <w:sz w:val="28"/>
          <w:szCs w:val="28"/>
          <w:lang w:val="en-US" w:eastAsia="zh-CN"/>
        </w:rPr>
        <w:t>归集审核周/月资金计划，</w:t>
      </w:r>
      <w:r>
        <w:rPr>
          <w:rFonts w:hint="eastAsia" w:ascii="Times New Roman" w:hAnsi="Times New Roman" w:eastAsia="方正仿宋_GB2312" w:cs="Times New Roman"/>
          <w:b w:val="0"/>
          <w:bCs w:val="0"/>
          <w:sz w:val="28"/>
          <w:szCs w:val="28"/>
          <w:lang w:val="en-US" w:eastAsia="zh-CN"/>
        </w:rPr>
        <w:t>合理</w:t>
      </w:r>
      <w:r>
        <w:rPr>
          <w:rFonts w:hint="default" w:ascii="Times New Roman" w:hAnsi="Times New Roman" w:eastAsia="方正仿宋_GB2312" w:cs="Times New Roman"/>
          <w:b w:val="0"/>
          <w:bCs w:val="0"/>
          <w:sz w:val="28"/>
          <w:szCs w:val="28"/>
          <w:lang w:val="en-US" w:eastAsia="zh-CN"/>
        </w:rPr>
        <w:t>安排资金支付，严控付款节点与手续，监控资金风险。</w:t>
      </w:r>
    </w:p>
    <w:p w14:paraId="5B096BB1">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w:t>
      </w:r>
      <w:r>
        <w:rPr>
          <w:rFonts w:hint="default" w:ascii="Times New Roman" w:hAnsi="Times New Roman" w:eastAsia="方正仿宋_GB2312" w:cs="Times New Roman"/>
          <w:b w:val="0"/>
          <w:bCs w:val="0"/>
          <w:sz w:val="28"/>
          <w:szCs w:val="28"/>
          <w:lang w:val="en-US" w:eastAsia="zh-CN"/>
        </w:rPr>
        <w:t>负责集团各公司纳税申报与税款缴纳，合规开展税务筹划，维护与税务机关关系，掌握税收政策动态。</w:t>
      </w:r>
    </w:p>
    <w:p w14:paraId="4EB27A8E">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w:t>
      </w:r>
      <w:r>
        <w:rPr>
          <w:rFonts w:hint="default" w:ascii="Times New Roman" w:hAnsi="Times New Roman" w:eastAsia="方正仿宋_GB2312" w:cs="Times New Roman"/>
          <w:b w:val="0"/>
          <w:bCs w:val="0"/>
          <w:sz w:val="28"/>
          <w:szCs w:val="28"/>
          <w:lang w:val="en-US" w:eastAsia="zh-CN"/>
        </w:rPr>
        <w:t>组织各公司编制预算，经审批调整后的预算指标作为经营责任目标参考依据，跟踪并关注目标达成情况，协同相关指标考核的数据测算、分析。</w:t>
      </w:r>
    </w:p>
    <w:p w14:paraId="194E4F30">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w:t>
      </w:r>
      <w:r>
        <w:rPr>
          <w:rFonts w:hint="default" w:ascii="Times New Roman" w:hAnsi="Times New Roman" w:eastAsia="方正仿宋_GB2312" w:cs="Times New Roman"/>
          <w:b w:val="0"/>
          <w:bCs w:val="0"/>
          <w:sz w:val="28"/>
          <w:szCs w:val="28"/>
          <w:lang w:val="en-US" w:eastAsia="zh-CN"/>
        </w:rPr>
        <w:t>定期分析集团财务状况、经营成果及指标，为投资、融资、利润分配等决策提供财务建议。</w:t>
      </w:r>
    </w:p>
    <w:p w14:paraId="2DDDC399">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7、</w:t>
      </w:r>
      <w:r>
        <w:rPr>
          <w:rFonts w:hint="default" w:ascii="Times New Roman" w:hAnsi="Times New Roman" w:eastAsia="方正仿宋_GB2312" w:cs="Times New Roman"/>
          <w:b w:val="0"/>
          <w:bCs w:val="0"/>
          <w:sz w:val="28"/>
          <w:szCs w:val="28"/>
          <w:lang w:val="en-US" w:eastAsia="zh-CN"/>
        </w:rPr>
        <w:t>指定专人保管集团印章，按审批流程详细登记使用情况，外出用印专人陪同。</w:t>
      </w:r>
    </w:p>
    <w:p w14:paraId="55EA61CF">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8、</w:t>
      </w:r>
      <w:r>
        <w:rPr>
          <w:rFonts w:hint="default" w:ascii="Times New Roman" w:hAnsi="Times New Roman" w:eastAsia="方正仿宋_GB2312" w:cs="Times New Roman"/>
          <w:b w:val="0"/>
          <w:bCs w:val="0"/>
          <w:sz w:val="28"/>
          <w:szCs w:val="28"/>
          <w:lang w:val="en-US" w:eastAsia="zh-CN"/>
        </w:rPr>
        <w:t>负责会计凭证、账簿、报表等财务资料的收集、整理、归档、保管、利用与销毁。</w:t>
      </w:r>
    </w:p>
    <w:p w14:paraId="3BB88E8C">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9、</w:t>
      </w:r>
      <w:r>
        <w:rPr>
          <w:rFonts w:hint="default" w:ascii="Times New Roman" w:hAnsi="Times New Roman" w:eastAsia="方正仿宋_GB2312" w:cs="Times New Roman"/>
          <w:b w:val="0"/>
          <w:bCs w:val="0"/>
          <w:sz w:val="28"/>
          <w:szCs w:val="28"/>
          <w:lang w:val="en-US" w:eastAsia="zh-CN"/>
        </w:rPr>
        <w:t>协同综合部管理礼品仓库，涵盖入库、保管、出库、盘点及数据维护等工作，确保礼品管理精准。</w:t>
      </w:r>
    </w:p>
    <w:p w14:paraId="71C554B0">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10、</w:t>
      </w:r>
      <w:r>
        <w:rPr>
          <w:rFonts w:hint="default" w:ascii="Times New Roman" w:hAnsi="Times New Roman" w:eastAsia="方正仿宋_GB2312" w:cs="Times New Roman"/>
          <w:b w:val="0"/>
          <w:bCs w:val="0"/>
          <w:sz w:val="28"/>
          <w:szCs w:val="28"/>
          <w:lang w:val="en-US" w:eastAsia="zh-CN"/>
        </w:rPr>
        <w:t>负责集团各公司工商年度申报工作。</w:t>
      </w:r>
    </w:p>
    <w:p w14:paraId="466C44E8">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11、</w:t>
      </w:r>
      <w:r>
        <w:rPr>
          <w:rFonts w:hint="default" w:ascii="Times New Roman" w:hAnsi="Times New Roman" w:eastAsia="方正仿宋_GB2312" w:cs="Times New Roman"/>
          <w:b w:val="0"/>
          <w:bCs w:val="0"/>
          <w:sz w:val="28"/>
          <w:szCs w:val="28"/>
          <w:lang w:val="en-US" w:eastAsia="zh-CN"/>
        </w:rPr>
        <w:t>参与融资工作，配合提供各类财务报表、报告及数据资料。</w:t>
      </w:r>
    </w:p>
    <w:p w14:paraId="000CBFA1">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四、法务部</w:t>
      </w:r>
    </w:p>
    <w:p w14:paraId="730F475C">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1、合同管理：起草、审核和修订各类合同文件；参与重要合同谈判，提供法律意见；监督合同执行，及时处理执行中的法律问题。</w:t>
      </w:r>
    </w:p>
    <w:p w14:paraId="5D55BFE1">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2、合规管理：关注并评估法律法规变化对公司的潜在影响，制定相应策略；协助制定和完善内部规章制度，确保公司运营合法合规；组织法律培训，提升员工的法律意识。</w:t>
      </w:r>
    </w:p>
    <w:p w14:paraId="5A329928">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3、风险管理：识别公司运营过程中可能出现的法律风险，进行风险评估，并制定应对策略。</w:t>
      </w:r>
    </w:p>
    <w:p w14:paraId="443EA65D">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4、纠纷解决：代表处理诉讼、仲裁等争议解决程序，保护公司权益。</w:t>
      </w:r>
    </w:p>
    <w:p w14:paraId="388B90D0">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5、项目支持：在项目建设和运营期间，提供必要的法律支持和服务，确保项目顺利进行；提供新项目的法律咨询合支持，确保符合法律规定。</w:t>
      </w:r>
    </w:p>
    <w:p w14:paraId="3F41C7EF">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6、外部关系协调：协调与外部法律顾问的合作；维护与司法部门的关系，获取支持。</w:t>
      </w:r>
    </w:p>
    <w:p w14:paraId="4F63B931">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7、紧急响应：快速响应公司面临的紧急法律事件，采取有效措施降低损失。</w:t>
      </w:r>
    </w:p>
    <w:p w14:paraId="25025019">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8、其他：基于实践经验，不断优化法务工作流程和方法，提升工作效率和服务质量；</w:t>
      </w:r>
      <w:r>
        <w:rPr>
          <w:rFonts w:hint="default" w:ascii="Times New Roman" w:hAnsi="Times New Roman" w:eastAsia="方正仿宋_GB2312" w:cs="Times New Roman"/>
          <w:b w:val="0"/>
          <w:bCs w:val="0"/>
          <w:sz w:val="28"/>
          <w:szCs w:val="28"/>
          <w:lang w:val="en-US" w:eastAsia="zh-CN"/>
        </w:rPr>
        <w:t>高效完成领导交办的临时法律工作，积极配合其他部门处理法律事务，为集团运营提供全方位法律支持。</w:t>
      </w:r>
    </w:p>
    <w:p w14:paraId="1A3D8445">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五、市场营销部</w:t>
      </w:r>
    </w:p>
    <w:p w14:paraId="1D3A3AA2">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1、制定并执行媒体宣传策略，整合线上线下媒体资源，提升集团品牌知名度与影响力。</w:t>
      </w:r>
    </w:p>
    <w:p w14:paraId="3EE25ABE">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2、建立并维护媒体关系，密切沟通，发布重要信息，争取正面报道，应对负面舆情，维护品牌形象。</w:t>
      </w:r>
    </w:p>
    <w:p w14:paraId="31732058">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3、策划组织新品发布会等媒体活动，邀媒体报道，扩大影响力，提高品牌曝光度。</w:t>
      </w:r>
    </w:p>
    <w:p w14:paraId="77A1516F">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4、制定营销推广方案，明确目标对象，分析市场与需求，制定方案吸引优质企业入驻项目。</w:t>
      </w:r>
    </w:p>
    <w:p w14:paraId="0FE248FB">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5、通过线上线下多渠道推广招商项目，发布信息，拓展渠道，寻找客户，助力达成招商目标。</w:t>
      </w:r>
    </w:p>
    <w:p w14:paraId="0D958A7D">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6、制定集团品牌战略规划，明确关键要素，构建品牌体系，确保市场竞争力。</w:t>
      </w:r>
    </w:p>
    <w:p w14:paraId="0B45C2B6">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7、策划执行品牌传播活动，通过创意与有效执行，提升品牌知名度、美誉度与忠诚度。</w:t>
      </w:r>
    </w:p>
    <w:p w14:paraId="2A6320CB">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8、维护管理品牌形象，规范视觉识别等，监测市场与对手，及时调整策略。</w:t>
      </w:r>
    </w:p>
    <w:p w14:paraId="385FB248">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六、工程部</w:t>
      </w:r>
    </w:p>
    <w:p w14:paraId="78A7B251">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1、负责集团工程部日常管理，对各项目工程建设进行统筹规划、推动与专业指导，确保项目按计划有序开展。</w:t>
      </w:r>
    </w:p>
    <w:p w14:paraId="6BDB55D8">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2、负责建立与修订集团工程管理的各项制度，涵盖工程流程、质量标准等，通过有效监督与培训，全力推动制度的严格落实与高效执行。</w:t>
      </w:r>
    </w:p>
    <w:p w14:paraId="59CEF71B">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3、对各项目工程进度与实施计划进行细致审核，设立关键节点并严格监督执行情况，及时预警偏差，保障工程按时推进。</w:t>
      </w:r>
    </w:p>
    <w:p w14:paraId="0F1380A2">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4、全面把控施工成本、质量、进度与安全等关键方面，运用科学方法进行过程监控，审核各项目提交的相关方案。</w:t>
      </w:r>
    </w:p>
    <w:p w14:paraId="636ED3D6">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5、对工程实施与管理过程中的重大问题，迅速组织专业力量给予及时解决。积极协调施工方、供应商、监理等相关单位之间的关系，营造良好合作氛围。</w:t>
      </w:r>
    </w:p>
    <w:p w14:paraId="03EB0A27">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6、协助项目团队推进工程进度款及预结算审核工作，严格把控材料及设备批价流程，对工程变更签证进行精准审核，确保资金合理使用与工程变更合规。</w:t>
      </w:r>
    </w:p>
    <w:p w14:paraId="718F5F11">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7、深度参与项目工程竣工验收，确保工程符合交付标准。</w:t>
      </w:r>
    </w:p>
    <w:p w14:paraId="3BE243A5">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8、建立公司及项目两级风险管控机制。</w:t>
      </w:r>
    </w:p>
    <w:p w14:paraId="1863C1FC">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七、招采部</w:t>
      </w:r>
    </w:p>
    <w:p w14:paraId="29EDB004">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1、负责供应商开发与管理，建立并完善供应商开发与评估体系，通过多渠道寻找潜在供应商，定期评估现有供应商，依据多指标对现有供应商量化考核、分级管理，与供应商建立长期稳定合作关系。</w:t>
      </w:r>
    </w:p>
    <w:p w14:paraId="492EA6ED">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2、负责招标采购组织实施，针对各类项目、劳务、材料设备及服务策划组织招标，制定方案，编制准确完整的招标文件，组织招标流程，选定中标单位并完成后续合同签订协调。</w:t>
      </w:r>
    </w:p>
    <w:p w14:paraId="549F17E6">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3、负责合同全流程管理，依项目需求与招标结果起草合同，组织各相关部门进行合同审核修改，针对争议条款谈判，完成签订后及时下发，建立档案系统跟踪执行情况。</w:t>
      </w:r>
    </w:p>
    <w:p w14:paraId="12801E37">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4、负责成本管控与优化，运用比价、谈判等手段争取有利采购价格，审核报价纠正不合理价格，联合多部门对技术方案和工艺标准评估优化以降低成本。</w:t>
      </w:r>
    </w:p>
    <w:p w14:paraId="12C73C08">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5、参与制定质量标准与验收规范，监督供应商生产过程、参与到货验收，进行质量问题反馈和纠偏工作。</w:t>
      </w:r>
    </w:p>
    <w:p w14:paraId="16FF5E0F">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6、与项目公司、成本、工程、法务等部门紧密合作，依据项目进度安排招采工作，确保与各部门工作无缝衔接，推动集团项目顺利开展。</w:t>
      </w:r>
    </w:p>
    <w:p w14:paraId="1B1F9BFC">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八、成本部</w:t>
      </w:r>
    </w:p>
    <w:p w14:paraId="65F1D1CE">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1、负责测算项目成本预算，依据项目规划、经验数据等，精确估算项目各阶段直接和间接成本，及时更新调整。</w:t>
      </w:r>
    </w:p>
    <w:p w14:paraId="30E3529E">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w:t>
      </w:r>
      <w:r>
        <w:rPr>
          <w:rFonts w:hint="default" w:ascii="Times New Roman" w:hAnsi="Times New Roman" w:eastAsia="方正仿宋_GB2312" w:cs="Times New Roman"/>
          <w:b w:val="0"/>
          <w:bCs w:val="0"/>
          <w:sz w:val="28"/>
          <w:szCs w:val="28"/>
          <w:lang w:val="en-US" w:eastAsia="zh-CN"/>
        </w:rPr>
        <w:t>负责项目劳务和材料分包的招标配合及结算，包括协助招标、审核报价、结算核算等。</w:t>
      </w:r>
    </w:p>
    <w:p w14:paraId="5BA24C5E">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w:t>
      </w:r>
      <w:r>
        <w:rPr>
          <w:rFonts w:hint="default" w:ascii="Times New Roman" w:hAnsi="Times New Roman" w:eastAsia="方正仿宋_GB2312" w:cs="Times New Roman"/>
          <w:b w:val="0"/>
          <w:bCs w:val="0"/>
          <w:sz w:val="28"/>
          <w:szCs w:val="28"/>
          <w:lang w:val="en-US" w:eastAsia="zh-CN"/>
        </w:rPr>
        <w:t>负责项目预算、签证、索赔和结算，配合成本核算，审核相关事项，更新预算。</w:t>
      </w:r>
    </w:p>
    <w:p w14:paraId="4DCB79C1">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w:t>
      </w:r>
      <w:r>
        <w:rPr>
          <w:rFonts w:hint="default" w:ascii="Times New Roman" w:hAnsi="Times New Roman" w:eastAsia="方正仿宋_GB2312" w:cs="Times New Roman"/>
          <w:b w:val="0"/>
          <w:bCs w:val="0"/>
          <w:sz w:val="28"/>
          <w:szCs w:val="28"/>
          <w:lang w:val="en-US" w:eastAsia="zh-CN"/>
        </w:rPr>
        <w:t>编制施工图、施工预算和工料指标，控制施工成本，考虑施工因素调整预算指标。</w:t>
      </w:r>
    </w:p>
    <w:p w14:paraId="065C5FF4">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w:t>
      </w:r>
      <w:r>
        <w:rPr>
          <w:rFonts w:hint="default" w:ascii="Times New Roman" w:hAnsi="Times New Roman" w:eastAsia="方正仿宋_GB2312" w:cs="Times New Roman"/>
          <w:b w:val="0"/>
          <w:bCs w:val="0"/>
          <w:sz w:val="28"/>
          <w:szCs w:val="28"/>
          <w:lang w:val="en-US" w:eastAsia="zh-CN"/>
        </w:rPr>
        <w:t>审核材料采购和劳务用工价格，建立审核机制，监控价格波动及合理性。</w:t>
      </w:r>
    </w:p>
    <w:p w14:paraId="00D8F531">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w:t>
      </w:r>
      <w:r>
        <w:rPr>
          <w:rFonts w:hint="default" w:ascii="Times New Roman" w:hAnsi="Times New Roman" w:eastAsia="方正仿宋_GB2312" w:cs="Times New Roman"/>
          <w:b w:val="0"/>
          <w:bCs w:val="0"/>
          <w:sz w:val="28"/>
          <w:szCs w:val="28"/>
          <w:lang w:val="en-US" w:eastAsia="zh-CN"/>
        </w:rPr>
        <w:t>负责与供应商结算，核对合同执行情况，处理争议和问题。</w:t>
      </w:r>
    </w:p>
    <w:p w14:paraId="751A2E8F">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7、</w:t>
      </w:r>
      <w:r>
        <w:rPr>
          <w:rFonts w:hint="default" w:ascii="Times New Roman" w:hAnsi="Times New Roman" w:eastAsia="方正仿宋_GB2312" w:cs="Times New Roman"/>
          <w:b w:val="0"/>
          <w:bCs w:val="0"/>
          <w:sz w:val="28"/>
          <w:szCs w:val="28"/>
          <w:lang w:val="en-US" w:eastAsia="zh-CN"/>
        </w:rPr>
        <w:t>监督甲供材损耗，审核使用情况，收集整理成本资料并归档。</w:t>
      </w:r>
    </w:p>
    <w:p w14:paraId="36CA678E">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8、</w:t>
      </w:r>
      <w:r>
        <w:rPr>
          <w:rFonts w:hint="default" w:ascii="Times New Roman" w:hAnsi="Times New Roman" w:eastAsia="方正仿宋_GB2312" w:cs="Times New Roman"/>
          <w:b w:val="0"/>
          <w:bCs w:val="0"/>
          <w:sz w:val="28"/>
          <w:szCs w:val="28"/>
          <w:lang w:val="en-US" w:eastAsia="zh-CN"/>
        </w:rPr>
        <w:t>配合审核材料需求计划，从成本角度评估和优化，避免浪费。</w:t>
      </w:r>
    </w:p>
    <w:p w14:paraId="7812468E">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9、</w:t>
      </w:r>
      <w:r>
        <w:rPr>
          <w:rFonts w:hint="default" w:ascii="Times New Roman" w:hAnsi="Times New Roman" w:eastAsia="方正仿宋_GB2312" w:cs="Times New Roman"/>
          <w:b w:val="0"/>
          <w:bCs w:val="0"/>
          <w:sz w:val="28"/>
          <w:szCs w:val="28"/>
          <w:lang w:val="en-US" w:eastAsia="zh-CN"/>
        </w:rPr>
        <w:t>归集成本信息，整理入数据库，为后续项目提供参考，支持成本管理。</w:t>
      </w:r>
    </w:p>
    <w:p w14:paraId="103D1FA4">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10、</w:t>
      </w:r>
      <w:r>
        <w:rPr>
          <w:rFonts w:hint="default" w:ascii="Times New Roman" w:hAnsi="Times New Roman" w:eastAsia="方正仿宋_GB2312" w:cs="Times New Roman"/>
          <w:b w:val="0"/>
          <w:bCs w:val="0"/>
          <w:sz w:val="28"/>
          <w:szCs w:val="28"/>
          <w:lang w:val="en-US" w:eastAsia="zh-CN"/>
        </w:rPr>
        <w:t>配合项目部门，提供帮助、解决问题，提出成本要求和解决方案。</w:t>
      </w:r>
    </w:p>
    <w:p w14:paraId="2EB6BE60">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九、招标部</w:t>
      </w:r>
    </w:p>
    <w:p w14:paraId="0F2A1AA5">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1、建章立制与内部管理‌：学习并遵循相关的招投标法律法规，确保招投标活动的合法合规，同时制定、修订招投标管理办法及实施细则和相应的操作流程。</w:t>
      </w:r>
    </w:p>
    <w:p w14:paraId="4C1242C4">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2、投标活动的组织与协调：从项目报名开始至投标活动结束，组织公司相关参与部门进行标前策划、任务分解，圆满完成项目投标活动。</w:t>
      </w:r>
    </w:p>
    <w:p w14:paraId="02FBFDE0">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3、投标文件的编制与管理：负责撰写和整理投标文件，确保文件内容的完整性、准确性和规范性；包括技术方案、商务报价、公司资质等材料的准备和编制，确保符合招标方的要求。‌</w:t>
      </w:r>
    </w:p>
    <w:p w14:paraId="3EADC81A">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4、投标活动的复盘分析：投标结束后，对投标结果进行分析，总结成功与失败的经验教训，为后续投标活动提供参考依据。</w:t>
      </w:r>
    </w:p>
    <w:p w14:paraId="3200BE82">
      <w:pPr>
        <w:numPr>
          <w:ilvl w:val="0"/>
          <w:numId w:val="0"/>
        </w:numPr>
        <w:jc w:val="center"/>
        <w:outlineLvl w:val="0"/>
        <w:rPr>
          <w:rFonts w:hint="eastAsia" w:asciiTheme="minorEastAsia" w:hAnsiTheme="minorEastAsia" w:cstheme="minorEastAsia"/>
          <w:b/>
          <w:bCs/>
          <w:sz w:val="40"/>
          <w:szCs w:val="40"/>
          <w:lang w:val="en-US" w:eastAsia="zh-CN"/>
        </w:rPr>
      </w:pPr>
    </w:p>
    <w:p w14:paraId="15591FAD">
      <w:pPr>
        <w:numPr>
          <w:ilvl w:val="0"/>
          <w:numId w:val="0"/>
        </w:numPr>
        <w:jc w:val="center"/>
        <w:outlineLvl w:val="0"/>
        <w:rPr>
          <w:rFonts w:hint="eastAsia" w:asciiTheme="minorEastAsia" w:hAnsiTheme="minorEastAsia" w:cstheme="minorEastAsia"/>
          <w:b/>
          <w:bCs/>
          <w:sz w:val="40"/>
          <w:szCs w:val="40"/>
          <w:lang w:val="en-US" w:eastAsia="zh-CN"/>
        </w:rPr>
      </w:pPr>
    </w:p>
    <w:p w14:paraId="61186F3D">
      <w:pPr>
        <w:numPr>
          <w:ilvl w:val="0"/>
          <w:numId w:val="0"/>
        </w:numPr>
        <w:jc w:val="center"/>
        <w:outlineLvl w:val="0"/>
        <w:rPr>
          <w:rFonts w:hint="eastAsia" w:asciiTheme="minorEastAsia" w:hAnsiTheme="minorEastAsia" w:cstheme="minorEastAsia"/>
          <w:b/>
          <w:bCs/>
          <w:sz w:val="40"/>
          <w:szCs w:val="40"/>
          <w:lang w:val="en-US" w:eastAsia="zh-CN"/>
        </w:rPr>
      </w:pPr>
    </w:p>
    <w:p w14:paraId="5342BC0A">
      <w:pPr>
        <w:numPr>
          <w:ilvl w:val="0"/>
          <w:numId w:val="0"/>
        </w:numPr>
        <w:jc w:val="center"/>
        <w:outlineLvl w:val="0"/>
        <w:rPr>
          <w:rFonts w:hint="eastAsia" w:asciiTheme="minorEastAsia" w:hAnsiTheme="minorEastAsia" w:cstheme="minorEastAsia"/>
          <w:b/>
          <w:bCs/>
          <w:sz w:val="40"/>
          <w:szCs w:val="40"/>
          <w:lang w:val="en-US" w:eastAsia="zh-CN"/>
        </w:rPr>
      </w:pPr>
    </w:p>
    <w:p w14:paraId="5960F5D0">
      <w:pPr>
        <w:numPr>
          <w:ilvl w:val="0"/>
          <w:numId w:val="0"/>
        </w:numPr>
        <w:jc w:val="center"/>
        <w:outlineLvl w:val="0"/>
        <w:rPr>
          <w:rFonts w:hint="eastAsia" w:asciiTheme="minorEastAsia" w:hAnsiTheme="minorEastAsia" w:cstheme="minorEastAsia"/>
          <w:b/>
          <w:bCs/>
          <w:sz w:val="40"/>
          <w:szCs w:val="40"/>
          <w:lang w:val="en-US" w:eastAsia="zh-CN"/>
        </w:rPr>
      </w:pPr>
    </w:p>
    <w:p w14:paraId="2ACC1277">
      <w:pPr>
        <w:numPr>
          <w:ilvl w:val="0"/>
          <w:numId w:val="0"/>
        </w:numPr>
        <w:jc w:val="center"/>
        <w:outlineLvl w:val="0"/>
        <w:rPr>
          <w:rFonts w:hint="eastAsia" w:asciiTheme="minorEastAsia" w:hAnsiTheme="minorEastAsia" w:cstheme="minorEastAsia"/>
          <w:b/>
          <w:bCs/>
          <w:sz w:val="40"/>
          <w:szCs w:val="40"/>
          <w:lang w:val="en-US" w:eastAsia="zh-CN"/>
        </w:rPr>
      </w:pPr>
    </w:p>
    <w:p w14:paraId="78BFFF6F">
      <w:pPr>
        <w:numPr>
          <w:ilvl w:val="0"/>
          <w:numId w:val="0"/>
        </w:numPr>
        <w:jc w:val="both"/>
        <w:outlineLvl w:val="0"/>
        <w:rPr>
          <w:rFonts w:hint="eastAsia" w:asciiTheme="minorEastAsia" w:hAnsiTheme="minorEastAsia" w:cstheme="minorEastAsia"/>
          <w:b/>
          <w:bCs/>
          <w:sz w:val="40"/>
          <w:szCs w:val="40"/>
          <w:lang w:val="en-US" w:eastAsia="zh-CN"/>
        </w:rPr>
      </w:pPr>
    </w:p>
    <w:p w14:paraId="42E0E772">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24" w:name="_Toc16618"/>
      <w:bookmarkStart w:id="25" w:name="_Toc16340"/>
      <w:r>
        <w:rPr>
          <w:rFonts w:hint="eastAsia" w:ascii="方正小标宋简体" w:hAnsi="方正小标宋简体" w:eastAsia="方正小标宋简体" w:cs="方正小标宋简体"/>
          <w:b w:val="0"/>
          <w:bCs w:val="0"/>
          <w:sz w:val="40"/>
          <w:szCs w:val="40"/>
          <w:lang w:val="en-US" w:eastAsia="zh-CN"/>
        </w:rPr>
        <w:t>第五章  行政管理</w:t>
      </w:r>
      <w:bookmarkEnd w:id="24"/>
      <w:bookmarkEnd w:id="25"/>
    </w:p>
    <w:p w14:paraId="7DB1EB47">
      <w:pPr>
        <w:numPr>
          <w:ilvl w:val="0"/>
          <w:numId w:val="0"/>
        </w:numPr>
        <w:jc w:val="center"/>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第一节 员工行为准则</w:t>
      </w:r>
    </w:p>
    <w:p w14:paraId="7DD1F48C">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一、职业操守</w:t>
      </w:r>
    </w:p>
    <w:p w14:paraId="5865ADBD">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诚实守信：保持诚实，遵守承诺，不进行任何欺诈、舞弊行为。</w:t>
      </w:r>
    </w:p>
    <w:p w14:paraId="4CFF59FA">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尊重他人：尊重同事、客户和合作伙伴的权益，避免任何形式的歧视和骚扰。</w:t>
      </w:r>
    </w:p>
    <w:p w14:paraId="6B6C46F5">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保护公司资产：妥善保管公司财物，严禁浪费、滥用或非法侵占公司资产。</w:t>
      </w:r>
    </w:p>
    <w:p w14:paraId="7FAA1B3A">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维护公司利益：严守公司商业机密，不泄露公司敏感信息。</w:t>
      </w:r>
    </w:p>
    <w:p w14:paraId="341FB0F9">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二、工作态度</w:t>
      </w:r>
    </w:p>
    <w:p w14:paraId="37F143D0">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勤奋尽责：按时完成工作任务，尽职尽责，不推诿扯皮。</w:t>
      </w:r>
    </w:p>
    <w:p w14:paraId="6F878F1A">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积极主动：勇于承担责任，积极主动解决问题。</w:t>
      </w:r>
    </w:p>
    <w:p w14:paraId="7B18D54B">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团队合作：积极与同事协作，共同完成工作任务。</w:t>
      </w:r>
    </w:p>
    <w:p w14:paraId="2D7D3B58">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学习成长：持续学习，不断提升个人能力和素质。</w:t>
      </w:r>
    </w:p>
    <w:p w14:paraId="252D17A1">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三、社交行为</w:t>
      </w:r>
    </w:p>
    <w:p w14:paraId="48DAAFCB">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遵守法律法规：遵守国家法律法规，不从事违法活动。</w:t>
      </w:r>
    </w:p>
    <w:p w14:paraId="2E1DACDB">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维护公司形象：在外言行举止应维护公司形象，避免对公司造成负面影响。</w:t>
      </w:r>
    </w:p>
    <w:p w14:paraId="63A1FECE">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四、“十不准”</w:t>
      </w:r>
    </w:p>
    <w:p w14:paraId="140DF73B">
      <w:pPr>
        <w:numPr>
          <w:ilvl w:val="0"/>
          <w:numId w:val="0"/>
        </w:numPr>
        <w:ind w:firstLine="280" w:firstLineChars="1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不推诿推卸  不拖延阻误  不敷衍草率  不懈怠懒散 不浮躁浮夸</w:t>
      </w:r>
    </w:p>
    <w:p w14:paraId="0DBC61EA">
      <w:pPr>
        <w:numPr>
          <w:ilvl w:val="0"/>
          <w:numId w:val="0"/>
        </w:numPr>
        <w:ind w:firstLine="280" w:firstLineChars="1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不骄傲自满  不抱怨牢骚  不消极悲观  不弄虚作假 不浪费挥霍</w:t>
      </w:r>
    </w:p>
    <w:p w14:paraId="323C28E7">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五、7S管理</w:t>
      </w:r>
    </w:p>
    <w:p w14:paraId="7EC572F6">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1、整理（Seiri）：员工应对工作现场物品进行分类处理，区分为必要物品和非必要物品、常用物品和非常用物品、一般物品和贵重物品等。</w:t>
      </w:r>
    </w:p>
    <w:p w14:paraId="64100D63">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2、整顿（Seiton）：对非必要物品妥善处理、对必要物品要妥善保存，使工作现场秩序昂然、井井有条，并能经常保持良好状态。</w:t>
      </w:r>
    </w:p>
    <w:p w14:paraId="04DE72F6">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3、清扫（Seiso）：对各自岗位周围、办公设施进行彻底清扫、清洗，保持无垃圾、无脏污。</w:t>
      </w:r>
    </w:p>
    <w:p w14:paraId="218D0B81">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4、清洁(Seiketsu)：维护整理、整顿、清扫后的整洁状态。</w:t>
      </w:r>
    </w:p>
    <w:p w14:paraId="2F1ADAC0">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5、素养(Shitsuke)：培养文明礼貌习惯，自觉遵守各项规章制度，养成良好的工作习惯。</w:t>
      </w:r>
    </w:p>
    <w:p w14:paraId="3AEE105E">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6、安全(Safety)：确保工作环境安全无隐患，预防事故发生。</w:t>
      </w:r>
    </w:p>
    <w:p w14:paraId="006F626A">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7、节约(Save)：确保有效利用资源，避免无谓浪费的行为。</w:t>
      </w:r>
    </w:p>
    <w:p w14:paraId="32A47DD8">
      <w:pPr>
        <w:numPr>
          <w:ilvl w:val="0"/>
          <w:numId w:val="0"/>
        </w:numPr>
        <w:jc w:val="center"/>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第二节 钉钉办公管理</w:t>
      </w:r>
    </w:p>
    <w:p w14:paraId="6C7AFAE5">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一、管理要求</w:t>
      </w:r>
    </w:p>
    <w:p w14:paraId="5FB7B95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1、公司入职员工须按照要求使用钉钉，积极在钉钉上沟通工作，提高工作效率。</w:t>
      </w:r>
    </w:p>
    <w:p w14:paraId="7D6EA62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2、公司重要通知将在钉钉上发布，员工应及时查阅。</w:t>
      </w:r>
    </w:p>
    <w:p w14:paraId="78BD490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3、所有工作流程、文件审批等均需在钉钉上进行。</w:t>
      </w:r>
    </w:p>
    <w:p w14:paraId="0AE29BD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4、钉钉账号须使用本人姓名及头像，并仅限添加公司同事，离职人员人资部须及时清除。员工应保证账号安全，不泄露账号密码等信息。</w:t>
      </w:r>
    </w:p>
    <w:p w14:paraId="4E3BCC7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5、员工应保护好自己的钉钉工作台数据，避免数据丢失。严禁将钉钉平台信息转载或传阅给他人，否则按泄密处理。</w:t>
      </w:r>
    </w:p>
    <w:p w14:paraId="4D303374">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二、管理和推广应用</w:t>
      </w:r>
    </w:p>
    <w:p w14:paraId="41B741A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钉钉的主管理权限由综合部负责。与钉钉平台业务技术对接、使用功能推广应用也由综合部负责。综合部要分配相关部门、项目公司一定权限，以便做好业务审批流程、新模块建立应用等优化升级和管理工作。</w:t>
      </w:r>
    </w:p>
    <w:p w14:paraId="7FF7BD9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2、集团各部门、项目，如需调整钉钉流程需上报综合部，并明确调整内容及要求，最终根据要求调整。</w:t>
      </w:r>
    </w:p>
    <w:p w14:paraId="524D2599">
      <w:pPr>
        <w:numPr>
          <w:ilvl w:val="0"/>
          <w:numId w:val="0"/>
        </w:numPr>
        <w:jc w:val="center"/>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第三节 会议管理</w:t>
      </w:r>
    </w:p>
    <w:p w14:paraId="7C959B48">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一、会议类型</w:t>
      </w:r>
    </w:p>
    <w:p w14:paraId="3E8F5F7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1、晨会：每日9:00在大厅召开，本部全体员工参与。各项目自行安排。内容详见晨会流程。</w:t>
      </w:r>
    </w:p>
    <w:p w14:paraId="02C4AE5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2、周例会：每周周一8:45集团会议室召开，各部门、项目公司负责人做工作汇报。</w:t>
      </w:r>
    </w:p>
    <w:p w14:paraId="2E34404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3、领导班子会议：每周周一召开，领导班子成员就分管工作有需要提交会议研究事项，要把议题提前发至钉钉领导班子群，以便列入会议议程。议题提出部门或项目负责人做好汇报工作。</w:t>
      </w:r>
    </w:p>
    <w:p w14:paraId="467A3EF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4、部门会议：各部门根据业务管理需要自行制定，由部门内部人员参加，主要汇报工作进展、协调工作问题。</w:t>
      </w:r>
    </w:p>
    <w:p w14:paraId="6F83B59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5、季度、半年度、年度述职会：季度、半年度及年度等会议由综合部组织，集团各部门、项目公司负责人做工作汇报。</w:t>
      </w:r>
    </w:p>
    <w:p w14:paraId="2CF8599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6、其他会议：集团领导根据工作需要进行安排。</w:t>
      </w:r>
    </w:p>
    <w:p w14:paraId="34AEEDBF">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二、组织通知与记录</w:t>
      </w:r>
    </w:p>
    <w:p w14:paraId="174F371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1、会议组织者</w:t>
      </w:r>
      <w:r>
        <w:rPr>
          <w:rFonts w:hint="default" w:ascii="Times New Roman" w:hAnsi="Times New Roman" w:eastAsia="方正仿宋_GB2312" w:cs="Times New Roman"/>
          <w:b w:val="0"/>
          <w:bCs w:val="0"/>
          <w:sz w:val="28"/>
          <w:szCs w:val="28"/>
          <w:lang w:val="en-US" w:eastAsia="zh-CN"/>
        </w:rPr>
        <w:t>负责通知参会人员，告知会议时间、地点、参加人员、会议主题、主要内容、参会人员需提前准备的资料等</w:t>
      </w:r>
      <w:r>
        <w:rPr>
          <w:rFonts w:hint="eastAsia" w:ascii="Times New Roman" w:hAnsi="Times New Roman" w:eastAsia="方正仿宋_GB2312" w:cs="Times New Roman"/>
          <w:b w:val="0"/>
          <w:bCs w:val="0"/>
          <w:sz w:val="28"/>
          <w:szCs w:val="28"/>
          <w:lang w:val="en-US" w:eastAsia="zh-CN"/>
        </w:rPr>
        <w:t>。</w:t>
      </w:r>
    </w:p>
    <w:p w14:paraId="19E4EE6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2、会议记录人须在会议结束后及时整理会议纪要，将会议决策、行动计划等内容清晰、准确地记录并下发。</w:t>
      </w:r>
    </w:p>
    <w:p w14:paraId="4C505D4F">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三、PDCA管理</w:t>
      </w:r>
    </w:p>
    <w:p w14:paraId="1F559BBF">
      <w:pPr>
        <w:keepNext w:val="0"/>
        <w:keepLines w:val="0"/>
        <w:pageBreakBefore w:val="0"/>
        <w:widowControl w:val="0"/>
        <w:numPr>
          <w:ilvl w:val="0"/>
          <w:numId w:val="0"/>
        </w:numPr>
        <w:kinsoku/>
        <w:wordWrap/>
        <w:overflowPunct/>
        <w:topLinePunct w:val="0"/>
        <w:autoSpaceDE/>
        <w:autoSpaceDN/>
        <w:bidi w:val="0"/>
        <w:adjustRightInd/>
        <w:snapToGrid/>
        <w:ind w:left="559" w:leftChars="266" w:firstLine="0" w:firstLineChars="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1、Plan（计划）：制定会议目标、议程和分工（对应会前准备）2、Do（执行）：按计划召开会议并落实讨论（对应会中实施）</w:t>
      </w:r>
    </w:p>
    <w:p w14:paraId="12C451D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3、Check（检查）：评估会议效率、成果与问题（对应会后复盘）</w:t>
      </w:r>
    </w:p>
    <w:p w14:paraId="7DF54BE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4、Action（处理）</w:t>
      </w:r>
      <w:r>
        <w:rPr>
          <w:rFonts w:hint="default" w:ascii="Times New Roman" w:hAnsi="Times New Roman" w:eastAsia="方正仿宋_GB2312" w:cs="Times New Roman"/>
          <w:b w:val="0"/>
          <w:bCs w:val="0"/>
          <w:sz w:val="28"/>
          <w:szCs w:val="28"/>
          <w:lang w:val="en-US" w:eastAsia="zh-CN"/>
        </w:rPr>
        <w:t>：总结经验教训，优化流程，为下一次会议改进（对应</w:t>
      </w:r>
      <w:r>
        <w:rPr>
          <w:rFonts w:hint="eastAsia" w:ascii="Times New Roman" w:hAnsi="Times New Roman" w:eastAsia="方正仿宋_GB2312" w:cs="Times New Roman"/>
          <w:b w:val="0"/>
          <w:bCs w:val="0"/>
          <w:sz w:val="28"/>
          <w:szCs w:val="28"/>
          <w:lang w:val="en-US" w:eastAsia="zh-CN"/>
        </w:rPr>
        <w:t>会后</w:t>
      </w:r>
      <w:r>
        <w:rPr>
          <w:rFonts w:hint="default" w:ascii="Times New Roman" w:hAnsi="Times New Roman" w:eastAsia="方正仿宋_GB2312" w:cs="Times New Roman"/>
          <w:b w:val="0"/>
          <w:bCs w:val="0"/>
          <w:sz w:val="28"/>
          <w:szCs w:val="28"/>
          <w:lang w:val="en-US" w:eastAsia="zh-CN"/>
        </w:rPr>
        <w:t>改进）</w:t>
      </w:r>
    </w:p>
    <w:p w14:paraId="1778F7CE">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四、会议纪律</w:t>
      </w:r>
    </w:p>
    <w:p w14:paraId="0198173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1、参会人员需按时参加会议，提前至少5分钟入场完毕，不得无故缺席、迟到或早退。</w:t>
      </w:r>
    </w:p>
    <w:p w14:paraId="09094A2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2、参会人员应保持会议秩序，尊重他人发言，不得打断他人发言或进行人身攻击。</w:t>
      </w:r>
    </w:p>
    <w:p w14:paraId="61AAA0F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3、会议中请保持手机静音或关机，如需接听电话请离开会议室。</w:t>
      </w:r>
    </w:p>
    <w:p w14:paraId="2DDCFE7B">
      <w:pPr>
        <w:numPr>
          <w:ilvl w:val="0"/>
          <w:numId w:val="0"/>
        </w:numPr>
        <w:ind w:firstLine="560" w:firstLineChars="200"/>
        <w:jc w:val="both"/>
        <w:rPr>
          <w:rFonts w:hint="eastAsia" w:asciiTheme="minorEastAsia" w:hAnsiTheme="minorEastAsia" w:cstheme="minorEastAsia"/>
          <w:b w:val="0"/>
          <w:bCs w:val="0"/>
          <w:sz w:val="28"/>
          <w:szCs w:val="28"/>
          <w:lang w:val="en-US" w:eastAsia="zh-CN"/>
        </w:rPr>
      </w:pPr>
    </w:p>
    <w:p w14:paraId="657CD591">
      <w:pPr>
        <w:numPr>
          <w:ilvl w:val="0"/>
          <w:numId w:val="0"/>
        </w:numPr>
        <w:ind w:firstLine="560" w:firstLineChars="200"/>
        <w:jc w:val="both"/>
        <w:rPr>
          <w:rFonts w:hint="eastAsia" w:asciiTheme="minorEastAsia" w:hAnsiTheme="minorEastAsia" w:cstheme="minorEastAsia"/>
          <w:b w:val="0"/>
          <w:bCs w:val="0"/>
          <w:sz w:val="28"/>
          <w:szCs w:val="28"/>
          <w:lang w:val="en-US" w:eastAsia="zh-CN"/>
        </w:rPr>
      </w:pPr>
    </w:p>
    <w:p w14:paraId="1C1D9873">
      <w:pPr>
        <w:numPr>
          <w:ilvl w:val="0"/>
          <w:numId w:val="0"/>
        </w:numPr>
        <w:ind w:firstLine="560" w:firstLineChars="200"/>
        <w:jc w:val="both"/>
        <w:rPr>
          <w:rFonts w:hint="eastAsia" w:asciiTheme="minorEastAsia" w:hAnsiTheme="minorEastAsia" w:cstheme="minorEastAsia"/>
          <w:b w:val="0"/>
          <w:bCs w:val="0"/>
          <w:sz w:val="28"/>
          <w:szCs w:val="28"/>
          <w:lang w:val="en-US" w:eastAsia="zh-CN"/>
        </w:rPr>
      </w:pPr>
    </w:p>
    <w:p w14:paraId="64ED1903">
      <w:pPr>
        <w:numPr>
          <w:ilvl w:val="0"/>
          <w:numId w:val="0"/>
        </w:numPr>
        <w:ind w:firstLine="560" w:firstLineChars="200"/>
        <w:jc w:val="both"/>
        <w:rPr>
          <w:rFonts w:hint="eastAsia" w:asciiTheme="minorEastAsia" w:hAnsiTheme="minorEastAsia" w:cstheme="minorEastAsia"/>
          <w:b w:val="0"/>
          <w:bCs w:val="0"/>
          <w:sz w:val="28"/>
          <w:szCs w:val="28"/>
          <w:lang w:val="en-US" w:eastAsia="zh-CN"/>
        </w:rPr>
      </w:pPr>
    </w:p>
    <w:p w14:paraId="40F1612A">
      <w:pPr>
        <w:numPr>
          <w:ilvl w:val="0"/>
          <w:numId w:val="0"/>
        </w:numPr>
        <w:ind w:leftChars="0"/>
        <w:jc w:val="both"/>
        <w:outlineLvl w:val="0"/>
        <w:rPr>
          <w:rFonts w:hint="eastAsia" w:asciiTheme="minorEastAsia" w:hAnsiTheme="minorEastAsia" w:cstheme="minorEastAsia"/>
          <w:b/>
          <w:bCs/>
          <w:sz w:val="40"/>
          <w:szCs w:val="40"/>
          <w:lang w:val="en-US" w:eastAsia="zh-CN"/>
        </w:rPr>
      </w:pPr>
      <w:bookmarkStart w:id="26" w:name="_Toc5154"/>
    </w:p>
    <w:p w14:paraId="0D3FD59C">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27" w:name="_Toc17972"/>
      <w:r>
        <w:rPr>
          <w:rFonts w:hint="eastAsia" w:ascii="方正小标宋简体" w:hAnsi="方正小标宋简体" w:eastAsia="方正小标宋简体" w:cs="方正小标宋简体"/>
          <w:b w:val="0"/>
          <w:bCs w:val="0"/>
          <w:sz w:val="40"/>
          <w:szCs w:val="40"/>
          <w:lang w:val="en-US" w:eastAsia="zh-CN"/>
        </w:rPr>
        <w:t>第六章  人事管理</w:t>
      </w:r>
      <w:bookmarkEnd w:id="26"/>
      <w:bookmarkEnd w:id="27"/>
    </w:p>
    <w:p w14:paraId="766A9595">
      <w:pPr>
        <w:numPr>
          <w:ilvl w:val="0"/>
          <w:numId w:val="0"/>
        </w:numPr>
        <w:jc w:val="center"/>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第一节 招聘录用</w:t>
      </w:r>
    </w:p>
    <w:p w14:paraId="1C35E5E4">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一、招聘原则</w:t>
      </w:r>
    </w:p>
    <w:p w14:paraId="594E609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1、公司招聘遵循“公开、公平、公正、竞争、择优”的原则，注重应聘者的综合素质和岗位匹配度。</w:t>
      </w:r>
    </w:p>
    <w:p w14:paraId="51B4C5D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2、招聘流程包括简历筛选、邀约、初试、复试环节。</w:t>
      </w:r>
    </w:p>
    <w:p w14:paraId="2B047F7A">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二、录用流程</w:t>
      </w:r>
    </w:p>
    <w:p w14:paraId="2A7FCE1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1、人资部根据最终面试结果，经逐级审批后，通知合格人上岗，明确入职时间、岗位、薪资待遇等信息。</w:t>
      </w:r>
    </w:p>
    <w:p w14:paraId="6BB37C6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2、新员工入职时需提交以下材料：</w:t>
      </w:r>
    </w:p>
    <w:p w14:paraId="14BC1B0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宋体" w:hAnsi="宋体" w:eastAsia="宋体" w:cs="宋体"/>
          <w:b w:val="0"/>
          <w:bCs w:val="0"/>
          <w:sz w:val="28"/>
          <w:szCs w:val="28"/>
          <w:lang w:val="en-US" w:eastAsia="zh-CN"/>
        </w:rPr>
        <w:t>◎</w:t>
      </w:r>
      <w:r>
        <w:rPr>
          <w:rFonts w:hint="eastAsia" w:ascii="Times New Roman" w:hAnsi="Times New Roman" w:eastAsia="方正仿宋_GB2312" w:cs="Times New Roman"/>
          <w:b w:val="0"/>
          <w:bCs w:val="0"/>
          <w:sz w:val="28"/>
          <w:szCs w:val="28"/>
          <w:lang w:val="en-US" w:eastAsia="zh-CN"/>
        </w:rPr>
        <w:t>个人近期一寸彩色照片1张、身份证复印件</w:t>
      </w:r>
    </w:p>
    <w:p w14:paraId="607EA8F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宋体" w:hAnsi="宋体" w:eastAsia="宋体" w:cs="宋体"/>
          <w:b w:val="0"/>
          <w:bCs w:val="0"/>
          <w:sz w:val="28"/>
          <w:szCs w:val="28"/>
          <w:lang w:val="en-US" w:eastAsia="zh-CN"/>
        </w:rPr>
        <w:t>◎</w:t>
      </w:r>
      <w:r>
        <w:rPr>
          <w:rFonts w:hint="eastAsia" w:ascii="Times New Roman" w:hAnsi="Times New Roman" w:eastAsia="方正仿宋_GB2312" w:cs="Times New Roman"/>
          <w:b w:val="0"/>
          <w:bCs w:val="0"/>
          <w:sz w:val="28"/>
          <w:szCs w:val="28"/>
          <w:lang w:val="en-US" w:eastAsia="zh-CN"/>
        </w:rPr>
        <w:t>毕业证复印件、相关职业资格证复印件</w:t>
      </w:r>
    </w:p>
    <w:p w14:paraId="183F433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宋体" w:hAnsi="宋体" w:eastAsia="宋体" w:cs="宋体"/>
          <w:b w:val="0"/>
          <w:bCs w:val="0"/>
          <w:sz w:val="28"/>
          <w:szCs w:val="28"/>
          <w:lang w:val="en-US" w:eastAsia="zh-CN"/>
        </w:rPr>
        <w:t>◎</w:t>
      </w:r>
      <w:r>
        <w:rPr>
          <w:rFonts w:hint="eastAsia" w:ascii="Times New Roman" w:hAnsi="Times New Roman" w:eastAsia="方正仿宋_GB2312" w:cs="Times New Roman"/>
          <w:b w:val="0"/>
          <w:bCs w:val="0"/>
          <w:sz w:val="28"/>
          <w:szCs w:val="28"/>
          <w:lang w:val="en-US" w:eastAsia="zh-CN"/>
        </w:rPr>
        <w:t>原单位离职证明</w:t>
      </w:r>
    </w:p>
    <w:p w14:paraId="5A1E71F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宋体" w:hAnsi="宋体" w:eastAsia="宋体" w:cs="宋体"/>
          <w:b w:val="0"/>
          <w:bCs w:val="0"/>
          <w:sz w:val="28"/>
          <w:szCs w:val="28"/>
          <w:lang w:val="en-US" w:eastAsia="zh-CN"/>
        </w:rPr>
        <w:t>◎</w:t>
      </w:r>
      <w:r>
        <w:rPr>
          <w:rFonts w:hint="eastAsia" w:ascii="Times New Roman" w:hAnsi="Times New Roman" w:eastAsia="方正仿宋_GB2312" w:cs="Times New Roman"/>
          <w:b w:val="0"/>
          <w:bCs w:val="0"/>
          <w:sz w:val="28"/>
          <w:szCs w:val="28"/>
          <w:lang w:val="en-US" w:eastAsia="zh-CN"/>
        </w:rPr>
        <w:t>三个月以内的体检报告</w:t>
      </w:r>
    </w:p>
    <w:p w14:paraId="530BC27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宋体" w:hAnsi="宋体" w:eastAsia="宋体" w:cs="宋体"/>
          <w:b w:val="0"/>
          <w:bCs w:val="0"/>
          <w:sz w:val="28"/>
          <w:szCs w:val="28"/>
          <w:lang w:val="en-US" w:eastAsia="zh-CN"/>
        </w:rPr>
        <w:t>◎</w:t>
      </w:r>
      <w:r>
        <w:rPr>
          <w:rFonts w:hint="eastAsia" w:ascii="Times New Roman" w:hAnsi="Times New Roman" w:eastAsia="方正仿宋_GB2312" w:cs="Times New Roman"/>
          <w:b w:val="0"/>
          <w:bCs w:val="0"/>
          <w:sz w:val="28"/>
          <w:szCs w:val="28"/>
          <w:lang w:val="en-US" w:eastAsia="zh-CN"/>
        </w:rPr>
        <w:t>银行卡复印件</w:t>
      </w:r>
    </w:p>
    <w:p w14:paraId="793611A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default" w:ascii="Times New Roman" w:hAnsi="Times New Roman" w:eastAsia="方正仿宋_GB2312" w:cs="Times New Roman"/>
          <w:b w:val="0"/>
          <w:bCs w:val="0"/>
          <w:sz w:val="28"/>
          <w:szCs w:val="28"/>
          <w:lang w:val="en-US" w:eastAsia="zh-CN"/>
        </w:rPr>
      </w:pPr>
      <w:r>
        <w:rPr>
          <w:rFonts w:hint="eastAsia" w:ascii="宋体" w:hAnsi="宋体" w:eastAsia="宋体" w:cs="宋体"/>
          <w:b w:val="0"/>
          <w:bCs w:val="0"/>
          <w:sz w:val="28"/>
          <w:szCs w:val="28"/>
          <w:lang w:val="en-US" w:eastAsia="zh-CN"/>
        </w:rPr>
        <w:t>◎</w:t>
      </w:r>
      <w:r>
        <w:rPr>
          <w:rFonts w:hint="eastAsia" w:ascii="Times New Roman" w:hAnsi="Times New Roman" w:eastAsia="方正仿宋_GB2312" w:cs="Times New Roman"/>
          <w:b w:val="0"/>
          <w:bCs w:val="0"/>
          <w:sz w:val="28"/>
          <w:szCs w:val="28"/>
          <w:lang w:val="en-US" w:eastAsia="zh-CN"/>
        </w:rPr>
        <w:t>征信报告、无犯罪记录证明</w:t>
      </w:r>
    </w:p>
    <w:p w14:paraId="3A946AD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both"/>
        <w:textAlignment w:val="auto"/>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新员工入职时需签署《员工入职登记表》、《入职确认表》、《员工保密协议》和《廉洁从业承诺书》等相关资料，并签订《劳动合同》。</w:t>
      </w:r>
    </w:p>
    <w:p w14:paraId="3BB9B755">
      <w:pPr>
        <w:numPr>
          <w:ilvl w:val="0"/>
          <w:numId w:val="0"/>
        </w:numPr>
        <w:jc w:val="center"/>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第二节 转正管理</w:t>
      </w:r>
    </w:p>
    <w:p w14:paraId="7DE8925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both"/>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一、试用期管理</w:t>
      </w:r>
    </w:p>
    <w:p w14:paraId="60C55D7F">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1、新员工入职后，首先进入为期7个工作日的试岗期。试岗期合格后，方进入试用期。试岗期离职，不予结算工资。</w:t>
      </w:r>
    </w:p>
    <w:p w14:paraId="03EA1166">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2、试用期一般为3个月。若试用期表现不佳，公司可根据实际情况延长试用期。</w:t>
      </w:r>
    </w:p>
    <w:p w14:paraId="22E8E7D2">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3、新员工入职3个工作日内，由部门/项目负责人牵头制定《试用期目标责任书》，经员工本人签字、部门/项目负责人审批后，报集团人力资源部审核存档。</w:t>
      </w:r>
    </w:p>
    <w:p w14:paraId="75DFE43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both"/>
        <w:textAlignment w:val="auto"/>
        <w:rPr>
          <w:rFonts w:hint="default"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二、转正考核流程</w:t>
      </w:r>
    </w:p>
    <w:p w14:paraId="569F327E">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1、试用期满前10个工作日，集团人力资源部启动转正考核程序。员工本人需填写《转正审批表》并撰写述职报告。</w:t>
      </w:r>
    </w:p>
    <w:p w14:paraId="48F97DE9">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2、人力资源部将组织进行转正考核，主要依据《试用期目标责任书》成果（占考核权重的60%）及《试用期转正考核表》中关于工作能力、工作态度等维度的评估（占40%）进行综合评定。</w:t>
      </w:r>
    </w:p>
    <w:p w14:paraId="175BAF66">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3、转正考核标准：</w:t>
      </w:r>
    </w:p>
    <w:p w14:paraId="286C3A89">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按时转正：转正考核表综合评分达到80分（含）以上。</w:t>
      </w:r>
    </w:p>
    <w:p w14:paraId="21B73B57">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延期转正：转正考核表综合评分为70分（含）至80分。公司将制定提升计划，并延长试用期1-3个月进行再次评估。若延期期满考核仍不合格，则解除劳动合同或进行岗位调整。</w:t>
      </w:r>
    </w:p>
    <w:p w14:paraId="7557AEC4">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不予转正：转正考核表综合评分低于70分，公司将解除劳动合同，且不支付经济补偿金。</w:t>
      </w:r>
    </w:p>
    <w:p w14:paraId="51EF916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both"/>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三、试用期解除劳动合同情形</w:t>
      </w:r>
    </w:p>
    <w:p w14:paraId="131075F5">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试用期员工出现以下任一情况，公司可随时解除劳动合同，并不支付任何经济补偿：</w:t>
      </w:r>
    </w:p>
    <w:p w14:paraId="3199FD50">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w:t>
      </w:r>
      <w:r>
        <w:rPr>
          <w:rFonts w:hint="default" w:ascii="Times New Roman" w:hAnsi="Times New Roman" w:eastAsia="方正仿宋_GB2312" w:cs="Times New Roman"/>
          <w:b w:val="0"/>
          <w:bCs w:val="0"/>
          <w:kern w:val="2"/>
          <w:sz w:val="28"/>
          <w:szCs w:val="28"/>
          <w:lang w:val="en-US" w:eastAsia="zh-CN" w:bidi="ar-SA"/>
        </w:rPr>
        <w:t>品行不良；</w:t>
      </w:r>
    </w:p>
    <w:p w14:paraId="5C0A16C0">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w:t>
      </w:r>
      <w:r>
        <w:rPr>
          <w:rFonts w:hint="default" w:ascii="Times New Roman" w:hAnsi="Times New Roman" w:eastAsia="方正仿宋_GB2312" w:cs="Times New Roman"/>
          <w:b w:val="0"/>
          <w:bCs w:val="0"/>
          <w:kern w:val="2"/>
          <w:sz w:val="28"/>
          <w:szCs w:val="28"/>
          <w:lang w:val="en-US" w:eastAsia="zh-CN" w:bidi="ar-SA"/>
        </w:rPr>
        <w:t>工作成绩欠佳或难以胜任应聘岗位工作；</w:t>
      </w:r>
    </w:p>
    <w:p w14:paraId="5D3BA467">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w:t>
      </w:r>
      <w:r>
        <w:rPr>
          <w:rFonts w:hint="default" w:ascii="Times New Roman" w:hAnsi="Times New Roman" w:eastAsia="方正仿宋_GB2312" w:cs="Times New Roman"/>
          <w:b w:val="0"/>
          <w:bCs w:val="0"/>
          <w:kern w:val="2"/>
          <w:sz w:val="28"/>
          <w:szCs w:val="28"/>
          <w:lang w:val="en-US" w:eastAsia="zh-CN" w:bidi="ar-SA"/>
        </w:rPr>
        <w:t>延长期满经考核仍不合格者；</w:t>
      </w:r>
    </w:p>
    <w:p w14:paraId="02764537">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w:t>
      </w:r>
      <w:r>
        <w:rPr>
          <w:rFonts w:hint="default" w:ascii="Times New Roman" w:hAnsi="Times New Roman" w:eastAsia="方正仿宋_GB2312" w:cs="Times New Roman"/>
          <w:b w:val="0"/>
          <w:bCs w:val="0"/>
          <w:kern w:val="2"/>
          <w:sz w:val="28"/>
          <w:szCs w:val="28"/>
          <w:lang w:val="en-US" w:eastAsia="zh-CN" w:bidi="ar-SA"/>
        </w:rPr>
        <w:t>违反集团有关规章制度的；</w:t>
      </w:r>
    </w:p>
    <w:p w14:paraId="48204499">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5、</w:t>
      </w:r>
      <w:r>
        <w:rPr>
          <w:rFonts w:hint="default" w:ascii="Times New Roman" w:hAnsi="Times New Roman" w:eastAsia="方正仿宋_GB2312" w:cs="Times New Roman"/>
          <w:b w:val="0"/>
          <w:bCs w:val="0"/>
          <w:kern w:val="2"/>
          <w:sz w:val="28"/>
          <w:szCs w:val="28"/>
          <w:lang w:val="en-US" w:eastAsia="zh-CN" w:bidi="ar-SA"/>
        </w:rPr>
        <w:t>触犯刑律被判刑、劳教或被通缉者；</w:t>
      </w:r>
    </w:p>
    <w:p w14:paraId="00D8BBB2">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6、</w:t>
      </w:r>
      <w:r>
        <w:rPr>
          <w:rFonts w:hint="default" w:ascii="Times New Roman" w:hAnsi="Times New Roman" w:eastAsia="方正仿宋_GB2312" w:cs="Times New Roman"/>
          <w:b w:val="0"/>
          <w:bCs w:val="0"/>
          <w:kern w:val="2"/>
          <w:sz w:val="28"/>
          <w:szCs w:val="28"/>
          <w:lang w:val="en-US" w:eastAsia="zh-CN" w:bidi="ar-SA"/>
        </w:rPr>
        <w:t>被发现应聘时隐瞒真实情况</w:t>
      </w:r>
      <w:r>
        <w:rPr>
          <w:rFonts w:hint="eastAsia" w:ascii="Times New Roman" w:hAnsi="Times New Roman" w:eastAsia="方正仿宋_GB2312" w:cs="Times New Roman"/>
          <w:b w:val="0"/>
          <w:bCs w:val="0"/>
          <w:kern w:val="2"/>
          <w:sz w:val="28"/>
          <w:szCs w:val="28"/>
          <w:lang w:val="en-US" w:eastAsia="zh-CN" w:bidi="ar-SA"/>
        </w:rPr>
        <w:t>、造假</w:t>
      </w:r>
      <w:r>
        <w:rPr>
          <w:rFonts w:hint="default" w:ascii="Times New Roman" w:hAnsi="Times New Roman" w:eastAsia="方正仿宋_GB2312" w:cs="Times New Roman"/>
          <w:b w:val="0"/>
          <w:bCs w:val="0"/>
          <w:kern w:val="2"/>
          <w:sz w:val="28"/>
          <w:szCs w:val="28"/>
          <w:lang w:val="en-US" w:eastAsia="zh-CN" w:bidi="ar-SA"/>
        </w:rPr>
        <w:t>者。</w:t>
      </w:r>
    </w:p>
    <w:p w14:paraId="2F557A01">
      <w:pPr>
        <w:numPr>
          <w:ilvl w:val="0"/>
          <w:numId w:val="0"/>
        </w:numPr>
        <w:jc w:val="center"/>
        <w:outlineLvl w:val="1"/>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第三节 离职管理</w:t>
      </w:r>
    </w:p>
    <w:p w14:paraId="4F2EA65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both"/>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一、离职交接</w:t>
      </w:r>
    </w:p>
    <w:p w14:paraId="3549DA91">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1、离职人员需签订《员工离职申请表》、《员工离职交接表》及《劳动关系解除协议》，并办理离职手续。离职手续原则上由离职人员亲自办理，特殊情况除外。</w:t>
      </w:r>
    </w:p>
    <w:p w14:paraId="72832C08">
      <w:pPr>
        <w:pStyle w:val="7"/>
        <w:keepNext w:val="0"/>
        <w:keepLines w:val="0"/>
        <w:pageBreakBefore w:val="0"/>
        <w:widowControl w:val="0"/>
        <w:numPr>
          <w:ilvl w:val="0"/>
          <w:numId w:val="0"/>
        </w:numPr>
        <w:tabs>
          <w:tab w:val="left" w:pos="567"/>
        </w:tabs>
        <w:kinsoku/>
        <w:wordWrap/>
        <w:overflowPunct/>
        <w:topLinePunct w:val="0"/>
        <w:autoSpaceDE/>
        <w:autoSpaceDN/>
        <w:bidi w:val="0"/>
        <w:adjustRightInd/>
        <w:snapToGrid/>
        <w:spacing w:line="240" w:lineRule="auto"/>
        <w:ind w:firstLine="560" w:firstLineChars="200"/>
        <w:textAlignment w:val="auto"/>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离职交接需将本人经办的各项工作、保管的各类工作性资料等移交至工作交接人，相关部门负责人需做好与离职员工所涉及的工作、物品、文件及款项的审核。交接清晰后，方可在《员工离职交接表》上签字确认。</w:t>
      </w:r>
    </w:p>
    <w:p w14:paraId="5CC065B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jc w:val="both"/>
        <w:textAlignment w:val="auto"/>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二、薪资结算</w:t>
      </w:r>
    </w:p>
    <w:p w14:paraId="42AFC74B">
      <w:pPr>
        <w:pStyle w:val="7"/>
        <w:widowControl w:val="0"/>
        <w:numPr>
          <w:ilvl w:val="0"/>
          <w:numId w:val="0"/>
        </w:numPr>
        <w:tabs>
          <w:tab w:val="left" w:pos="567"/>
        </w:tabs>
        <w:spacing w:line="240" w:lineRule="auto"/>
        <w:ind w:firstLine="560" w:firstLineChars="200"/>
        <w:rPr>
          <w:rFonts w:hint="eastAsia" w:ascii="Times New Roman" w:hAnsi="Times New Roman" w:eastAsia="方正仿宋_GB2312" w:cs="Times New Roman"/>
          <w:sz w:val="28"/>
          <w:szCs w:val="28"/>
        </w:rPr>
      </w:pPr>
      <w:r>
        <w:rPr>
          <w:rFonts w:hint="eastAsia" w:ascii="Times New Roman" w:hAnsi="Times New Roman" w:eastAsia="方正仿宋_GB2312" w:cs="Times New Roman"/>
          <w:kern w:val="2"/>
          <w:sz w:val="28"/>
          <w:szCs w:val="28"/>
          <w:lang w:val="en-US" w:eastAsia="zh-CN" w:bidi="ar-SA"/>
        </w:rPr>
        <w:t>1、薪资结算以员工</w:t>
      </w:r>
      <w:r>
        <w:rPr>
          <w:rFonts w:hint="eastAsia" w:ascii="Times New Roman" w:hAnsi="Times New Roman" w:eastAsia="方正仿宋_GB2312" w:cs="Times New Roman"/>
          <w:b w:val="0"/>
          <w:bCs w:val="0"/>
          <w:kern w:val="2"/>
          <w:sz w:val="28"/>
          <w:szCs w:val="28"/>
          <w:lang w:val="en-US" w:eastAsia="zh-CN" w:bidi="ar-SA"/>
        </w:rPr>
        <w:t>最后工作日</w:t>
      </w:r>
      <w:r>
        <w:rPr>
          <w:rFonts w:hint="eastAsia" w:ascii="Times New Roman" w:hAnsi="Times New Roman" w:eastAsia="方正仿宋_GB2312" w:cs="Times New Roman"/>
          <w:kern w:val="2"/>
          <w:sz w:val="28"/>
          <w:szCs w:val="28"/>
          <w:lang w:val="en-US" w:eastAsia="zh-CN" w:bidi="ar-SA"/>
        </w:rPr>
        <w:t>为结算截止日，离职工资与在职员工工资统一发放（特殊情况另行约定）。公司保留根据国家法规及实际运营情况调整薪资结算方式的权利。</w:t>
      </w:r>
    </w:p>
    <w:p w14:paraId="265609E0">
      <w:pPr>
        <w:pStyle w:val="7"/>
        <w:widowControl w:val="0"/>
        <w:numPr>
          <w:ilvl w:val="0"/>
          <w:numId w:val="0"/>
        </w:numPr>
        <w:tabs>
          <w:tab w:val="left" w:pos="567"/>
        </w:tabs>
        <w:spacing w:line="240" w:lineRule="auto"/>
        <w:ind w:firstLine="560" w:firstLineChars="200"/>
        <w:rPr>
          <w:rFonts w:hint="eastAsia" w:ascii="Times New Roman" w:hAnsi="Times New Roman" w:eastAsia="方正仿宋_GB2312" w:cs="Times New Roman"/>
          <w:sz w:val="28"/>
          <w:szCs w:val="28"/>
        </w:rPr>
      </w:pPr>
      <w:r>
        <w:rPr>
          <w:rFonts w:hint="eastAsia" w:ascii="Times New Roman" w:hAnsi="Times New Roman" w:eastAsia="方正仿宋_GB2312" w:cs="Times New Roman"/>
          <w:b w:val="0"/>
          <w:bCs w:val="0"/>
          <w:kern w:val="2"/>
          <w:sz w:val="28"/>
          <w:szCs w:val="28"/>
          <w:lang w:val="en-US" w:eastAsia="zh-CN" w:bidi="ar-SA"/>
        </w:rPr>
        <w:t>2、</w:t>
      </w:r>
      <w:r>
        <w:rPr>
          <w:rFonts w:hint="eastAsia" w:ascii="Times New Roman" w:hAnsi="Times New Roman" w:eastAsia="方正仿宋_GB2312" w:cs="Times New Roman"/>
          <w:kern w:val="2"/>
          <w:sz w:val="28"/>
          <w:szCs w:val="28"/>
          <w:lang w:val="en-US" w:eastAsia="zh-CN" w:bidi="ar-SA"/>
        </w:rPr>
        <w:t>当月15日（含）之后离职的员工，办理离职交接时，须按公司绩效管理规定完成绩效自评并签字确认，提交至人力资源部 / 项目综合部。依据公司绩效管理制度完成绩效评定与工资造册。</w:t>
      </w:r>
    </w:p>
    <w:p w14:paraId="457002DF">
      <w:pPr>
        <w:pStyle w:val="7"/>
        <w:widowControl w:val="0"/>
        <w:numPr>
          <w:ilvl w:val="0"/>
          <w:numId w:val="0"/>
        </w:numPr>
        <w:tabs>
          <w:tab w:val="left" w:pos="567"/>
        </w:tabs>
        <w:spacing w:line="240" w:lineRule="auto"/>
        <w:ind w:firstLine="560" w:firstLineChars="200"/>
        <w:rPr>
          <w:rFonts w:hint="eastAsia" w:ascii="Times New Roman" w:hAnsi="Times New Roman" w:eastAsia="方正仿宋_GB2312" w:cs="Times New Roman"/>
          <w:sz w:val="28"/>
          <w:szCs w:val="28"/>
        </w:rPr>
      </w:pPr>
      <w:r>
        <w:rPr>
          <w:rFonts w:hint="eastAsia" w:ascii="Times New Roman" w:hAnsi="Times New Roman" w:eastAsia="方正仿宋_GB2312" w:cs="Times New Roman"/>
          <w:kern w:val="2"/>
          <w:sz w:val="28"/>
          <w:szCs w:val="28"/>
          <w:lang w:val="en-US" w:eastAsia="zh-CN" w:bidi="ar-SA"/>
        </w:rPr>
        <w:t>3、离职员工当月在公司实际工作时间的社保费用承担规则如下：</w:t>
      </w:r>
    </w:p>
    <w:p w14:paraId="4F25E0E9">
      <w:pPr>
        <w:pStyle w:val="7"/>
        <w:widowControl w:val="0"/>
        <w:numPr>
          <w:ilvl w:val="0"/>
          <w:numId w:val="0"/>
        </w:numPr>
        <w:tabs>
          <w:tab w:val="left" w:pos="567"/>
        </w:tabs>
        <w:spacing w:line="240" w:lineRule="auto"/>
        <w:ind w:firstLine="560" w:firstLineChars="200"/>
        <w:rPr>
          <w:rFonts w:hint="eastAsia" w:ascii="Times New Roman" w:hAnsi="Times New Roman" w:eastAsia="方正仿宋_GB2312" w:cs="Times New Roman"/>
          <w:sz w:val="28"/>
          <w:szCs w:val="28"/>
        </w:rPr>
      </w:pPr>
      <w:r>
        <w:rPr>
          <w:rFonts w:hint="eastAsia" w:ascii="Times New Roman" w:hAnsi="Times New Roman" w:eastAsia="方正仿宋_GB2312" w:cs="Times New Roman"/>
          <w:sz w:val="28"/>
          <w:szCs w:val="28"/>
          <w:lang w:eastAsia="zh-CN"/>
        </w:rPr>
        <w:t>（</w:t>
      </w:r>
      <w:r>
        <w:rPr>
          <w:rFonts w:hint="eastAsia" w:ascii="Times New Roman" w:hAnsi="Times New Roman" w:eastAsia="方正仿宋_GB2312" w:cs="Times New Roman"/>
          <w:sz w:val="28"/>
          <w:szCs w:val="28"/>
          <w:lang w:val="en-US" w:eastAsia="zh-CN"/>
        </w:rPr>
        <w:t>1</w:t>
      </w:r>
      <w:r>
        <w:rPr>
          <w:rFonts w:hint="eastAsia" w:ascii="Times New Roman" w:hAnsi="Times New Roman" w:eastAsia="方正仿宋_GB2312" w:cs="Times New Roman"/>
          <w:sz w:val="28"/>
          <w:szCs w:val="28"/>
          <w:lang w:eastAsia="zh-CN"/>
        </w:rPr>
        <w:t>）</w:t>
      </w:r>
      <w:r>
        <w:rPr>
          <w:rFonts w:hint="eastAsia" w:ascii="Times New Roman" w:hAnsi="Times New Roman" w:eastAsia="方正仿宋_GB2312" w:cs="Times New Roman"/>
          <w:sz w:val="28"/>
          <w:szCs w:val="28"/>
        </w:rPr>
        <w:t>实际工作满15个工作日及以上：社保费用仅需承担个人应缴部分；</w:t>
      </w:r>
    </w:p>
    <w:p w14:paraId="2018155F">
      <w:pPr>
        <w:pStyle w:val="7"/>
        <w:widowControl w:val="0"/>
        <w:numPr>
          <w:ilvl w:val="0"/>
          <w:numId w:val="0"/>
        </w:numPr>
        <w:tabs>
          <w:tab w:val="left" w:pos="567"/>
        </w:tabs>
        <w:spacing w:line="240" w:lineRule="auto"/>
        <w:ind w:firstLine="560" w:firstLineChars="200"/>
        <w:rPr>
          <w:rFonts w:hint="eastAsia" w:ascii="Times New Roman" w:hAnsi="Times New Roman" w:eastAsia="方正仿宋_GB2312" w:cs="Times New Roman"/>
          <w:sz w:val="28"/>
          <w:szCs w:val="28"/>
        </w:rPr>
      </w:pPr>
      <w:r>
        <w:rPr>
          <w:rFonts w:hint="eastAsia" w:ascii="Times New Roman" w:hAnsi="Times New Roman" w:eastAsia="方正仿宋_GB2312" w:cs="Times New Roman"/>
          <w:sz w:val="28"/>
          <w:szCs w:val="28"/>
          <w:lang w:eastAsia="zh-CN"/>
        </w:rPr>
        <w:t>（</w:t>
      </w:r>
      <w:r>
        <w:rPr>
          <w:rFonts w:hint="eastAsia" w:ascii="Times New Roman" w:hAnsi="Times New Roman" w:eastAsia="方正仿宋_GB2312" w:cs="Times New Roman"/>
          <w:sz w:val="28"/>
          <w:szCs w:val="28"/>
          <w:lang w:val="en-US" w:eastAsia="zh-CN"/>
        </w:rPr>
        <w:t>2</w:t>
      </w:r>
      <w:r>
        <w:rPr>
          <w:rFonts w:hint="eastAsia" w:ascii="Times New Roman" w:hAnsi="Times New Roman" w:eastAsia="方正仿宋_GB2312" w:cs="Times New Roman"/>
          <w:sz w:val="28"/>
          <w:szCs w:val="28"/>
          <w:lang w:eastAsia="zh-CN"/>
        </w:rPr>
        <w:t>）</w:t>
      </w:r>
      <w:r>
        <w:rPr>
          <w:rFonts w:hint="eastAsia" w:ascii="Times New Roman" w:hAnsi="Times New Roman" w:eastAsia="方正仿宋_GB2312" w:cs="Times New Roman"/>
          <w:sz w:val="28"/>
          <w:szCs w:val="28"/>
        </w:rPr>
        <w:t>实际工作不足15个工作日：当月社保费用的公司缴纳部分与个人缴纳部分，均由员工个人承担，相关费用将在离职工资中直接扣除。</w:t>
      </w:r>
    </w:p>
    <w:p w14:paraId="5B1EC919">
      <w:pPr>
        <w:pStyle w:val="7"/>
        <w:tabs>
          <w:tab w:val="left" w:pos="567"/>
        </w:tabs>
        <w:ind w:firstLine="560" w:firstLineChars="200"/>
        <w:rPr>
          <w:rFonts w:hint="eastAsia" w:asciiTheme="minorEastAsia" w:hAnsiTheme="minorEastAsia" w:cstheme="minorEastAsia"/>
          <w:b w:val="0"/>
          <w:bCs w:val="0"/>
          <w:sz w:val="28"/>
          <w:szCs w:val="28"/>
          <w:lang w:val="en-US" w:eastAsia="zh-CN"/>
        </w:rPr>
      </w:pPr>
      <w:r>
        <w:rPr>
          <w:rFonts w:hint="eastAsia" w:ascii="Times New Roman" w:hAnsi="Times New Roman" w:eastAsia="方正仿宋_GB2312" w:cs="Times New Roman"/>
          <w:kern w:val="2"/>
          <w:sz w:val="28"/>
          <w:szCs w:val="28"/>
          <w:lang w:val="en-US" w:eastAsia="zh-CN" w:bidi="ar-SA"/>
        </w:rPr>
        <w:t>4、员工办理完成离职手续后，即与公司正式解除劳动关系，此后发生的一切行为均与公司无关。</w:t>
      </w:r>
    </w:p>
    <w:p w14:paraId="2EC8A377">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2F8BE8CD">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49FE25AF">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2347D810">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73A3DD7A">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550619CA">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0001EE06">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57E285EA">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3D1EEFFD">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635B95CB">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40EB9CFA">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703F3BB8">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6C810E92">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6FACEA91">
      <w:pPr>
        <w:numPr>
          <w:ilvl w:val="0"/>
          <w:numId w:val="0"/>
        </w:numPr>
        <w:ind w:leftChars="0" w:firstLine="560" w:firstLineChars="200"/>
        <w:jc w:val="both"/>
        <w:rPr>
          <w:rFonts w:hint="eastAsia" w:asciiTheme="minorEastAsia" w:hAnsiTheme="minorEastAsia" w:cstheme="minorEastAsia"/>
          <w:b w:val="0"/>
          <w:bCs w:val="0"/>
          <w:sz w:val="28"/>
          <w:szCs w:val="28"/>
          <w:lang w:val="en-US" w:eastAsia="zh-CN"/>
        </w:rPr>
      </w:pPr>
    </w:p>
    <w:p w14:paraId="49B0EA88">
      <w:pPr>
        <w:numPr>
          <w:ilvl w:val="0"/>
          <w:numId w:val="0"/>
        </w:numPr>
        <w:jc w:val="both"/>
        <w:outlineLvl w:val="0"/>
        <w:rPr>
          <w:rFonts w:hint="eastAsia" w:ascii="方正小标宋简体" w:hAnsi="方正小标宋简体" w:eastAsia="方正小标宋简体" w:cs="方正小标宋简体"/>
          <w:b w:val="0"/>
          <w:bCs w:val="0"/>
          <w:sz w:val="40"/>
          <w:szCs w:val="40"/>
          <w:lang w:val="en-US" w:eastAsia="zh-CN"/>
        </w:rPr>
      </w:pPr>
    </w:p>
    <w:p w14:paraId="6C368DDC">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28" w:name="_Toc14391"/>
      <w:bookmarkStart w:id="29" w:name="_Toc27685"/>
      <w:r>
        <w:rPr>
          <w:rFonts w:hint="eastAsia" w:ascii="方正小标宋简体" w:hAnsi="方正小标宋简体" w:eastAsia="方正小标宋简体" w:cs="方正小标宋简体"/>
          <w:b w:val="0"/>
          <w:bCs w:val="0"/>
          <w:sz w:val="40"/>
          <w:szCs w:val="40"/>
          <w:lang w:val="en-US" w:eastAsia="zh-CN"/>
        </w:rPr>
        <w:t>第七章  考勤管理</w:t>
      </w:r>
      <w:bookmarkEnd w:id="28"/>
      <w:bookmarkEnd w:id="29"/>
    </w:p>
    <w:p w14:paraId="44D81DEA">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一、考勤时间</w:t>
      </w:r>
    </w:p>
    <w:p w14:paraId="75B68A49">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1、工作时间：上午9:00-12:00   下午13:30-18:00</w:t>
      </w:r>
    </w:p>
    <w:p w14:paraId="51B54557">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2、周一至周六为工作日，周日为休息日。</w:t>
      </w:r>
    </w:p>
    <w:p w14:paraId="1B3B96EB">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楷体" w:hAnsi="楷体" w:eastAsia="楷体" w:cs="楷体"/>
          <w:b w:val="0"/>
          <w:bCs w:val="0"/>
          <w:kern w:val="2"/>
          <w:sz w:val="28"/>
          <w:szCs w:val="28"/>
          <w:lang w:val="en-US" w:eastAsia="zh-CN" w:bidi="ar-SA"/>
        </w:rPr>
        <w:t>备注：项目根据实际情况自行安排。</w:t>
      </w:r>
    </w:p>
    <w:p w14:paraId="5CA34974">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二、考勤要求</w:t>
      </w:r>
    </w:p>
    <w:p w14:paraId="78012AA8">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1、公司实行上、下班签到打卡考勤。所有员工均应主动打卡，作为出勤记录。</w:t>
      </w:r>
    </w:p>
    <w:p w14:paraId="074570BF">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2、使用方法：“钉钉”软件—“考勤打卡”—“打卡”（上班打卡/下班打卡）。</w:t>
      </w:r>
    </w:p>
    <w:p w14:paraId="532E7312">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3、查看方法：员工可随时查看自己的考勤记录，“钉钉”软件—“考勤打卡”—“统计”—“我的考勤”。</w:t>
      </w:r>
    </w:p>
    <w:p w14:paraId="35DEDCED">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4、因公外出，需提前一天提交外出申请，以确认出勤情况。</w:t>
      </w:r>
    </w:p>
    <w:p w14:paraId="19EFED96">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三、特殊考勤处理</w:t>
      </w:r>
    </w:p>
    <w:p w14:paraId="2DBA30BD">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1、补卡：员工因个人疏忽等原因未及时打卡，须在7天（自然日）内在钉钉提交补卡申请。一个月内补卡不得超过3次。补卡未通过或未在规定时间内申请的，视为迟到或早退。</w:t>
      </w:r>
    </w:p>
    <w:p w14:paraId="54920926">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2、考勤结果运用：考勤结果是员工工资计算和绩效考核的重要依据之一。</w:t>
      </w:r>
    </w:p>
    <w:p w14:paraId="6A2E6296">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四、考勤异常</w:t>
      </w:r>
    </w:p>
    <w:p w14:paraId="58133E01">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1、迟到：未请假、未出差，上班打卡在规定时间以后。</w:t>
      </w:r>
    </w:p>
    <w:p w14:paraId="4EB671ED">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2、早退：下班提前离岗。</w:t>
      </w:r>
    </w:p>
    <w:p w14:paraId="103C1034">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3、旷工：属于以下情形之一的，视为旷工</w:t>
      </w:r>
    </w:p>
    <w:p w14:paraId="66C886A6">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（1）未打卡且无有效补卡或外出申请的。</w:t>
      </w:r>
    </w:p>
    <w:p w14:paraId="08BF611C">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（2）未请假、请假未批准不到岗的。</w:t>
      </w:r>
    </w:p>
    <w:p w14:paraId="0E962EB5">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（3）无故不到岗或超过上班时间30分钟（含）仍未到岗的。</w:t>
      </w:r>
    </w:p>
    <w:p w14:paraId="677E9274">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（4）早于下班时间30分钟以上（含30分钟）离岗的。</w:t>
      </w:r>
    </w:p>
    <w:p w14:paraId="1194992A">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（5）不服从工作安排或调动，擅自离岗的。</w:t>
      </w:r>
    </w:p>
    <w:p w14:paraId="7A557004">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（6）旷工不足半天按半天计算，超过半天不足1天按1天计算。</w:t>
      </w:r>
    </w:p>
    <w:p w14:paraId="40C16333">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五、违纪处理</w:t>
      </w:r>
    </w:p>
    <w:p w14:paraId="593BF0D8">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1、迟到/早退：每月累计超过3次者，扣发当月绩效工资的10%。</w:t>
      </w:r>
    </w:p>
    <w:p w14:paraId="74762804">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2、旷工：</w:t>
      </w:r>
    </w:p>
    <w:p w14:paraId="351EFFC5">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（1）旷工半天，扣发当月绩效工资的50%。</w:t>
      </w:r>
    </w:p>
    <w:p w14:paraId="23252B67">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（2）累计旷工1天，扣发当月全部绩效工资。</w:t>
      </w:r>
    </w:p>
    <w:p w14:paraId="36C6DAFF">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（3）累计旷工1天以上3天以下，扣发当月全部绩效工资，并给予待岗处理。</w:t>
      </w:r>
    </w:p>
    <w:p w14:paraId="38805B04">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（4）累计旷工超过3天（含3天），属于严重违反规章制度，公司可直接解除劳动合同，并不支付任何经济补偿。</w:t>
      </w:r>
    </w:p>
    <w:p w14:paraId="1C38F896">
      <w:pPr>
        <w:numPr>
          <w:ilvl w:val="0"/>
          <w:numId w:val="0"/>
        </w:numPr>
        <w:ind w:leftChars="0" w:firstLine="562" w:firstLineChars="200"/>
        <w:jc w:val="both"/>
        <w:rPr>
          <w:rFonts w:hint="eastAsia" w:asciiTheme="minorEastAsia" w:hAnsiTheme="minorEastAsia" w:cstheme="minorEastAsia"/>
          <w:b/>
          <w:bCs/>
          <w:sz w:val="28"/>
          <w:szCs w:val="28"/>
          <w:lang w:val="en-US" w:eastAsia="zh-CN"/>
        </w:rPr>
      </w:pPr>
    </w:p>
    <w:p w14:paraId="355FFCBB">
      <w:pPr>
        <w:numPr>
          <w:ilvl w:val="0"/>
          <w:numId w:val="0"/>
        </w:numPr>
        <w:jc w:val="center"/>
        <w:outlineLvl w:val="1"/>
        <w:rPr>
          <w:rFonts w:hint="eastAsia" w:ascii="黑体" w:hAnsi="黑体" w:eastAsia="黑体" w:cs="黑体"/>
          <w:b w:val="0"/>
          <w:bCs w:val="0"/>
          <w:sz w:val="32"/>
          <w:szCs w:val="32"/>
          <w:lang w:val="en-US" w:eastAsia="zh-CN"/>
        </w:rPr>
      </w:pPr>
      <w:bookmarkStart w:id="30" w:name="_Toc20842"/>
    </w:p>
    <w:p w14:paraId="6DD59FF6">
      <w:pPr>
        <w:numPr>
          <w:ilvl w:val="0"/>
          <w:numId w:val="0"/>
        </w:numPr>
        <w:jc w:val="both"/>
        <w:outlineLvl w:val="0"/>
        <w:rPr>
          <w:rFonts w:hint="eastAsia" w:ascii="方正小标宋简体" w:hAnsi="方正小标宋简体" w:eastAsia="方正小标宋简体" w:cs="方正小标宋简体"/>
          <w:b w:val="0"/>
          <w:bCs w:val="0"/>
          <w:sz w:val="40"/>
          <w:szCs w:val="40"/>
          <w:lang w:val="en-US" w:eastAsia="zh-CN"/>
        </w:rPr>
      </w:pPr>
    </w:p>
    <w:p w14:paraId="795C2700">
      <w:pPr>
        <w:numPr>
          <w:ilvl w:val="0"/>
          <w:numId w:val="0"/>
        </w:numPr>
        <w:jc w:val="both"/>
        <w:outlineLvl w:val="0"/>
        <w:rPr>
          <w:rFonts w:hint="eastAsia" w:ascii="方正小标宋简体" w:hAnsi="方正小标宋简体" w:eastAsia="方正小标宋简体" w:cs="方正小标宋简体"/>
          <w:b w:val="0"/>
          <w:bCs w:val="0"/>
          <w:sz w:val="40"/>
          <w:szCs w:val="40"/>
          <w:lang w:val="en-US" w:eastAsia="zh-CN"/>
        </w:rPr>
      </w:pPr>
    </w:p>
    <w:p w14:paraId="31DB5509">
      <w:pPr>
        <w:numPr>
          <w:ilvl w:val="0"/>
          <w:numId w:val="0"/>
        </w:numPr>
        <w:jc w:val="both"/>
        <w:outlineLvl w:val="0"/>
        <w:rPr>
          <w:rFonts w:hint="eastAsia" w:ascii="方正小标宋简体" w:hAnsi="方正小标宋简体" w:eastAsia="方正小标宋简体" w:cs="方正小标宋简体"/>
          <w:b w:val="0"/>
          <w:bCs w:val="0"/>
          <w:sz w:val="40"/>
          <w:szCs w:val="40"/>
          <w:lang w:val="en-US" w:eastAsia="zh-CN"/>
        </w:rPr>
      </w:pPr>
    </w:p>
    <w:p w14:paraId="1B84352E">
      <w:pPr>
        <w:numPr>
          <w:ilvl w:val="0"/>
          <w:numId w:val="0"/>
        </w:numPr>
        <w:jc w:val="center"/>
        <w:outlineLvl w:val="0"/>
        <w:rPr>
          <w:rFonts w:hint="default" w:ascii="方正小标宋简体" w:hAnsi="方正小标宋简体" w:eastAsia="方正小标宋简体" w:cs="方正小标宋简体"/>
          <w:b w:val="0"/>
          <w:bCs w:val="0"/>
          <w:sz w:val="40"/>
          <w:szCs w:val="40"/>
          <w:lang w:val="en-US" w:eastAsia="zh-CN"/>
        </w:rPr>
      </w:pPr>
      <w:bookmarkStart w:id="31" w:name="_Toc6358"/>
      <w:r>
        <w:rPr>
          <w:rFonts w:hint="eastAsia" w:ascii="方正小标宋简体" w:hAnsi="方正小标宋简体" w:eastAsia="方正小标宋简体" w:cs="方正小标宋简体"/>
          <w:b w:val="0"/>
          <w:bCs w:val="0"/>
          <w:sz w:val="40"/>
          <w:szCs w:val="40"/>
          <w:lang w:val="en-US" w:eastAsia="zh-CN"/>
        </w:rPr>
        <w:t>第八章  请休假管理</w:t>
      </w:r>
      <w:bookmarkEnd w:id="30"/>
      <w:bookmarkEnd w:id="31"/>
    </w:p>
    <w:p w14:paraId="342E9C09">
      <w:pPr>
        <w:numPr>
          <w:ilvl w:val="0"/>
          <w:numId w:val="0"/>
        </w:numPr>
        <w:ind w:firstLine="560" w:firstLineChars="200"/>
        <w:jc w:val="both"/>
        <w:rPr>
          <w:rFonts w:hint="eastAsia" w:asciiTheme="minorEastAsia" w:hAnsiTheme="minorEastAsia" w:cstheme="minorEastAsia"/>
          <w:b/>
          <w:bCs/>
          <w:sz w:val="28"/>
          <w:szCs w:val="28"/>
          <w:lang w:val="en-US" w:eastAsia="zh-CN"/>
        </w:rPr>
      </w:pPr>
      <w:r>
        <w:rPr>
          <w:rFonts w:hint="eastAsia" w:ascii="黑体" w:hAnsi="黑体" w:eastAsia="黑体" w:cs="黑体"/>
          <w:b w:val="0"/>
          <w:bCs w:val="0"/>
          <w:sz w:val="28"/>
          <w:szCs w:val="28"/>
          <w:lang w:val="en-US" w:eastAsia="zh-CN"/>
        </w:rPr>
        <w:t>一、病假</w:t>
      </w:r>
    </w:p>
    <w:p w14:paraId="43DF02DA">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1、员工请病假应提前向直接上级提出，并履行审批程序。如遇特殊情况无法及时请假的，须在上班后及时向直接上级说明情况，并完成补假手续。</w:t>
      </w:r>
    </w:p>
    <w:p w14:paraId="37F7395E">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凡请病假者须向公司提供诊所或医院出具的有效证明文件。上述证明件需在病假流程中上传（允许医疗期满后在钉钉流程中以“评论”等方式后补）。若遇疫情、流感等大型公众感染疾病引起的病假，可视情况不提供相关证明，但应在流程中进行说明。</w:t>
      </w:r>
    </w:p>
    <w:p w14:paraId="0CF899C9">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3、病假流程及证明材料均为员工考勤及薪资核算的重要依据，二者缺一不可，否则按事假处理。</w:t>
      </w:r>
    </w:p>
    <w:p w14:paraId="1ADAB0A6">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4、病假最长不超过15个工作日，超过15个工作日按事假计算，医疗期满后不能从事原工作者，且不能从事公司另行安排的工作的，公司将根据实际情况与其解除劳动关系。</w:t>
      </w:r>
    </w:p>
    <w:p w14:paraId="1BAFD84E">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5、病假期间薪资按照工作地最低工资标准发放。</w:t>
      </w:r>
    </w:p>
    <w:p w14:paraId="54750A26">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二、事假</w:t>
      </w:r>
    </w:p>
    <w:p w14:paraId="77C20A99">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1、事假应提前向直接上级提出，并履行审批程序，按规定批准后方可休假，否则按旷工处理。紧急情况，须在返回工作岗位后及时向直接上级说明情况，并完成补假手续。</w:t>
      </w:r>
    </w:p>
    <w:p w14:paraId="2BC5D5D0">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2、请假最小计算单位为0.5个工作日，不足0.5个工作日按0.5个工作日计算。</w:t>
      </w:r>
    </w:p>
    <w:p w14:paraId="6A765984">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3、所有员工一次性连续事假不得超过7天，每月请事假累计最长不能超过7天，三个月累计不能超过15天，否则不予批准或依据实际情况公司有权与其解除劳动关系，特殊情况需经直接上级、分管领导审批同意。</w:t>
      </w:r>
    </w:p>
    <w:p w14:paraId="62496C12">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4、员工事假期间不计发工资。</w:t>
      </w:r>
    </w:p>
    <w:p w14:paraId="36F6293F">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三、婚假</w:t>
      </w:r>
    </w:p>
    <w:p w14:paraId="69742096">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1、婚假应提前向直接上级提出，并履行审批程序，按规定批准后方可休假，否则按旷工处理。</w:t>
      </w:r>
    </w:p>
    <w:p w14:paraId="6F7160EE">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2、员工转正后结婚（以结婚证登记日期为准），且达到法定结婚年龄（女20周岁，男22周岁），凭本人结婚证（需上传作为流程附件），可申请享受7天婚假。</w:t>
      </w:r>
    </w:p>
    <w:p w14:paraId="553D229D">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3、婚假以自然日计算，包括公休假和法定假婚假。</w:t>
      </w:r>
    </w:p>
    <w:p w14:paraId="6FA0365E">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4、婚假需一次性连续使用，期满无续假。</w:t>
      </w:r>
    </w:p>
    <w:p w14:paraId="7D88BC0B">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5、婚假期间薪资按照工作地最低工资标准发放。</w:t>
      </w:r>
    </w:p>
    <w:p w14:paraId="2ABBF614">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四、丧假</w:t>
      </w:r>
    </w:p>
    <w:p w14:paraId="543DFE16">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1、丧假应提前向直接上级提出，并履行审批程序，按规定批准后方可休假，否则按旷工处理。紧急情况，须在返回工作岗位后及时向直接上级说明情况，并完成补假手续。</w:t>
      </w:r>
    </w:p>
    <w:p w14:paraId="7114A44D">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2、员工直系亲属（父母、公婆、岳父母、配偶、子女）身故，员工可请丧假料理丧事，公司可根据实际情况给予不超过7天的丧假。</w:t>
      </w:r>
    </w:p>
    <w:p w14:paraId="06D76046">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3、员工非直系亲属（兄弟姐妹、祖父母、外祖父母）身故，公司可根据实际情况给予不超过3天的丧假。</w:t>
      </w:r>
    </w:p>
    <w:p w14:paraId="3D8DEA39">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4、丧假期间薪资按照工作地最低工资标准发放。</w:t>
      </w:r>
    </w:p>
    <w:p w14:paraId="6C14A618">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五、年假</w:t>
      </w:r>
    </w:p>
    <w:p w14:paraId="5A15B087">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1、员工在公司累计工作满1年，年休假1天；每增加1年，年休假增加1天，年休假累计不超过10天。</w:t>
      </w:r>
    </w:p>
    <w:p w14:paraId="6076596D">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2、具体休假时间根据个人休假计划及部门（公司）工作情况安排。员工休假应提前向直接上级提出，并履行审批程序，按规定批准后方可休假。</w:t>
      </w:r>
    </w:p>
    <w:p w14:paraId="6356D859">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3、年假以自然年度为计算周期，每次请休假以0.5天为单位起计，不可在当年度预支下一年度年假。</w:t>
      </w:r>
    </w:p>
    <w:p w14:paraId="487E115A">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4、原则上年假需在当年度内休完，一般不跨年度使用。如因公司工作安排导致未能按计划休完年假的，可递延至次年的第一季度内休完。如未请休，当年度未休年休假作废。</w:t>
      </w:r>
    </w:p>
    <w:p w14:paraId="5133B460">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5、个人年假可用于冲抵事假、病假。</w:t>
      </w:r>
    </w:p>
    <w:p w14:paraId="6D1CE0A9">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6、年假期间视同正常出勤，正常享受工资待遇。</w:t>
      </w:r>
    </w:p>
    <w:p w14:paraId="71DCB2AF">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六、产假与陪产假</w:t>
      </w:r>
    </w:p>
    <w:p w14:paraId="7800D096">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1、符合计划生育政策的女员工，可享受98天产假。休假须提前进行流程审批，并出示准生证等医院证明（需上传作为流程附件）。</w:t>
      </w:r>
    </w:p>
    <w:p w14:paraId="6BC21864">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2、分娩时遇有难产，由医院部门开具证明，增加产假15天；生育多胞胎的，每多生育1个婴儿，增加产假15天。</w:t>
      </w:r>
    </w:p>
    <w:p w14:paraId="3CE6C1E7">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3、男员工合法配偶生育时，可享受7天陪产假。应提前进行流程审批，并出示准生证等医院证明（需上传作为流程附件）。</w:t>
      </w:r>
    </w:p>
    <w:p w14:paraId="3AD8C3B3">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4、产假及陪产假以自然日计算，包括公休假和法定假。</w:t>
      </w:r>
    </w:p>
    <w:p w14:paraId="4F136F8C">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5、产假及陪产假需一次性连续使用，期满无续假。</w:t>
      </w:r>
    </w:p>
    <w:p w14:paraId="09D59ED8">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6、产假及陪产假期间薪资按照工作地最低工资标准发放。</w:t>
      </w:r>
    </w:p>
    <w:p w14:paraId="5E95FB87">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七、哺乳假</w:t>
      </w:r>
    </w:p>
    <w:p w14:paraId="31606EF7">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女员工在产假休满后到婴儿1周岁以前，提供婴儿《出生证明》（报人资部备案）可享受每天两次（30分/次）的哺乳假，两次哺乳时间可以合并使用。</w:t>
      </w:r>
    </w:p>
    <w:p w14:paraId="27CA3326">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八、考试假</w:t>
      </w:r>
    </w:p>
    <w:p w14:paraId="07DB999D">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1、为了塑造高素质的人才团队，公司鼓励员工对自己专业进行不断学习深造，进行学历型、技能型、与公司业务相关等考试和提升。员工转正后每年可享受2天考试假。</w:t>
      </w:r>
    </w:p>
    <w:p w14:paraId="12BADF42">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2、考试假适用范围：学历型考试、技能型考试。</w:t>
      </w:r>
    </w:p>
    <w:p w14:paraId="22D60EB5">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3、考试假可分开休息，亦可连休。考前休假需提交审批流程，并提供《准考证》等证明作为附件。具体情况由直接上级根据公司业务情况审批确定。</w:t>
      </w:r>
    </w:p>
    <w:p w14:paraId="372921CD">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4、考试假期间薪资按照工作地最低工资标准发放。</w:t>
      </w:r>
    </w:p>
    <w:p w14:paraId="773D0B56">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九、其他假期</w:t>
      </w:r>
    </w:p>
    <w:p w14:paraId="639B5DF9">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因自然灾害、公共卫生等不可抗力等因素导致无法办公或不具备正常办公条件的，按照公司规定及通知执行，该期间薪资按照工作地最低工资标准发放。</w:t>
      </w:r>
    </w:p>
    <w:p w14:paraId="052DBAE2">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十、工作移交</w:t>
      </w:r>
    </w:p>
    <w:p w14:paraId="03E37F2D">
      <w:pPr>
        <w:numPr>
          <w:ilvl w:val="0"/>
          <w:numId w:val="0"/>
        </w:numPr>
        <w:ind w:leftChars="0"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员工休假超过2个工作日的，应根据该岗位工作任务及工作内容做好工作安排及交接。</w:t>
      </w:r>
    </w:p>
    <w:p w14:paraId="5C70E52A">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32" w:name="_Toc31787"/>
    </w:p>
    <w:p w14:paraId="77903921">
      <w:pPr>
        <w:numPr>
          <w:ilvl w:val="0"/>
          <w:numId w:val="0"/>
        </w:numPr>
        <w:jc w:val="center"/>
        <w:outlineLvl w:val="0"/>
        <w:rPr>
          <w:rFonts w:hint="default" w:ascii="方正小标宋简体" w:hAnsi="方正小标宋简体" w:eastAsia="方正小标宋简体" w:cs="方正小标宋简体"/>
          <w:b w:val="0"/>
          <w:bCs w:val="0"/>
          <w:sz w:val="40"/>
          <w:szCs w:val="40"/>
          <w:lang w:val="en-US" w:eastAsia="zh-CN"/>
        </w:rPr>
      </w:pPr>
      <w:bookmarkStart w:id="33" w:name="_Toc14187"/>
      <w:r>
        <w:rPr>
          <w:rFonts w:hint="eastAsia" w:ascii="方正小标宋简体" w:hAnsi="方正小标宋简体" w:eastAsia="方正小标宋简体" w:cs="方正小标宋简体"/>
          <w:b w:val="0"/>
          <w:bCs w:val="0"/>
          <w:sz w:val="40"/>
          <w:szCs w:val="40"/>
          <w:lang w:val="en-US" w:eastAsia="zh-CN"/>
        </w:rPr>
        <w:t>第九章  绩效管理</w:t>
      </w:r>
      <w:bookmarkEnd w:id="32"/>
      <w:bookmarkEnd w:id="33"/>
    </w:p>
    <w:p w14:paraId="6A36AFB0">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一、考核原则</w:t>
      </w:r>
    </w:p>
    <w:p w14:paraId="374748C6">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遵循公正、客观的原则，以结果为导向，工作计划与能力素质相</w:t>
      </w:r>
    </w:p>
    <w:p w14:paraId="689F0558">
      <w:pPr>
        <w:numPr>
          <w:ilvl w:val="0"/>
          <w:numId w:val="0"/>
        </w:numPr>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结合，工作成果与过程控制相统一，以持续改善提升绩效和为员工不断赋能为目标的管理方式进行考核。</w:t>
      </w:r>
    </w:p>
    <w:p w14:paraId="2AD07405">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二、考核方法</w:t>
      </w:r>
    </w:p>
    <w:p w14:paraId="18FA4974">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运用关键绩效指标法，结合目标管理法进行绩效考核。</w:t>
      </w:r>
    </w:p>
    <w:p w14:paraId="1C65BF2F">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w:t>
      </w:r>
      <w:r>
        <w:rPr>
          <w:rFonts w:hint="default" w:ascii="Times New Roman" w:hAnsi="Times New Roman" w:eastAsia="方正仿宋_GB2312" w:cs="Times New Roman"/>
          <w:b w:val="0"/>
          <w:bCs w:val="0"/>
          <w:kern w:val="2"/>
          <w:sz w:val="28"/>
          <w:szCs w:val="28"/>
          <w:lang w:val="en-US" w:eastAsia="zh-CN" w:bidi="ar-SA"/>
        </w:rPr>
        <w:t>目标管理法（MBO）：根据集团各部门、各项目公司的目标</w:t>
      </w:r>
    </w:p>
    <w:p w14:paraId="4FC3A63C">
      <w:pPr>
        <w:numPr>
          <w:ilvl w:val="0"/>
          <w:numId w:val="0"/>
        </w:numPr>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规划和工作任务，将计划进行逐级分解，以结果为导向，兼顾过程管</w:t>
      </w:r>
    </w:p>
    <w:p w14:paraId="2389B29A">
      <w:pPr>
        <w:numPr>
          <w:ilvl w:val="0"/>
          <w:numId w:val="0"/>
        </w:numPr>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控，对各岗位员工进行绩效考核。</w:t>
      </w:r>
    </w:p>
    <w:p w14:paraId="639F43C5">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w:t>
      </w:r>
      <w:r>
        <w:rPr>
          <w:rFonts w:hint="default" w:ascii="Times New Roman" w:hAnsi="Times New Roman" w:eastAsia="方正仿宋_GB2312" w:cs="Times New Roman"/>
          <w:b w:val="0"/>
          <w:bCs w:val="0"/>
          <w:kern w:val="2"/>
          <w:sz w:val="28"/>
          <w:szCs w:val="28"/>
          <w:lang w:val="en-US" w:eastAsia="zh-CN" w:bidi="ar-SA"/>
        </w:rPr>
        <w:t>关键绩效指标法（KPI）：根据各岗位的工作性质、岗位职责、</w:t>
      </w:r>
    </w:p>
    <w:p w14:paraId="7A4D67DA">
      <w:pPr>
        <w:numPr>
          <w:ilvl w:val="0"/>
          <w:numId w:val="0"/>
        </w:numPr>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主要工作内容、重点工作任务等，提取各岗位关键性的考核指标。</w:t>
      </w:r>
    </w:p>
    <w:p w14:paraId="3F63B6D9">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三、考核关系</w:t>
      </w:r>
    </w:p>
    <w:p w14:paraId="762FC118">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考核关系主体分为考核者和被考核者，根据各自岗位职级和权责</w:t>
      </w:r>
    </w:p>
    <w:p w14:paraId="75D1285B">
      <w:pPr>
        <w:numPr>
          <w:ilvl w:val="0"/>
          <w:numId w:val="0"/>
        </w:numPr>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归属，可划分为不同的考核关系。</w:t>
      </w:r>
    </w:p>
    <w:tbl>
      <w:tblPr>
        <w:tblStyle w:val="14"/>
        <w:tblW w:w="876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12"/>
        <w:gridCol w:w="1365"/>
        <w:gridCol w:w="1230"/>
        <w:gridCol w:w="885"/>
        <w:gridCol w:w="1260"/>
        <w:gridCol w:w="840"/>
        <w:gridCol w:w="915"/>
        <w:gridCol w:w="960"/>
      </w:tblGrid>
      <w:tr w14:paraId="47773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1312" w:type="dxa"/>
            <w:vMerge w:val="restart"/>
            <w:tcBorders>
              <w:top w:val="single" w:color="000000" w:sz="8" w:space="0"/>
              <w:left w:val="single" w:color="000000" w:sz="8" w:space="0"/>
              <w:bottom w:val="single" w:color="000000" w:sz="8" w:space="0"/>
              <w:right w:val="single" w:color="000000" w:sz="8" w:space="0"/>
            </w:tcBorders>
            <w:shd w:val="clear" w:color="auto" w:fill="8DB4E2"/>
            <w:vAlign w:val="center"/>
          </w:tcPr>
          <w:p w14:paraId="3CE46EA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类型</w:t>
            </w:r>
          </w:p>
        </w:tc>
        <w:tc>
          <w:tcPr>
            <w:tcW w:w="1365" w:type="dxa"/>
            <w:vMerge w:val="restart"/>
            <w:tcBorders>
              <w:top w:val="single" w:color="000000" w:sz="8" w:space="0"/>
              <w:left w:val="nil"/>
              <w:bottom w:val="single" w:color="000000" w:sz="8" w:space="0"/>
              <w:right w:val="single" w:color="000000" w:sz="8" w:space="0"/>
            </w:tcBorders>
            <w:shd w:val="clear" w:color="auto" w:fill="8DB4E2"/>
            <w:vAlign w:val="center"/>
          </w:tcPr>
          <w:p w14:paraId="28E99F9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被考核者</w:t>
            </w:r>
          </w:p>
        </w:tc>
        <w:tc>
          <w:tcPr>
            <w:tcW w:w="6090" w:type="dxa"/>
            <w:gridSpan w:val="6"/>
            <w:tcBorders>
              <w:top w:val="single" w:color="000000" w:sz="8" w:space="0"/>
              <w:left w:val="nil"/>
              <w:bottom w:val="single" w:color="000000" w:sz="8" w:space="0"/>
              <w:right w:val="single" w:color="000000" w:sz="8" w:space="0"/>
            </w:tcBorders>
            <w:shd w:val="clear" w:color="auto" w:fill="8DB4E2"/>
            <w:vAlign w:val="center"/>
          </w:tcPr>
          <w:p w14:paraId="349A5BB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考核者/评分者</w:t>
            </w:r>
          </w:p>
        </w:tc>
      </w:tr>
      <w:tr w14:paraId="7E2F3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312" w:type="dxa"/>
            <w:vMerge w:val="continue"/>
            <w:tcBorders>
              <w:top w:val="single" w:color="000000" w:sz="8" w:space="0"/>
              <w:left w:val="single" w:color="000000" w:sz="8" w:space="0"/>
              <w:bottom w:val="single" w:color="000000" w:sz="8" w:space="0"/>
              <w:right w:val="single" w:color="000000" w:sz="8" w:space="0"/>
            </w:tcBorders>
            <w:shd w:val="clear" w:color="auto" w:fill="8DB4E2"/>
            <w:vAlign w:val="center"/>
          </w:tcPr>
          <w:p w14:paraId="2A2A711F">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b/>
                <w:bCs/>
                <w:i w:val="0"/>
                <w:iCs w:val="0"/>
                <w:color w:val="000000"/>
                <w:sz w:val="22"/>
                <w:szCs w:val="22"/>
                <w:u w:val="none"/>
              </w:rPr>
            </w:pPr>
          </w:p>
        </w:tc>
        <w:tc>
          <w:tcPr>
            <w:tcW w:w="1365" w:type="dxa"/>
            <w:vMerge w:val="continue"/>
            <w:tcBorders>
              <w:top w:val="single" w:color="000000" w:sz="8" w:space="0"/>
              <w:left w:val="nil"/>
              <w:bottom w:val="single" w:color="000000" w:sz="8" w:space="0"/>
              <w:right w:val="single" w:color="000000" w:sz="8" w:space="0"/>
            </w:tcBorders>
            <w:shd w:val="clear" w:color="auto" w:fill="8DB4E2"/>
            <w:vAlign w:val="center"/>
          </w:tcPr>
          <w:p w14:paraId="31FAEF36">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b/>
                <w:bCs/>
                <w:i w:val="0"/>
                <w:iCs w:val="0"/>
                <w:color w:val="000000"/>
                <w:sz w:val="22"/>
                <w:szCs w:val="22"/>
                <w:u w:val="none"/>
              </w:rPr>
            </w:pPr>
          </w:p>
        </w:tc>
        <w:tc>
          <w:tcPr>
            <w:tcW w:w="1230" w:type="dxa"/>
            <w:tcBorders>
              <w:top w:val="nil"/>
              <w:left w:val="nil"/>
              <w:bottom w:val="single" w:color="000000" w:sz="8" w:space="0"/>
              <w:right w:val="single" w:color="000000" w:sz="8" w:space="0"/>
            </w:tcBorders>
            <w:shd w:val="clear" w:color="auto" w:fill="8DB4E2"/>
            <w:vAlign w:val="center"/>
          </w:tcPr>
          <w:p w14:paraId="29DC2BD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项目部门负责人</w:t>
            </w:r>
          </w:p>
        </w:tc>
        <w:tc>
          <w:tcPr>
            <w:tcW w:w="885" w:type="dxa"/>
            <w:tcBorders>
              <w:top w:val="single" w:color="000000" w:sz="8" w:space="0"/>
              <w:left w:val="nil"/>
              <w:bottom w:val="single" w:color="000000" w:sz="8" w:space="0"/>
              <w:right w:val="single" w:color="000000" w:sz="8" w:space="0"/>
            </w:tcBorders>
            <w:shd w:val="clear" w:color="auto" w:fill="8DB4E2"/>
            <w:vAlign w:val="center"/>
          </w:tcPr>
          <w:p w14:paraId="3F48572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各项目负责人</w:t>
            </w:r>
          </w:p>
        </w:tc>
        <w:tc>
          <w:tcPr>
            <w:tcW w:w="1260" w:type="dxa"/>
            <w:tcBorders>
              <w:top w:val="single" w:color="000000" w:sz="8" w:space="0"/>
              <w:left w:val="nil"/>
              <w:bottom w:val="single" w:color="000000" w:sz="8" w:space="0"/>
              <w:right w:val="single" w:color="000000" w:sz="8" w:space="0"/>
            </w:tcBorders>
            <w:shd w:val="clear" w:color="auto" w:fill="8DB4E2"/>
            <w:vAlign w:val="center"/>
          </w:tcPr>
          <w:p w14:paraId="6218E21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集团各部门负责人</w:t>
            </w:r>
          </w:p>
        </w:tc>
        <w:tc>
          <w:tcPr>
            <w:tcW w:w="840" w:type="dxa"/>
            <w:tcBorders>
              <w:top w:val="single" w:color="000000" w:sz="8" w:space="0"/>
              <w:left w:val="nil"/>
              <w:bottom w:val="single" w:color="000000" w:sz="8" w:space="0"/>
              <w:right w:val="single" w:color="000000" w:sz="8" w:space="0"/>
            </w:tcBorders>
            <w:shd w:val="clear" w:color="auto" w:fill="8DB4E2"/>
            <w:vAlign w:val="center"/>
          </w:tcPr>
          <w:p w14:paraId="0C85287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分管班子</w:t>
            </w:r>
          </w:p>
        </w:tc>
        <w:tc>
          <w:tcPr>
            <w:tcW w:w="915" w:type="dxa"/>
            <w:tcBorders>
              <w:top w:val="single" w:color="000000" w:sz="8" w:space="0"/>
              <w:left w:val="nil"/>
              <w:bottom w:val="single" w:color="000000" w:sz="8" w:space="0"/>
              <w:right w:val="single" w:color="000000" w:sz="8" w:space="0"/>
            </w:tcBorders>
            <w:shd w:val="clear" w:color="auto" w:fill="8DB4E2"/>
            <w:vAlign w:val="center"/>
          </w:tcPr>
          <w:p w14:paraId="108F06EF">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非分管班子</w:t>
            </w:r>
          </w:p>
        </w:tc>
        <w:tc>
          <w:tcPr>
            <w:tcW w:w="960" w:type="dxa"/>
            <w:tcBorders>
              <w:top w:val="single" w:color="000000" w:sz="8" w:space="0"/>
              <w:left w:val="nil"/>
              <w:bottom w:val="single" w:color="000000" w:sz="8" w:space="0"/>
              <w:right w:val="single" w:color="000000" w:sz="8" w:space="0"/>
            </w:tcBorders>
            <w:shd w:val="clear" w:color="auto" w:fill="8DB4E2"/>
            <w:vAlign w:val="center"/>
          </w:tcPr>
          <w:p w14:paraId="155EFCC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董事长</w:t>
            </w:r>
          </w:p>
        </w:tc>
      </w:tr>
      <w:tr w14:paraId="572F9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1312" w:type="dxa"/>
            <w:vMerge w:val="restart"/>
            <w:tcBorders>
              <w:top w:val="nil"/>
              <w:left w:val="single" w:color="000000" w:sz="8" w:space="0"/>
              <w:bottom w:val="single" w:color="000000" w:sz="8" w:space="0"/>
              <w:right w:val="single" w:color="000000" w:sz="8" w:space="0"/>
            </w:tcBorders>
            <w:shd w:val="clear" w:color="auto" w:fill="auto"/>
            <w:vAlign w:val="center"/>
          </w:tcPr>
          <w:p w14:paraId="13CFA430">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b/>
                <w:bCs/>
                <w:i w:val="0"/>
                <w:iCs w:val="0"/>
                <w:color w:val="000000"/>
                <w:sz w:val="22"/>
                <w:szCs w:val="22"/>
                <w:u w:val="none"/>
                <w:lang w:val="en-US" w:eastAsia="zh-CN"/>
              </w:rPr>
            </w:pPr>
            <w:r>
              <w:rPr>
                <w:rFonts w:hint="default" w:ascii="Times New Roman" w:hAnsi="Times New Roman" w:eastAsia="方正仿宋_GB2312" w:cs="Times New Roman"/>
                <w:b/>
                <w:bCs/>
                <w:i w:val="0"/>
                <w:iCs w:val="0"/>
                <w:color w:val="000000"/>
                <w:sz w:val="22"/>
                <w:szCs w:val="22"/>
                <w:u w:val="none"/>
                <w:lang w:val="en-US" w:eastAsia="zh-CN"/>
              </w:rPr>
              <w:t>集团本部</w:t>
            </w:r>
          </w:p>
        </w:tc>
        <w:tc>
          <w:tcPr>
            <w:tcW w:w="1365" w:type="dxa"/>
            <w:tcBorders>
              <w:top w:val="nil"/>
              <w:left w:val="nil"/>
              <w:bottom w:val="single" w:color="000000" w:sz="8" w:space="0"/>
              <w:right w:val="single" w:color="000000" w:sz="8" w:space="0"/>
            </w:tcBorders>
            <w:shd w:val="clear" w:color="auto" w:fill="auto"/>
            <w:vAlign w:val="center"/>
          </w:tcPr>
          <w:p w14:paraId="74F5EB4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部门负责人</w:t>
            </w:r>
          </w:p>
        </w:tc>
        <w:tc>
          <w:tcPr>
            <w:tcW w:w="1230" w:type="dxa"/>
            <w:tcBorders>
              <w:top w:val="nil"/>
              <w:left w:val="nil"/>
              <w:bottom w:val="single" w:color="000000" w:sz="8" w:space="0"/>
              <w:right w:val="single" w:color="000000" w:sz="8" w:space="0"/>
            </w:tcBorders>
            <w:shd w:val="clear" w:color="auto" w:fill="auto"/>
            <w:vAlign w:val="center"/>
          </w:tcPr>
          <w:p w14:paraId="16BC7E24">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885" w:type="dxa"/>
            <w:tcBorders>
              <w:top w:val="nil"/>
              <w:left w:val="nil"/>
              <w:bottom w:val="single" w:color="000000" w:sz="8" w:space="0"/>
              <w:right w:val="single" w:color="000000" w:sz="8" w:space="0"/>
            </w:tcBorders>
            <w:shd w:val="clear" w:color="auto" w:fill="auto"/>
            <w:vAlign w:val="center"/>
          </w:tcPr>
          <w:p w14:paraId="5EB89985">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1260" w:type="dxa"/>
            <w:tcBorders>
              <w:top w:val="nil"/>
              <w:left w:val="nil"/>
              <w:bottom w:val="single" w:color="000000" w:sz="8" w:space="0"/>
              <w:right w:val="single" w:color="000000" w:sz="8" w:space="0"/>
            </w:tcBorders>
            <w:shd w:val="clear" w:color="auto" w:fill="auto"/>
            <w:vAlign w:val="center"/>
          </w:tcPr>
          <w:p w14:paraId="572A7970">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840" w:type="dxa"/>
            <w:tcBorders>
              <w:top w:val="nil"/>
              <w:left w:val="nil"/>
              <w:bottom w:val="single" w:color="000000" w:sz="8" w:space="0"/>
              <w:right w:val="single" w:color="000000" w:sz="8" w:space="0"/>
            </w:tcBorders>
            <w:shd w:val="clear" w:color="auto" w:fill="auto"/>
            <w:vAlign w:val="center"/>
          </w:tcPr>
          <w:p w14:paraId="1936F3B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50%</w:t>
            </w:r>
          </w:p>
        </w:tc>
        <w:tc>
          <w:tcPr>
            <w:tcW w:w="915" w:type="dxa"/>
            <w:tcBorders>
              <w:top w:val="nil"/>
              <w:left w:val="nil"/>
              <w:bottom w:val="single" w:color="000000" w:sz="8" w:space="0"/>
              <w:right w:val="single" w:color="000000" w:sz="8" w:space="0"/>
            </w:tcBorders>
            <w:shd w:val="clear" w:color="auto" w:fill="auto"/>
            <w:vAlign w:val="center"/>
          </w:tcPr>
          <w:p w14:paraId="3678401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20%</w:t>
            </w:r>
          </w:p>
        </w:tc>
        <w:tc>
          <w:tcPr>
            <w:tcW w:w="960" w:type="dxa"/>
            <w:tcBorders>
              <w:top w:val="nil"/>
              <w:left w:val="nil"/>
              <w:bottom w:val="single" w:color="000000" w:sz="8" w:space="0"/>
              <w:right w:val="single" w:color="000000" w:sz="8" w:space="0"/>
            </w:tcBorders>
            <w:shd w:val="clear" w:color="auto" w:fill="auto"/>
            <w:vAlign w:val="center"/>
          </w:tcPr>
          <w:p w14:paraId="71920CBB">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30%</w:t>
            </w:r>
          </w:p>
        </w:tc>
      </w:tr>
      <w:tr w14:paraId="61798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312" w:type="dxa"/>
            <w:vMerge w:val="continue"/>
            <w:tcBorders>
              <w:top w:val="nil"/>
              <w:left w:val="single" w:color="000000" w:sz="8" w:space="0"/>
              <w:bottom w:val="single" w:color="000000" w:sz="8" w:space="0"/>
              <w:right w:val="single" w:color="000000" w:sz="8" w:space="0"/>
            </w:tcBorders>
            <w:shd w:val="clear" w:color="auto" w:fill="auto"/>
            <w:vAlign w:val="center"/>
          </w:tcPr>
          <w:p w14:paraId="14F80D0A">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b/>
                <w:bCs/>
                <w:i w:val="0"/>
                <w:iCs w:val="0"/>
                <w:color w:val="000000"/>
                <w:sz w:val="22"/>
                <w:szCs w:val="22"/>
                <w:u w:val="none"/>
              </w:rPr>
            </w:pPr>
          </w:p>
        </w:tc>
        <w:tc>
          <w:tcPr>
            <w:tcW w:w="1365" w:type="dxa"/>
            <w:tcBorders>
              <w:top w:val="nil"/>
              <w:left w:val="nil"/>
              <w:bottom w:val="single" w:color="000000" w:sz="8" w:space="0"/>
              <w:right w:val="single" w:color="000000" w:sz="8" w:space="0"/>
            </w:tcBorders>
            <w:shd w:val="clear" w:color="auto" w:fill="auto"/>
            <w:vAlign w:val="center"/>
          </w:tcPr>
          <w:p w14:paraId="2BC4BEDD">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部门员工</w:t>
            </w:r>
          </w:p>
        </w:tc>
        <w:tc>
          <w:tcPr>
            <w:tcW w:w="1230" w:type="dxa"/>
            <w:tcBorders>
              <w:top w:val="nil"/>
              <w:left w:val="nil"/>
              <w:bottom w:val="single" w:color="000000" w:sz="8" w:space="0"/>
              <w:right w:val="single" w:color="000000" w:sz="8" w:space="0"/>
            </w:tcBorders>
            <w:shd w:val="clear" w:color="auto" w:fill="auto"/>
            <w:vAlign w:val="center"/>
          </w:tcPr>
          <w:p w14:paraId="19FB1476">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885" w:type="dxa"/>
            <w:tcBorders>
              <w:top w:val="nil"/>
              <w:left w:val="nil"/>
              <w:bottom w:val="single" w:color="000000" w:sz="8" w:space="0"/>
              <w:right w:val="single" w:color="000000" w:sz="8" w:space="0"/>
            </w:tcBorders>
            <w:shd w:val="clear" w:color="auto" w:fill="auto"/>
            <w:vAlign w:val="center"/>
          </w:tcPr>
          <w:p w14:paraId="4120A54E">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1260" w:type="dxa"/>
            <w:tcBorders>
              <w:top w:val="nil"/>
              <w:left w:val="nil"/>
              <w:bottom w:val="single" w:color="000000" w:sz="8" w:space="0"/>
              <w:right w:val="single" w:color="000000" w:sz="8" w:space="0"/>
            </w:tcBorders>
            <w:shd w:val="clear" w:color="auto" w:fill="auto"/>
            <w:vAlign w:val="center"/>
          </w:tcPr>
          <w:p w14:paraId="11F3FC3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60%</w:t>
            </w:r>
          </w:p>
        </w:tc>
        <w:tc>
          <w:tcPr>
            <w:tcW w:w="840" w:type="dxa"/>
            <w:tcBorders>
              <w:top w:val="nil"/>
              <w:left w:val="nil"/>
              <w:bottom w:val="single" w:color="000000" w:sz="8" w:space="0"/>
              <w:right w:val="single" w:color="000000" w:sz="8" w:space="0"/>
            </w:tcBorders>
            <w:shd w:val="clear" w:color="auto" w:fill="auto"/>
            <w:vAlign w:val="center"/>
          </w:tcPr>
          <w:p w14:paraId="49BC93E0">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40%</w:t>
            </w:r>
          </w:p>
        </w:tc>
        <w:tc>
          <w:tcPr>
            <w:tcW w:w="915" w:type="dxa"/>
            <w:tcBorders>
              <w:top w:val="nil"/>
              <w:left w:val="nil"/>
              <w:bottom w:val="single" w:color="000000" w:sz="8" w:space="0"/>
              <w:right w:val="single" w:color="000000" w:sz="8" w:space="0"/>
            </w:tcBorders>
            <w:shd w:val="clear" w:color="auto" w:fill="auto"/>
            <w:vAlign w:val="center"/>
          </w:tcPr>
          <w:p w14:paraId="053CE8A6">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960" w:type="dxa"/>
            <w:tcBorders>
              <w:top w:val="nil"/>
              <w:left w:val="nil"/>
              <w:bottom w:val="single" w:color="000000" w:sz="8" w:space="0"/>
              <w:right w:val="single" w:color="000000" w:sz="8" w:space="0"/>
            </w:tcBorders>
            <w:shd w:val="clear" w:color="auto" w:fill="auto"/>
            <w:vAlign w:val="center"/>
          </w:tcPr>
          <w:p w14:paraId="66F179FA">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r>
      <w:tr w14:paraId="33C22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312" w:type="dxa"/>
            <w:vMerge w:val="restart"/>
            <w:tcBorders>
              <w:top w:val="nil"/>
              <w:left w:val="single" w:color="000000" w:sz="8" w:space="0"/>
              <w:bottom w:val="single" w:color="000000" w:sz="8" w:space="0"/>
              <w:right w:val="single" w:color="000000" w:sz="8" w:space="0"/>
            </w:tcBorders>
            <w:shd w:val="clear" w:color="auto" w:fill="auto"/>
            <w:vAlign w:val="center"/>
          </w:tcPr>
          <w:p w14:paraId="2427B757">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项目公司</w:t>
            </w:r>
          </w:p>
        </w:tc>
        <w:tc>
          <w:tcPr>
            <w:tcW w:w="1365" w:type="dxa"/>
            <w:tcBorders>
              <w:top w:val="nil"/>
              <w:left w:val="nil"/>
              <w:bottom w:val="single" w:color="000000" w:sz="8" w:space="0"/>
              <w:right w:val="single" w:color="000000" w:sz="8" w:space="0"/>
            </w:tcBorders>
            <w:shd w:val="clear" w:color="auto" w:fill="auto"/>
            <w:vAlign w:val="center"/>
          </w:tcPr>
          <w:p w14:paraId="01838CB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项目负责人</w:t>
            </w:r>
          </w:p>
        </w:tc>
        <w:tc>
          <w:tcPr>
            <w:tcW w:w="1230" w:type="dxa"/>
            <w:tcBorders>
              <w:top w:val="nil"/>
              <w:left w:val="nil"/>
              <w:bottom w:val="single" w:color="000000" w:sz="8" w:space="0"/>
              <w:right w:val="single" w:color="000000" w:sz="8" w:space="0"/>
            </w:tcBorders>
            <w:shd w:val="clear" w:color="auto" w:fill="auto"/>
            <w:vAlign w:val="center"/>
          </w:tcPr>
          <w:p w14:paraId="2B52E1CA">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885" w:type="dxa"/>
            <w:tcBorders>
              <w:top w:val="nil"/>
              <w:left w:val="nil"/>
              <w:bottom w:val="single" w:color="000000" w:sz="8" w:space="0"/>
              <w:right w:val="single" w:color="000000" w:sz="8" w:space="0"/>
            </w:tcBorders>
            <w:shd w:val="clear" w:color="auto" w:fill="auto"/>
            <w:vAlign w:val="center"/>
          </w:tcPr>
          <w:p w14:paraId="65EA100E">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1260" w:type="dxa"/>
            <w:tcBorders>
              <w:top w:val="nil"/>
              <w:left w:val="nil"/>
              <w:bottom w:val="single" w:color="000000" w:sz="8" w:space="0"/>
              <w:right w:val="single" w:color="000000" w:sz="8" w:space="0"/>
            </w:tcBorders>
            <w:shd w:val="clear" w:color="auto" w:fill="auto"/>
            <w:vAlign w:val="center"/>
          </w:tcPr>
          <w:p w14:paraId="34C9EB07">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840" w:type="dxa"/>
            <w:tcBorders>
              <w:top w:val="nil"/>
              <w:left w:val="nil"/>
              <w:bottom w:val="single" w:color="000000" w:sz="8" w:space="0"/>
              <w:right w:val="single" w:color="000000" w:sz="8" w:space="0"/>
            </w:tcBorders>
            <w:shd w:val="clear" w:color="auto" w:fill="auto"/>
            <w:vAlign w:val="center"/>
          </w:tcPr>
          <w:p w14:paraId="1B20E95A">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50%</w:t>
            </w:r>
          </w:p>
        </w:tc>
        <w:tc>
          <w:tcPr>
            <w:tcW w:w="915" w:type="dxa"/>
            <w:tcBorders>
              <w:top w:val="nil"/>
              <w:left w:val="nil"/>
              <w:bottom w:val="single" w:color="000000" w:sz="8" w:space="0"/>
              <w:right w:val="single" w:color="000000" w:sz="8" w:space="0"/>
            </w:tcBorders>
            <w:shd w:val="clear" w:color="auto" w:fill="auto"/>
            <w:vAlign w:val="center"/>
          </w:tcPr>
          <w:p w14:paraId="0E3742C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20%</w:t>
            </w:r>
          </w:p>
        </w:tc>
        <w:tc>
          <w:tcPr>
            <w:tcW w:w="960" w:type="dxa"/>
            <w:tcBorders>
              <w:top w:val="nil"/>
              <w:left w:val="nil"/>
              <w:bottom w:val="single" w:color="000000" w:sz="8" w:space="0"/>
              <w:right w:val="single" w:color="000000" w:sz="8" w:space="0"/>
            </w:tcBorders>
            <w:shd w:val="clear" w:color="auto" w:fill="auto"/>
            <w:vAlign w:val="center"/>
          </w:tcPr>
          <w:p w14:paraId="1A40611C">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30%</w:t>
            </w:r>
          </w:p>
        </w:tc>
      </w:tr>
      <w:tr w14:paraId="16546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1312" w:type="dxa"/>
            <w:vMerge w:val="continue"/>
            <w:tcBorders>
              <w:top w:val="nil"/>
              <w:left w:val="single" w:color="000000" w:sz="8" w:space="0"/>
              <w:bottom w:val="single" w:color="000000" w:sz="8" w:space="0"/>
              <w:right w:val="single" w:color="000000" w:sz="8" w:space="0"/>
            </w:tcBorders>
            <w:shd w:val="clear" w:color="auto" w:fill="auto"/>
            <w:vAlign w:val="center"/>
          </w:tcPr>
          <w:p w14:paraId="757FABA2">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b/>
                <w:bCs/>
                <w:i w:val="0"/>
                <w:iCs w:val="0"/>
                <w:color w:val="000000"/>
                <w:sz w:val="22"/>
                <w:szCs w:val="22"/>
                <w:u w:val="none"/>
              </w:rPr>
            </w:pPr>
          </w:p>
        </w:tc>
        <w:tc>
          <w:tcPr>
            <w:tcW w:w="1365" w:type="dxa"/>
            <w:tcBorders>
              <w:top w:val="nil"/>
              <w:left w:val="nil"/>
              <w:bottom w:val="single" w:color="000000" w:sz="8" w:space="0"/>
              <w:right w:val="single" w:color="000000" w:sz="8" w:space="0"/>
            </w:tcBorders>
            <w:shd w:val="clear" w:color="auto" w:fill="auto"/>
            <w:vAlign w:val="center"/>
          </w:tcPr>
          <w:p w14:paraId="614257F3">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项目副总</w:t>
            </w:r>
          </w:p>
        </w:tc>
        <w:tc>
          <w:tcPr>
            <w:tcW w:w="1230" w:type="dxa"/>
            <w:tcBorders>
              <w:top w:val="nil"/>
              <w:left w:val="nil"/>
              <w:bottom w:val="single" w:color="000000" w:sz="8" w:space="0"/>
              <w:right w:val="single" w:color="000000" w:sz="8" w:space="0"/>
            </w:tcBorders>
            <w:shd w:val="clear" w:color="auto" w:fill="auto"/>
            <w:vAlign w:val="center"/>
          </w:tcPr>
          <w:p w14:paraId="4D4050BE">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885" w:type="dxa"/>
            <w:tcBorders>
              <w:top w:val="nil"/>
              <w:left w:val="nil"/>
              <w:bottom w:val="single" w:color="000000" w:sz="8" w:space="0"/>
              <w:right w:val="single" w:color="000000" w:sz="8" w:space="0"/>
            </w:tcBorders>
            <w:shd w:val="clear" w:color="auto" w:fill="auto"/>
            <w:vAlign w:val="center"/>
          </w:tcPr>
          <w:p w14:paraId="11842B34">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60%</w:t>
            </w:r>
          </w:p>
        </w:tc>
        <w:tc>
          <w:tcPr>
            <w:tcW w:w="1260" w:type="dxa"/>
            <w:tcBorders>
              <w:top w:val="nil"/>
              <w:left w:val="nil"/>
              <w:bottom w:val="single" w:color="000000" w:sz="8" w:space="0"/>
              <w:right w:val="single" w:color="000000" w:sz="8" w:space="0"/>
            </w:tcBorders>
            <w:shd w:val="clear" w:color="auto" w:fill="auto"/>
            <w:vAlign w:val="center"/>
          </w:tcPr>
          <w:p w14:paraId="0B325D92">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840" w:type="dxa"/>
            <w:tcBorders>
              <w:top w:val="nil"/>
              <w:left w:val="nil"/>
              <w:bottom w:val="single" w:color="000000" w:sz="8" w:space="0"/>
              <w:right w:val="single" w:color="000000" w:sz="8" w:space="0"/>
            </w:tcBorders>
            <w:shd w:val="clear" w:color="auto" w:fill="auto"/>
            <w:vAlign w:val="center"/>
          </w:tcPr>
          <w:p w14:paraId="4AD7F632">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40%</w:t>
            </w:r>
          </w:p>
        </w:tc>
        <w:tc>
          <w:tcPr>
            <w:tcW w:w="915" w:type="dxa"/>
            <w:tcBorders>
              <w:top w:val="nil"/>
              <w:left w:val="nil"/>
              <w:bottom w:val="single" w:color="000000" w:sz="8" w:space="0"/>
              <w:right w:val="single" w:color="000000" w:sz="8" w:space="0"/>
            </w:tcBorders>
            <w:shd w:val="clear" w:color="auto" w:fill="auto"/>
            <w:vAlign w:val="center"/>
          </w:tcPr>
          <w:p w14:paraId="79800A3F">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960" w:type="dxa"/>
            <w:tcBorders>
              <w:top w:val="nil"/>
              <w:left w:val="nil"/>
              <w:bottom w:val="single" w:color="000000" w:sz="8" w:space="0"/>
              <w:right w:val="single" w:color="000000" w:sz="8" w:space="0"/>
            </w:tcBorders>
            <w:shd w:val="clear" w:color="auto" w:fill="auto"/>
            <w:vAlign w:val="center"/>
          </w:tcPr>
          <w:p w14:paraId="7B223E29">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r>
      <w:tr w14:paraId="75402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cantSplit/>
          <w:trHeight w:val="0" w:hRule="atLeast"/>
          <w:jc w:val="center"/>
        </w:trPr>
        <w:tc>
          <w:tcPr>
            <w:tcW w:w="1312" w:type="dxa"/>
            <w:vMerge w:val="continue"/>
            <w:tcBorders>
              <w:top w:val="nil"/>
              <w:left w:val="single" w:color="000000" w:sz="8" w:space="0"/>
              <w:bottom w:val="single" w:color="000000" w:sz="8" w:space="0"/>
              <w:right w:val="single" w:color="000000" w:sz="8" w:space="0"/>
            </w:tcBorders>
            <w:shd w:val="clear" w:color="auto" w:fill="auto"/>
            <w:vAlign w:val="center"/>
          </w:tcPr>
          <w:p w14:paraId="3A8C7133">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b/>
                <w:bCs/>
                <w:i w:val="0"/>
                <w:iCs w:val="0"/>
                <w:color w:val="000000"/>
                <w:sz w:val="22"/>
                <w:szCs w:val="22"/>
                <w:u w:val="none"/>
              </w:rPr>
            </w:pPr>
          </w:p>
        </w:tc>
        <w:tc>
          <w:tcPr>
            <w:tcW w:w="1365" w:type="dxa"/>
            <w:tcBorders>
              <w:top w:val="nil"/>
              <w:left w:val="nil"/>
              <w:bottom w:val="single" w:color="000000" w:sz="8" w:space="0"/>
              <w:right w:val="single" w:color="000000" w:sz="8" w:space="0"/>
            </w:tcBorders>
            <w:shd w:val="clear" w:color="auto" w:fill="auto"/>
            <w:vAlign w:val="center"/>
          </w:tcPr>
          <w:p w14:paraId="64D7F49E">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部门负责人</w:t>
            </w:r>
          </w:p>
        </w:tc>
        <w:tc>
          <w:tcPr>
            <w:tcW w:w="1230" w:type="dxa"/>
            <w:tcBorders>
              <w:top w:val="nil"/>
              <w:left w:val="nil"/>
              <w:bottom w:val="single" w:color="000000" w:sz="8" w:space="0"/>
              <w:right w:val="single" w:color="000000" w:sz="8" w:space="0"/>
            </w:tcBorders>
            <w:shd w:val="clear" w:color="auto" w:fill="auto"/>
            <w:vAlign w:val="center"/>
          </w:tcPr>
          <w:p w14:paraId="0283534E">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885" w:type="dxa"/>
            <w:tcBorders>
              <w:top w:val="nil"/>
              <w:left w:val="nil"/>
              <w:bottom w:val="single" w:color="000000" w:sz="8" w:space="0"/>
              <w:right w:val="single" w:color="000000" w:sz="8" w:space="0"/>
            </w:tcBorders>
            <w:shd w:val="clear" w:color="auto" w:fill="auto"/>
            <w:vAlign w:val="center"/>
          </w:tcPr>
          <w:p w14:paraId="2AAB53B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60%</w:t>
            </w:r>
          </w:p>
        </w:tc>
        <w:tc>
          <w:tcPr>
            <w:tcW w:w="1260" w:type="dxa"/>
            <w:tcBorders>
              <w:top w:val="nil"/>
              <w:left w:val="nil"/>
              <w:bottom w:val="single" w:color="000000" w:sz="8" w:space="0"/>
              <w:right w:val="single" w:color="000000" w:sz="8" w:space="0"/>
            </w:tcBorders>
            <w:shd w:val="clear" w:color="auto" w:fill="auto"/>
            <w:vAlign w:val="center"/>
          </w:tcPr>
          <w:p w14:paraId="00C446C7">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840" w:type="dxa"/>
            <w:tcBorders>
              <w:top w:val="nil"/>
              <w:left w:val="nil"/>
              <w:bottom w:val="single" w:color="000000" w:sz="8" w:space="0"/>
              <w:right w:val="single" w:color="000000" w:sz="8" w:space="0"/>
            </w:tcBorders>
            <w:shd w:val="clear" w:color="auto" w:fill="auto"/>
            <w:vAlign w:val="center"/>
          </w:tcPr>
          <w:p w14:paraId="18307568">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40%</w:t>
            </w:r>
          </w:p>
        </w:tc>
        <w:tc>
          <w:tcPr>
            <w:tcW w:w="915" w:type="dxa"/>
            <w:tcBorders>
              <w:top w:val="nil"/>
              <w:left w:val="nil"/>
              <w:bottom w:val="single" w:color="000000" w:sz="8" w:space="0"/>
              <w:right w:val="single" w:color="000000" w:sz="8" w:space="0"/>
            </w:tcBorders>
            <w:shd w:val="clear" w:color="auto" w:fill="auto"/>
            <w:vAlign w:val="center"/>
          </w:tcPr>
          <w:p w14:paraId="134A597A">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960" w:type="dxa"/>
            <w:tcBorders>
              <w:top w:val="nil"/>
              <w:left w:val="nil"/>
              <w:bottom w:val="single" w:color="000000" w:sz="8" w:space="0"/>
              <w:right w:val="single" w:color="000000" w:sz="8" w:space="0"/>
            </w:tcBorders>
            <w:shd w:val="clear" w:color="auto" w:fill="auto"/>
            <w:vAlign w:val="center"/>
          </w:tcPr>
          <w:p w14:paraId="53F00FA4">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r>
      <w:tr w14:paraId="73157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1312" w:type="dxa"/>
            <w:vMerge w:val="continue"/>
            <w:tcBorders>
              <w:top w:val="nil"/>
              <w:left w:val="single" w:color="000000" w:sz="8" w:space="0"/>
              <w:bottom w:val="single" w:color="000000" w:sz="8" w:space="0"/>
              <w:right w:val="single" w:color="000000" w:sz="8" w:space="0"/>
            </w:tcBorders>
            <w:shd w:val="clear" w:color="auto" w:fill="auto"/>
            <w:vAlign w:val="center"/>
          </w:tcPr>
          <w:p w14:paraId="667138F4">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b/>
                <w:bCs/>
                <w:i w:val="0"/>
                <w:iCs w:val="0"/>
                <w:color w:val="000000"/>
                <w:sz w:val="22"/>
                <w:szCs w:val="22"/>
                <w:u w:val="none"/>
              </w:rPr>
            </w:pPr>
          </w:p>
        </w:tc>
        <w:tc>
          <w:tcPr>
            <w:tcW w:w="1365" w:type="dxa"/>
            <w:tcBorders>
              <w:top w:val="nil"/>
              <w:left w:val="nil"/>
              <w:bottom w:val="single" w:color="000000" w:sz="8" w:space="0"/>
              <w:right w:val="single" w:color="000000" w:sz="8" w:space="0"/>
            </w:tcBorders>
            <w:shd w:val="clear" w:color="auto" w:fill="auto"/>
            <w:vAlign w:val="center"/>
          </w:tcPr>
          <w:p w14:paraId="7219AE4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b/>
                <w:bCs/>
                <w:i w:val="0"/>
                <w:iCs w:val="0"/>
                <w:color w:val="000000"/>
                <w:sz w:val="22"/>
                <w:szCs w:val="22"/>
                <w:u w:val="none"/>
              </w:rPr>
            </w:pPr>
            <w:r>
              <w:rPr>
                <w:rFonts w:hint="default" w:ascii="Times New Roman" w:hAnsi="Times New Roman" w:eastAsia="方正仿宋_GB2312" w:cs="Times New Roman"/>
                <w:b/>
                <w:bCs/>
                <w:i w:val="0"/>
                <w:iCs w:val="0"/>
                <w:color w:val="000000"/>
                <w:kern w:val="0"/>
                <w:sz w:val="22"/>
                <w:szCs w:val="22"/>
                <w:u w:val="none"/>
                <w:lang w:val="en-US" w:eastAsia="zh-CN" w:bidi="ar"/>
              </w:rPr>
              <w:t>部门员工</w:t>
            </w:r>
          </w:p>
        </w:tc>
        <w:tc>
          <w:tcPr>
            <w:tcW w:w="1230" w:type="dxa"/>
            <w:tcBorders>
              <w:top w:val="nil"/>
              <w:left w:val="nil"/>
              <w:bottom w:val="single" w:color="000000" w:sz="8" w:space="0"/>
              <w:right w:val="single" w:color="000000" w:sz="8" w:space="0"/>
            </w:tcBorders>
            <w:shd w:val="clear" w:color="auto" w:fill="auto"/>
            <w:vAlign w:val="center"/>
          </w:tcPr>
          <w:p w14:paraId="3756E2D1">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60%</w:t>
            </w:r>
          </w:p>
        </w:tc>
        <w:tc>
          <w:tcPr>
            <w:tcW w:w="885" w:type="dxa"/>
            <w:tcBorders>
              <w:top w:val="nil"/>
              <w:left w:val="nil"/>
              <w:bottom w:val="single" w:color="000000" w:sz="8" w:space="0"/>
              <w:right w:val="single" w:color="000000" w:sz="8" w:space="0"/>
            </w:tcBorders>
            <w:shd w:val="clear" w:color="auto" w:fill="auto"/>
            <w:vAlign w:val="center"/>
          </w:tcPr>
          <w:p w14:paraId="24D08016">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center"/>
              <w:rPr>
                <w:rFonts w:hint="default" w:ascii="Times New Roman" w:hAnsi="Times New Roman" w:eastAsia="方正仿宋_GB2312" w:cs="Times New Roman"/>
                <w:i w:val="0"/>
                <w:iCs w:val="0"/>
                <w:color w:val="000000"/>
                <w:sz w:val="22"/>
                <w:szCs w:val="22"/>
                <w:u w:val="none"/>
              </w:rPr>
            </w:pPr>
            <w:r>
              <w:rPr>
                <w:rFonts w:hint="default" w:ascii="Times New Roman" w:hAnsi="Times New Roman" w:eastAsia="方正仿宋_GB2312" w:cs="Times New Roman"/>
                <w:i w:val="0"/>
                <w:iCs w:val="0"/>
                <w:color w:val="000000"/>
                <w:kern w:val="0"/>
                <w:sz w:val="22"/>
                <w:szCs w:val="22"/>
                <w:u w:val="none"/>
                <w:lang w:val="en-US" w:eastAsia="zh-CN" w:bidi="ar"/>
              </w:rPr>
              <w:t>40%</w:t>
            </w:r>
          </w:p>
        </w:tc>
        <w:tc>
          <w:tcPr>
            <w:tcW w:w="1260" w:type="dxa"/>
            <w:tcBorders>
              <w:top w:val="nil"/>
              <w:left w:val="nil"/>
              <w:bottom w:val="single" w:color="000000" w:sz="8" w:space="0"/>
              <w:right w:val="single" w:color="000000" w:sz="8" w:space="0"/>
            </w:tcBorders>
            <w:shd w:val="clear" w:color="auto" w:fill="auto"/>
            <w:vAlign w:val="center"/>
          </w:tcPr>
          <w:p w14:paraId="040F22A9">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840" w:type="dxa"/>
            <w:tcBorders>
              <w:top w:val="nil"/>
              <w:left w:val="nil"/>
              <w:bottom w:val="single" w:color="000000" w:sz="8" w:space="0"/>
              <w:right w:val="single" w:color="000000" w:sz="8" w:space="0"/>
            </w:tcBorders>
            <w:shd w:val="clear" w:color="auto" w:fill="auto"/>
            <w:vAlign w:val="center"/>
          </w:tcPr>
          <w:p w14:paraId="7E78126A">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915" w:type="dxa"/>
            <w:tcBorders>
              <w:top w:val="nil"/>
              <w:left w:val="nil"/>
              <w:bottom w:val="single" w:color="000000" w:sz="8" w:space="0"/>
              <w:right w:val="single" w:color="000000" w:sz="8" w:space="0"/>
            </w:tcBorders>
            <w:shd w:val="clear" w:color="auto" w:fill="auto"/>
            <w:vAlign w:val="center"/>
          </w:tcPr>
          <w:p w14:paraId="0F4435AB">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c>
          <w:tcPr>
            <w:tcW w:w="960" w:type="dxa"/>
            <w:tcBorders>
              <w:top w:val="nil"/>
              <w:left w:val="nil"/>
              <w:bottom w:val="single" w:color="000000" w:sz="8" w:space="0"/>
              <w:right w:val="single" w:color="000000" w:sz="8" w:space="0"/>
            </w:tcBorders>
            <w:shd w:val="clear" w:color="auto" w:fill="auto"/>
            <w:noWrap/>
            <w:vAlign w:val="center"/>
          </w:tcPr>
          <w:p w14:paraId="78B6D111">
            <w:pPr>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方正仿宋_GB2312" w:cs="Times New Roman"/>
                <w:i w:val="0"/>
                <w:iCs w:val="0"/>
                <w:color w:val="000000"/>
                <w:sz w:val="22"/>
                <w:szCs w:val="22"/>
                <w:u w:val="none"/>
              </w:rPr>
            </w:pPr>
          </w:p>
        </w:tc>
      </w:tr>
    </w:tbl>
    <w:p w14:paraId="1806275C">
      <w:pPr>
        <w:numPr>
          <w:ilvl w:val="0"/>
          <w:numId w:val="0"/>
        </w:numPr>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注：以上考核关系及比例根据集团要求及项目实际情况实时调整。</w:t>
      </w:r>
    </w:p>
    <w:p w14:paraId="4C58893C">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四、考核周期、绩效工资占比与发放形式</w:t>
      </w:r>
    </w:p>
    <w:p w14:paraId="2A67A8BB">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全月均按照月度考核，中高层绩效工资占比40%，基层绩效占比30%，招商、市场、销售等业务岗占比50%，绩效工资根据月度考核结果核定，随薪资一同发放。</w:t>
      </w:r>
    </w:p>
    <w:p w14:paraId="29A6ED40">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 xml:space="preserve">五、绩效结果运用 </w:t>
      </w:r>
    </w:p>
    <w:p w14:paraId="4295F64F">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1</w:t>
      </w:r>
      <w:r>
        <w:rPr>
          <w:rFonts w:hint="eastAsia" w:ascii="Times New Roman" w:hAnsi="Times New Roman" w:eastAsia="方正仿宋_GB2312" w:cs="Times New Roman"/>
          <w:b w:val="0"/>
          <w:bCs w:val="0"/>
          <w:kern w:val="2"/>
          <w:sz w:val="28"/>
          <w:szCs w:val="28"/>
          <w:lang w:val="en-US" w:eastAsia="zh-CN" w:bidi="ar-SA"/>
        </w:rPr>
        <w:t xml:space="preserve">、绩效工资发放 </w:t>
      </w:r>
    </w:p>
    <w:p w14:paraId="2198CD11">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 xml:space="preserve">绩效考核结果最直接体现在绩效工资的发放上，适用人员为转正 员工。试用期考核试用期员工正常参与绩效考核，其考核结果不与工资挂钩，但作为转正依据。 </w:t>
      </w:r>
    </w:p>
    <w:p w14:paraId="10DC42C2">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 xml:space="preserve">2、晋升、加薪 </w:t>
      </w:r>
    </w:p>
    <w:p w14:paraId="36F38B12">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 xml:space="preserve">员工在半年内考核等级累计获得3次A，将作为对员工进行晋升或加薪调整的依据。 </w:t>
      </w:r>
    </w:p>
    <w:p w14:paraId="22DA8688">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 xml:space="preserve">3、降职、降薪及岗位调整与合同变更 </w:t>
      </w:r>
    </w:p>
    <w:p w14:paraId="39F728DD">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 xml:space="preserve">员工在半年内考核绩效等级累计获得4次C或3次D及以下，或者连续3次C、连续2次D、1次E及以下可作为岗位调整、降职、降薪、协商变更劳动合同等程序的依据。绩效等级为C及以下者，上级对其绩效面谈，并将相应面谈资料反馈人资部。 </w:t>
      </w:r>
    </w:p>
    <w:p w14:paraId="4E30CE0E">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 xml:space="preserve">4、其他 </w:t>
      </w:r>
    </w:p>
    <w:p w14:paraId="52B22535">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绩效结果除应用于以上方面外，还作为员工奖金发放、评优评先 等方面的重要依据。</w:t>
      </w:r>
    </w:p>
    <w:p w14:paraId="586F0E15">
      <w:pPr>
        <w:numPr>
          <w:ilvl w:val="0"/>
          <w:numId w:val="0"/>
        </w:numPr>
        <w:jc w:val="both"/>
        <w:outlineLvl w:val="9"/>
        <w:rPr>
          <w:rFonts w:hint="eastAsia" w:asciiTheme="minorEastAsia" w:hAnsiTheme="minorEastAsia" w:cstheme="minorEastAsia"/>
          <w:b/>
          <w:bCs/>
          <w:sz w:val="40"/>
          <w:szCs w:val="40"/>
          <w:lang w:val="en-US" w:eastAsia="zh-CN"/>
        </w:rPr>
      </w:pPr>
    </w:p>
    <w:p w14:paraId="3F320DDE">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34" w:name="_Toc17609"/>
    </w:p>
    <w:p w14:paraId="656EE6B1">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35" w:name="_Toc11553"/>
      <w:r>
        <w:rPr>
          <w:rFonts w:hint="eastAsia" w:ascii="方正小标宋简体" w:hAnsi="方正小标宋简体" w:eastAsia="方正小标宋简体" w:cs="方正小标宋简体"/>
          <w:b w:val="0"/>
          <w:bCs w:val="0"/>
          <w:sz w:val="40"/>
          <w:szCs w:val="40"/>
          <w:lang w:val="en-US" w:eastAsia="zh-CN"/>
        </w:rPr>
        <w:t>第十章  薪酬管理</w:t>
      </w:r>
      <w:bookmarkEnd w:id="34"/>
      <w:bookmarkEnd w:id="35"/>
    </w:p>
    <w:p w14:paraId="5653342F">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w:t>
      </w:r>
      <w:r>
        <w:rPr>
          <w:rFonts w:hint="default" w:ascii="黑体" w:hAnsi="黑体" w:eastAsia="黑体" w:cs="黑体"/>
          <w:b w:val="0"/>
          <w:bCs w:val="0"/>
          <w:sz w:val="28"/>
          <w:szCs w:val="28"/>
          <w:lang w:val="en-US" w:eastAsia="zh-CN"/>
        </w:rPr>
        <w:t>薪酬体系</w:t>
      </w:r>
    </w:p>
    <w:p w14:paraId="2A578AA8">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公司薪酬体系旨在体现员工的岗位价值和个人贡献，同时保持市场竞争力。</w:t>
      </w:r>
      <w:r>
        <w:rPr>
          <w:rFonts w:hint="eastAsia" w:ascii="Times New Roman" w:hAnsi="Times New Roman" w:eastAsia="方正仿宋_GB2312" w:cs="Times New Roman"/>
          <w:b w:val="0"/>
          <w:bCs w:val="0"/>
          <w:kern w:val="2"/>
          <w:sz w:val="28"/>
          <w:szCs w:val="28"/>
          <w:lang w:val="en-US" w:eastAsia="zh-CN" w:bidi="ar-SA"/>
        </w:rPr>
        <w:t>薪酬结构包括薪资、年终奖金、招商提成、业务提成及其他补助等。</w:t>
      </w:r>
    </w:p>
    <w:p w14:paraId="65E40311">
      <w:pPr>
        <w:numPr>
          <w:ilvl w:val="0"/>
          <w:numId w:val="0"/>
        </w:numPr>
        <w:ind w:firstLine="560" w:firstLineChars="200"/>
        <w:jc w:val="both"/>
        <w:rPr>
          <w:rFonts w:hint="default"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w:t>
      </w:r>
      <w:r>
        <w:rPr>
          <w:rFonts w:hint="default" w:ascii="黑体" w:hAnsi="黑体" w:eastAsia="黑体" w:cs="黑体"/>
          <w:b w:val="0"/>
          <w:bCs w:val="0"/>
          <w:sz w:val="28"/>
          <w:szCs w:val="28"/>
          <w:lang w:val="en-US" w:eastAsia="zh-CN"/>
        </w:rPr>
        <w:t>薪酬结构</w:t>
      </w:r>
    </w:p>
    <w:p w14:paraId="3B57CDEC">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基本工资：</w:t>
      </w:r>
      <w:r>
        <w:rPr>
          <w:rFonts w:hint="eastAsia" w:ascii="Times New Roman" w:hAnsi="Times New Roman" w:eastAsia="方正仿宋_GB2312" w:cs="Times New Roman"/>
          <w:b w:val="0"/>
          <w:bCs w:val="0"/>
          <w:kern w:val="2"/>
          <w:sz w:val="28"/>
          <w:szCs w:val="28"/>
          <w:lang w:val="en-US" w:eastAsia="zh-CN" w:bidi="ar-SA"/>
        </w:rPr>
        <w:t>根据所在地区最低工资标准予以确定</w:t>
      </w:r>
      <w:r>
        <w:rPr>
          <w:rFonts w:hint="default" w:ascii="Times New Roman" w:hAnsi="Times New Roman" w:eastAsia="方正仿宋_GB2312" w:cs="Times New Roman"/>
          <w:b w:val="0"/>
          <w:bCs w:val="0"/>
          <w:kern w:val="2"/>
          <w:sz w:val="28"/>
          <w:szCs w:val="28"/>
          <w:lang w:val="en-US" w:eastAsia="zh-CN" w:bidi="ar-SA"/>
        </w:rPr>
        <w:t>。</w:t>
      </w:r>
    </w:p>
    <w:p w14:paraId="0AF482E1">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岗位工资：根据所在岗位的性质、级别、价值、贡献确定岗位工资标准</w:t>
      </w:r>
      <w:r>
        <w:rPr>
          <w:rFonts w:hint="default" w:ascii="Times New Roman" w:hAnsi="Times New Roman" w:eastAsia="方正仿宋_GB2312" w:cs="Times New Roman"/>
          <w:b w:val="0"/>
          <w:bCs w:val="0"/>
          <w:kern w:val="2"/>
          <w:sz w:val="28"/>
          <w:szCs w:val="28"/>
          <w:lang w:val="en-US" w:eastAsia="zh-CN" w:bidi="ar-SA"/>
        </w:rPr>
        <w:t>。</w:t>
      </w:r>
    </w:p>
    <w:p w14:paraId="4BD9D411">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绩效工资：按照不同的岗位职级确定绩效工资标准。具体占比标准详见绩效管理。</w:t>
      </w:r>
    </w:p>
    <w:p w14:paraId="29E7216D">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工龄工资：员工在公司累计工作满1年，工龄工资增加20元；每增加1年，工龄工资增加20元。</w:t>
      </w:r>
    </w:p>
    <w:p w14:paraId="1D3A8608">
      <w:pPr>
        <w:numPr>
          <w:ilvl w:val="0"/>
          <w:numId w:val="0"/>
        </w:numPr>
        <w:ind w:firstLine="560" w:firstLineChars="200"/>
        <w:jc w:val="both"/>
        <w:rPr>
          <w:rFonts w:hint="default"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w:t>
      </w:r>
      <w:r>
        <w:rPr>
          <w:rFonts w:hint="default" w:ascii="黑体" w:hAnsi="黑体" w:eastAsia="黑体" w:cs="黑体"/>
          <w:b w:val="0"/>
          <w:bCs w:val="0"/>
          <w:sz w:val="28"/>
          <w:szCs w:val="28"/>
          <w:lang w:val="en-US" w:eastAsia="zh-CN"/>
        </w:rPr>
        <w:t>薪酬调整</w:t>
      </w:r>
    </w:p>
    <w:p w14:paraId="23FAAFE8">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公司每年</w:t>
      </w:r>
      <w:r>
        <w:rPr>
          <w:rFonts w:hint="eastAsia" w:ascii="Times New Roman" w:hAnsi="Times New Roman" w:eastAsia="方正仿宋_GB2312" w:cs="Times New Roman"/>
          <w:b w:val="0"/>
          <w:bCs w:val="0"/>
          <w:kern w:val="2"/>
          <w:sz w:val="28"/>
          <w:szCs w:val="28"/>
          <w:lang w:val="en-US" w:eastAsia="zh-CN" w:bidi="ar-SA"/>
        </w:rPr>
        <w:t>不定时</w:t>
      </w:r>
      <w:r>
        <w:rPr>
          <w:rFonts w:hint="default" w:ascii="Times New Roman" w:hAnsi="Times New Roman" w:eastAsia="方正仿宋_GB2312" w:cs="Times New Roman"/>
          <w:b w:val="0"/>
          <w:bCs w:val="0"/>
          <w:kern w:val="2"/>
          <w:sz w:val="28"/>
          <w:szCs w:val="28"/>
          <w:lang w:val="en-US" w:eastAsia="zh-CN" w:bidi="ar-SA"/>
        </w:rPr>
        <w:t>进行薪酬</w:t>
      </w:r>
      <w:r>
        <w:rPr>
          <w:rFonts w:hint="eastAsia" w:ascii="Times New Roman" w:hAnsi="Times New Roman" w:eastAsia="方正仿宋_GB2312" w:cs="Times New Roman"/>
          <w:b w:val="0"/>
          <w:bCs w:val="0"/>
          <w:kern w:val="2"/>
          <w:sz w:val="28"/>
          <w:szCs w:val="28"/>
          <w:lang w:val="en-US" w:eastAsia="zh-CN" w:bidi="ar-SA"/>
        </w:rPr>
        <w:t>调整</w:t>
      </w:r>
      <w:r>
        <w:rPr>
          <w:rFonts w:hint="default" w:ascii="Times New Roman" w:hAnsi="Times New Roman" w:eastAsia="方正仿宋_GB2312" w:cs="Times New Roman"/>
          <w:b w:val="0"/>
          <w:bCs w:val="0"/>
          <w:kern w:val="2"/>
          <w:sz w:val="28"/>
          <w:szCs w:val="28"/>
          <w:lang w:val="en-US" w:eastAsia="zh-CN" w:bidi="ar-SA"/>
        </w:rPr>
        <w:t>，</w:t>
      </w:r>
      <w:r>
        <w:rPr>
          <w:rFonts w:hint="eastAsia" w:ascii="Times New Roman" w:hAnsi="Times New Roman" w:eastAsia="方正仿宋_GB2312" w:cs="Times New Roman"/>
          <w:b w:val="0"/>
          <w:bCs w:val="0"/>
          <w:kern w:val="2"/>
          <w:sz w:val="28"/>
          <w:szCs w:val="28"/>
          <w:lang w:val="en-US" w:eastAsia="zh-CN" w:bidi="ar-SA"/>
        </w:rPr>
        <w:t>调整幅度依据</w:t>
      </w:r>
      <w:r>
        <w:rPr>
          <w:rFonts w:hint="default" w:ascii="Times New Roman" w:hAnsi="Times New Roman" w:eastAsia="方正仿宋_GB2312" w:cs="Times New Roman"/>
          <w:b w:val="0"/>
          <w:bCs w:val="0"/>
          <w:kern w:val="2"/>
          <w:sz w:val="28"/>
          <w:szCs w:val="28"/>
          <w:lang w:val="en-US" w:eastAsia="zh-CN" w:bidi="ar-SA"/>
        </w:rPr>
        <w:t>公司业绩</w:t>
      </w:r>
      <w:r>
        <w:rPr>
          <w:rFonts w:hint="eastAsia" w:ascii="Times New Roman" w:hAnsi="Times New Roman" w:eastAsia="方正仿宋_GB2312" w:cs="Times New Roman"/>
          <w:b w:val="0"/>
          <w:bCs w:val="0"/>
          <w:kern w:val="2"/>
          <w:sz w:val="28"/>
          <w:szCs w:val="28"/>
          <w:lang w:val="en-US" w:eastAsia="zh-CN" w:bidi="ar-SA"/>
        </w:rPr>
        <w:t>、市场行情以及员工的日常工作表现、考勤情况、工作能力、贡献价值和绩效考核结果等予以确定。</w:t>
      </w:r>
      <w:r>
        <w:rPr>
          <w:rFonts w:hint="default" w:ascii="Times New Roman" w:hAnsi="Times New Roman" w:eastAsia="方正仿宋_GB2312" w:cs="Times New Roman"/>
          <w:b w:val="0"/>
          <w:bCs w:val="0"/>
          <w:kern w:val="2"/>
          <w:sz w:val="28"/>
          <w:szCs w:val="28"/>
          <w:lang w:val="en-US" w:eastAsia="zh-CN" w:bidi="ar-SA"/>
        </w:rPr>
        <w:t>员工晋升或岗位变动时，薪酬将根据新岗位标准进行调整。</w:t>
      </w:r>
    </w:p>
    <w:p w14:paraId="0B1EAA30">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四、调薪流程</w:t>
      </w:r>
    </w:p>
    <w:p w14:paraId="11F4AFDC">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1、员工本人或所在部门或项目提起调薪申请，注明薪资调整相关理由，经部门/项目负责人同意后，提交至人资部。</w:t>
      </w:r>
    </w:p>
    <w:p w14:paraId="7E2D17BB">
      <w:pPr>
        <w:numPr>
          <w:ilvl w:val="0"/>
          <w:numId w:val="0"/>
        </w:numPr>
        <w:ind w:firstLine="560" w:firstLineChars="200"/>
        <w:jc w:val="both"/>
        <w:rPr>
          <w:rFonts w:hint="eastAsia"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2、人资部根据其前期各考核周期内的绩效考核结果、考勤情况，经过调查了解其日常工作表现、贡献价值、奖惩等因素后，向集团领导班子做出薪资调整建议。</w:t>
      </w:r>
    </w:p>
    <w:p w14:paraId="67B688D8">
      <w:pPr>
        <w:numPr>
          <w:ilvl w:val="0"/>
          <w:numId w:val="0"/>
        </w:numPr>
        <w:ind w:firstLine="560" w:firstLineChars="200"/>
        <w:jc w:val="both"/>
        <w:rPr>
          <w:rFonts w:hint="eastAsia" w:asciiTheme="minorEastAsia" w:hAnsiTheme="minorEastAsia" w:cstheme="minorEastAsia"/>
          <w:b w:val="0"/>
          <w:bCs w:val="0"/>
          <w:sz w:val="28"/>
          <w:szCs w:val="28"/>
          <w:lang w:val="en-US" w:eastAsia="zh-CN"/>
        </w:rPr>
      </w:pPr>
      <w:r>
        <w:rPr>
          <w:rFonts w:hint="eastAsia" w:ascii="Times New Roman" w:hAnsi="Times New Roman" w:eastAsia="方正仿宋_GB2312" w:cs="Times New Roman"/>
          <w:b w:val="0"/>
          <w:bCs w:val="0"/>
          <w:kern w:val="2"/>
          <w:sz w:val="28"/>
          <w:szCs w:val="28"/>
          <w:lang w:val="en-US" w:eastAsia="zh-CN" w:bidi="ar-SA"/>
        </w:rPr>
        <w:t>3、经有关领导审批通过后，从次月起给予其薪资调整。</w:t>
      </w:r>
    </w:p>
    <w:p w14:paraId="17359616">
      <w:pPr>
        <w:numPr>
          <w:ilvl w:val="0"/>
          <w:numId w:val="0"/>
        </w:numPr>
        <w:ind w:firstLine="560" w:firstLineChars="200"/>
        <w:jc w:val="both"/>
        <w:rPr>
          <w:rFonts w:hint="default"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五、</w:t>
      </w:r>
      <w:r>
        <w:rPr>
          <w:rFonts w:hint="default" w:ascii="黑体" w:hAnsi="黑体" w:eastAsia="黑体" w:cs="黑体"/>
          <w:b w:val="0"/>
          <w:bCs w:val="0"/>
          <w:sz w:val="28"/>
          <w:szCs w:val="28"/>
          <w:lang w:val="en-US" w:eastAsia="zh-CN"/>
        </w:rPr>
        <w:t>薪酬支付</w:t>
      </w:r>
    </w:p>
    <w:p w14:paraId="4404D99D">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工资每月</w:t>
      </w:r>
      <w:r>
        <w:rPr>
          <w:rFonts w:hint="eastAsia" w:ascii="Times New Roman" w:hAnsi="Times New Roman" w:eastAsia="方正仿宋_GB2312" w:cs="Times New Roman"/>
          <w:b w:val="0"/>
          <w:bCs w:val="0"/>
          <w:kern w:val="2"/>
          <w:sz w:val="28"/>
          <w:szCs w:val="28"/>
          <w:lang w:val="en-US" w:eastAsia="zh-CN" w:bidi="ar-SA"/>
        </w:rPr>
        <w:t>15</w:t>
      </w:r>
      <w:r>
        <w:rPr>
          <w:rFonts w:hint="default" w:ascii="Times New Roman" w:hAnsi="Times New Roman" w:eastAsia="方正仿宋_GB2312" w:cs="Times New Roman"/>
          <w:b w:val="0"/>
          <w:bCs w:val="0"/>
          <w:kern w:val="2"/>
          <w:sz w:val="28"/>
          <w:szCs w:val="28"/>
          <w:lang w:val="en-US" w:eastAsia="zh-CN" w:bidi="ar-SA"/>
        </w:rPr>
        <w:t>日通过银行转账方式支付。如遇节假日或特殊情况，支付日期将提前或顺延。</w:t>
      </w:r>
    </w:p>
    <w:p w14:paraId="50295CBD">
      <w:pPr>
        <w:numPr>
          <w:ilvl w:val="0"/>
          <w:numId w:val="0"/>
        </w:numPr>
        <w:ind w:firstLine="560" w:firstLineChars="200"/>
        <w:jc w:val="both"/>
        <w:rPr>
          <w:rFonts w:hint="default"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六、</w:t>
      </w:r>
      <w:r>
        <w:rPr>
          <w:rFonts w:hint="default" w:ascii="黑体" w:hAnsi="黑体" w:eastAsia="黑体" w:cs="黑体"/>
          <w:b w:val="0"/>
          <w:bCs w:val="0"/>
          <w:sz w:val="28"/>
          <w:szCs w:val="28"/>
          <w:lang w:val="en-US" w:eastAsia="zh-CN"/>
        </w:rPr>
        <w:t>薪酬保密与沟通</w:t>
      </w:r>
    </w:p>
    <w:p w14:paraId="2DB6DE51">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员工应严格遵守薪酬保密制度，不得泄露个人或他人薪酬信息。如有薪酬问题相关，可通过直接上级或人资部门进行沟通。</w:t>
      </w:r>
    </w:p>
    <w:p w14:paraId="7384975F">
      <w:pPr>
        <w:numPr>
          <w:ilvl w:val="0"/>
          <w:numId w:val="0"/>
        </w:numPr>
        <w:ind w:firstLine="560" w:firstLineChars="200"/>
        <w:jc w:val="both"/>
        <w:rPr>
          <w:rFonts w:hint="default" w:asciiTheme="minorEastAsia" w:hAnsiTheme="minorEastAsia" w:cstheme="minorEastAsia"/>
          <w:b w:val="0"/>
          <w:bCs w:val="0"/>
          <w:sz w:val="28"/>
          <w:szCs w:val="28"/>
          <w:lang w:val="en-US" w:eastAsia="zh-CN"/>
        </w:rPr>
      </w:pPr>
    </w:p>
    <w:p w14:paraId="32F7E35F">
      <w:pPr>
        <w:numPr>
          <w:ilvl w:val="0"/>
          <w:numId w:val="0"/>
        </w:numPr>
        <w:ind w:firstLine="560" w:firstLineChars="200"/>
        <w:jc w:val="both"/>
        <w:rPr>
          <w:rFonts w:hint="default" w:asciiTheme="minorEastAsia" w:hAnsiTheme="minorEastAsia" w:cstheme="minorEastAsia"/>
          <w:b w:val="0"/>
          <w:bCs w:val="0"/>
          <w:sz w:val="28"/>
          <w:szCs w:val="28"/>
          <w:lang w:val="en-US" w:eastAsia="zh-CN"/>
        </w:rPr>
      </w:pPr>
    </w:p>
    <w:p w14:paraId="714F814D">
      <w:pPr>
        <w:numPr>
          <w:ilvl w:val="0"/>
          <w:numId w:val="0"/>
        </w:numPr>
        <w:ind w:firstLine="560" w:firstLineChars="200"/>
        <w:jc w:val="both"/>
        <w:rPr>
          <w:rFonts w:hint="default" w:asciiTheme="minorEastAsia" w:hAnsiTheme="minorEastAsia" w:cstheme="minorEastAsia"/>
          <w:b w:val="0"/>
          <w:bCs w:val="0"/>
          <w:sz w:val="28"/>
          <w:szCs w:val="28"/>
          <w:lang w:val="en-US" w:eastAsia="zh-CN"/>
        </w:rPr>
      </w:pPr>
    </w:p>
    <w:p w14:paraId="34E0A826">
      <w:pPr>
        <w:numPr>
          <w:ilvl w:val="0"/>
          <w:numId w:val="0"/>
        </w:numPr>
        <w:ind w:firstLine="560" w:firstLineChars="200"/>
        <w:jc w:val="both"/>
        <w:rPr>
          <w:rFonts w:hint="default" w:asciiTheme="minorEastAsia" w:hAnsiTheme="minorEastAsia" w:cstheme="minorEastAsia"/>
          <w:b w:val="0"/>
          <w:bCs w:val="0"/>
          <w:sz w:val="28"/>
          <w:szCs w:val="28"/>
          <w:lang w:val="en-US" w:eastAsia="zh-CN"/>
        </w:rPr>
      </w:pPr>
    </w:p>
    <w:p w14:paraId="54AB3EA7">
      <w:pPr>
        <w:numPr>
          <w:ilvl w:val="0"/>
          <w:numId w:val="0"/>
        </w:numPr>
        <w:ind w:firstLine="560" w:firstLineChars="200"/>
        <w:jc w:val="both"/>
        <w:rPr>
          <w:rFonts w:hint="default" w:asciiTheme="minorEastAsia" w:hAnsiTheme="minorEastAsia" w:cstheme="minorEastAsia"/>
          <w:b w:val="0"/>
          <w:bCs w:val="0"/>
          <w:sz w:val="28"/>
          <w:szCs w:val="28"/>
          <w:lang w:val="en-US" w:eastAsia="zh-CN"/>
        </w:rPr>
      </w:pPr>
    </w:p>
    <w:p w14:paraId="674D22C4">
      <w:pPr>
        <w:numPr>
          <w:ilvl w:val="0"/>
          <w:numId w:val="0"/>
        </w:numPr>
        <w:ind w:firstLine="560" w:firstLineChars="200"/>
        <w:jc w:val="both"/>
        <w:rPr>
          <w:rFonts w:hint="default" w:asciiTheme="minorEastAsia" w:hAnsiTheme="minorEastAsia" w:cstheme="minorEastAsia"/>
          <w:b w:val="0"/>
          <w:bCs w:val="0"/>
          <w:sz w:val="28"/>
          <w:szCs w:val="28"/>
          <w:lang w:val="en-US" w:eastAsia="zh-CN"/>
        </w:rPr>
      </w:pPr>
    </w:p>
    <w:p w14:paraId="7A667B0A">
      <w:pPr>
        <w:numPr>
          <w:ilvl w:val="0"/>
          <w:numId w:val="0"/>
        </w:numPr>
        <w:ind w:firstLine="560" w:firstLineChars="200"/>
        <w:jc w:val="both"/>
        <w:rPr>
          <w:rFonts w:hint="default" w:asciiTheme="minorEastAsia" w:hAnsiTheme="minorEastAsia" w:cstheme="minorEastAsia"/>
          <w:b w:val="0"/>
          <w:bCs w:val="0"/>
          <w:sz w:val="28"/>
          <w:szCs w:val="28"/>
          <w:lang w:val="en-US" w:eastAsia="zh-CN"/>
        </w:rPr>
      </w:pPr>
    </w:p>
    <w:p w14:paraId="4F095500">
      <w:pPr>
        <w:numPr>
          <w:ilvl w:val="0"/>
          <w:numId w:val="0"/>
        </w:numPr>
        <w:ind w:firstLine="560" w:firstLineChars="200"/>
        <w:jc w:val="both"/>
        <w:rPr>
          <w:rFonts w:hint="default" w:asciiTheme="minorEastAsia" w:hAnsiTheme="minorEastAsia" w:cstheme="minorEastAsia"/>
          <w:b w:val="0"/>
          <w:bCs w:val="0"/>
          <w:sz w:val="28"/>
          <w:szCs w:val="28"/>
          <w:lang w:val="en-US" w:eastAsia="zh-CN"/>
        </w:rPr>
      </w:pPr>
    </w:p>
    <w:p w14:paraId="04EA9E02">
      <w:pPr>
        <w:numPr>
          <w:ilvl w:val="0"/>
          <w:numId w:val="0"/>
        </w:numPr>
        <w:ind w:firstLine="560" w:firstLineChars="200"/>
        <w:jc w:val="both"/>
        <w:rPr>
          <w:rFonts w:hint="default" w:asciiTheme="minorEastAsia" w:hAnsiTheme="minorEastAsia" w:cstheme="minorEastAsia"/>
          <w:b w:val="0"/>
          <w:bCs w:val="0"/>
          <w:sz w:val="28"/>
          <w:szCs w:val="28"/>
          <w:lang w:val="en-US" w:eastAsia="zh-CN"/>
        </w:rPr>
      </w:pPr>
    </w:p>
    <w:p w14:paraId="4DEA4853">
      <w:pPr>
        <w:numPr>
          <w:ilvl w:val="0"/>
          <w:numId w:val="0"/>
        </w:numPr>
        <w:ind w:firstLine="560" w:firstLineChars="200"/>
        <w:jc w:val="both"/>
        <w:rPr>
          <w:rFonts w:hint="default" w:asciiTheme="minorEastAsia" w:hAnsiTheme="minorEastAsia" w:cstheme="minorEastAsia"/>
          <w:b w:val="0"/>
          <w:bCs w:val="0"/>
          <w:sz w:val="28"/>
          <w:szCs w:val="28"/>
          <w:lang w:val="en-US" w:eastAsia="zh-CN"/>
        </w:rPr>
      </w:pPr>
    </w:p>
    <w:p w14:paraId="071A8E43">
      <w:pPr>
        <w:numPr>
          <w:ilvl w:val="0"/>
          <w:numId w:val="0"/>
        </w:numPr>
        <w:jc w:val="both"/>
        <w:rPr>
          <w:rFonts w:hint="eastAsia" w:asciiTheme="minorEastAsia" w:hAnsiTheme="minorEastAsia" w:cstheme="minorEastAsia"/>
          <w:b/>
          <w:bCs/>
          <w:sz w:val="40"/>
          <w:szCs w:val="40"/>
          <w:lang w:val="en-US" w:eastAsia="zh-CN"/>
        </w:rPr>
      </w:pPr>
    </w:p>
    <w:p w14:paraId="68F094B5">
      <w:pPr>
        <w:numPr>
          <w:ilvl w:val="0"/>
          <w:numId w:val="0"/>
        </w:numPr>
        <w:jc w:val="both"/>
        <w:rPr>
          <w:rFonts w:hint="eastAsia" w:asciiTheme="minorEastAsia" w:hAnsiTheme="minorEastAsia" w:cstheme="minorEastAsia"/>
          <w:b/>
          <w:bCs/>
          <w:sz w:val="40"/>
          <w:szCs w:val="40"/>
          <w:lang w:val="en-US" w:eastAsia="zh-CN"/>
        </w:rPr>
      </w:pPr>
    </w:p>
    <w:p w14:paraId="6EC3E2EA">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36" w:name="_Toc19581"/>
    </w:p>
    <w:p w14:paraId="6832AD5F">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37" w:name="_Toc22863"/>
      <w:r>
        <w:rPr>
          <w:rFonts w:hint="eastAsia" w:ascii="方正小标宋简体" w:hAnsi="方正小标宋简体" w:eastAsia="方正小标宋简体" w:cs="方正小标宋简体"/>
          <w:b w:val="0"/>
          <w:bCs w:val="0"/>
          <w:sz w:val="40"/>
          <w:szCs w:val="40"/>
          <w:lang w:val="en-US" w:eastAsia="zh-CN"/>
        </w:rPr>
        <w:t>第十一章  财务管理</w:t>
      </w:r>
      <w:bookmarkEnd w:id="36"/>
      <w:bookmarkEnd w:id="37"/>
    </w:p>
    <w:p w14:paraId="214E81F2">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一、备用金借款</w:t>
      </w:r>
    </w:p>
    <w:p w14:paraId="74B28931">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w:t>
      </w:r>
      <w:r>
        <w:rPr>
          <w:rFonts w:hint="default" w:ascii="Times New Roman" w:hAnsi="Times New Roman" w:eastAsia="方正仿宋_GB2312" w:cs="Times New Roman"/>
          <w:b w:val="0"/>
          <w:bCs w:val="0"/>
          <w:kern w:val="2"/>
          <w:sz w:val="28"/>
          <w:szCs w:val="28"/>
          <w:lang w:val="en-US" w:eastAsia="zh-CN" w:bidi="ar-SA"/>
        </w:rPr>
        <w:t>申请流程</w:t>
      </w:r>
    </w:p>
    <w:p w14:paraId="33178E80">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员工需填写《备用金申请表》，注明申请金额、预计使用时间、用途明细等信息。</w:t>
      </w:r>
    </w:p>
    <w:p w14:paraId="152D94F3">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申请表依次经直属上级、部门负责人及财务部门审核，最终由公司领导审批。审批通过后，财务部门</w:t>
      </w:r>
      <w:r>
        <w:rPr>
          <w:rFonts w:hint="eastAsia" w:ascii="Times New Roman" w:hAnsi="Times New Roman" w:eastAsia="方正仿宋_GB2312" w:cs="Times New Roman"/>
          <w:b w:val="0"/>
          <w:bCs w:val="0"/>
          <w:kern w:val="2"/>
          <w:sz w:val="28"/>
          <w:szCs w:val="28"/>
          <w:lang w:val="en-US" w:eastAsia="zh-CN" w:bidi="ar-SA"/>
        </w:rPr>
        <w:t>将在规定</w:t>
      </w:r>
      <w:r>
        <w:rPr>
          <w:rFonts w:hint="default" w:ascii="Times New Roman" w:hAnsi="Times New Roman" w:eastAsia="方正仿宋_GB2312" w:cs="Times New Roman"/>
          <w:b w:val="0"/>
          <w:bCs w:val="0"/>
          <w:kern w:val="2"/>
          <w:sz w:val="28"/>
          <w:szCs w:val="28"/>
          <w:lang w:val="en-US" w:eastAsia="zh-CN" w:bidi="ar-SA"/>
        </w:rPr>
        <w:t>工作日内发放备用金。</w:t>
      </w:r>
    </w:p>
    <w:p w14:paraId="539E5075">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w:t>
      </w:r>
      <w:r>
        <w:rPr>
          <w:rFonts w:hint="default" w:ascii="Times New Roman" w:hAnsi="Times New Roman" w:eastAsia="方正仿宋_GB2312" w:cs="Times New Roman"/>
          <w:b w:val="0"/>
          <w:bCs w:val="0"/>
          <w:kern w:val="2"/>
          <w:sz w:val="28"/>
          <w:szCs w:val="28"/>
          <w:lang w:val="en-US" w:eastAsia="zh-CN" w:bidi="ar-SA"/>
        </w:rPr>
        <w:t>使用规范</w:t>
      </w:r>
    </w:p>
    <w:p w14:paraId="6F2D81AF">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员工应严格按照申请用途使用备用金，不得挪作私用。使用过程中需保留所有相关票据，作为报销凭证。</w:t>
      </w:r>
    </w:p>
    <w:p w14:paraId="3D31225D">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备用金使用应遵循勤俭节约原则，避免不必要的开支。</w:t>
      </w:r>
    </w:p>
    <w:p w14:paraId="0EE0CE18">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3、冲抵</w:t>
      </w:r>
      <w:r>
        <w:rPr>
          <w:rFonts w:hint="default" w:ascii="Times New Roman" w:hAnsi="Times New Roman" w:eastAsia="方正仿宋_GB2312" w:cs="Times New Roman"/>
          <w:b w:val="0"/>
          <w:bCs w:val="0"/>
          <w:kern w:val="2"/>
          <w:sz w:val="28"/>
          <w:szCs w:val="28"/>
          <w:lang w:val="en-US" w:eastAsia="zh-CN" w:bidi="ar-SA"/>
        </w:rPr>
        <w:t>流程</w:t>
      </w:r>
    </w:p>
    <w:p w14:paraId="3F420CD2">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备用金使用完毕后，员工应</w:t>
      </w:r>
      <w:r>
        <w:rPr>
          <w:rFonts w:hint="eastAsia" w:ascii="Times New Roman" w:hAnsi="Times New Roman" w:eastAsia="方正仿宋_GB2312" w:cs="Times New Roman"/>
          <w:b w:val="0"/>
          <w:bCs w:val="0"/>
          <w:kern w:val="2"/>
          <w:sz w:val="28"/>
          <w:szCs w:val="28"/>
          <w:lang w:val="en-US" w:eastAsia="zh-CN" w:bidi="ar-SA"/>
        </w:rPr>
        <w:t>尽快</w:t>
      </w:r>
      <w:r>
        <w:rPr>
          <w:rFonts w:hint="default" w:ascii="Times New Roman" w:hAnsi="Times New Roman" w:eastAsia="方正仿宋_GB2312" w:cs="Times New Roman"/>
          <w:b w:val="0"/>
          <w:bCs w:val="0"/>
          <w:kern w:val="2"/>
          <w:sz w:val="28"/>
          <w:szCs w:val="28"/>
          <w:lang w:val="en-US" w:eastAsia="zh-CN" w:bidi="ar-SA"/>
        </w:rPr>
        <w:t>填写《费用报销单》，附上有效票据，按公司费用报销流程进行报销。</w:t>
      </w:r>
    </w:p>
    <w:p w14:paraId="68C8A845">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若实际支出低于备用金申请金额，多余款项应及时退还财务部门；若实际支出超出申请金额，需详细说明原因，并按公司规定补充审批。</w:t>
      </w:r>
    </w:p>
    <w:p w14:paraId="47348D60">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二、费用报销</w:t>
      </w:r>
    </w:p>
    <w:p w14:paraId="7A5A679C">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1、报销</w:t>
      </w:r>
      <w:r>
        <w:rPr>
          <w:rFonts w:hint="default" w:ascii="Times New Roman" w:hAnsi="Times New Roman" w:eastAsia="方正仿宋_GB2312" w:cs="Times New Roman"/>
          <w:b w:val="0"/>
          <w:bCs w:val="0"/>
          <w:kern w:val="2"/>
          <w:sz w:val="28"/>
          <w:szCs w:val="28"/>
          <w:lang w:val="en-US" w:eastAsia="zh-CN" w:bidi="ar-SA"/>
        </w:rPr>
        <w:t>流程</w:t>
      </w:r>
    </w:p>
    <w:p w14:paraId="4A92A8E6">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部门</w:t>
      </w:r>
      <w:r>
        <w:rPr>
          <w:rFonts w:hint="eastAsia" w:ascii="Times New Roman" w:hAnsi="Times New Roman" w:eastAsia="方正仿宋_GB2312" w:cs="Times New Roman"/>
          <w:b w:val="0"/>
          <w:bCs w:val="0"/>
          <w:kern w:val="2"/>
          <w:sz w:val="28"/>
          <w:szCs w:val="28"/>
          <w:lang w:val="en-US" w:eastAsia="zh-CN" w:bidi="ar-SA"/>
        </w:rPr>
        <w:t>经理</w:t>
      </w:r>
      <w:r>
        <w:rPr>
          <w:rFonts w:hint="default" w:ascii="Times New Roman" w:hAnsi="Times New Roman" w:eastAsia="方正仿宋_GB2312" w:cs="Times New Roman"/>
          <w:b w:val="0"/>
          <w:bCs w:val="0"/>
          <w:kern w:val="2"/>
          <w:sz w:val="28"/>
          <w:szCs w:val="28"/>
          <w:lang w:val="en-US" w:eastAsia="zh-CN" w:bidi="ar-SA"/>
        </w:rPr>
        <w:t>审核</w:t>
      </w:r>
      <w:r>
        <w:rPr>
          <w:rFonts w:hint="eastAsia" w:ascii="Times New Roman" w:hAnsi="Times New Roman" w:eastAsia="方正仿宋_GB2312" w:cs="Times New Roman"/>
          <w:b w:val="0"/>
          <w:bCs w:val="0"/>
          <w:kern w:val="2"/>
          <w:sz w:val="28"/>
          <w:szCs w:val="28"/>
          <w:lang w:val="en-US" w:eastAsia="zh-CN" w:bidi="ar-SA"/>
        </w:rPr>
        <w:t>：</w:t>
      </w:r>
      <w:r>
        <w:rPr>
          <w:rFonts w:hint="default" w:ascii="Times New Roman" w:hAnsi="Times New Roman" w:eastAsia="方正仿宋_GB2312" w:cs="Times New Roman"/>
          <w:b w:val="0"/>
          <w:bCs w:val="0"/>
          <w:kern w:val="2"/>
          <w:sz w:val="28"/>
          <w:szCs w:val="28"/>
          <w:lang w:val="en-US" w:eastAsia="zh-CN" w:bidi="ar-SA"/>
        </w:rPr>
        <w:t>部门负责人对费用的真实性、合理性进行审核并签字。</w:t>
      </w:r>
    </w:p>
    <w:p w14:paraId="163A4F44">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项目负责人</w:t>
      </w:r>
      <w:r>
        <w:rPr>
          <w:rFonts w:hint="default" w:ascii="Times New Roman" w:hAnsi="Times New Roman" w:eastAsia="方正仿宋_GB2312" w:cs="Times New Roman"/>
          <w:b w:val="0"/>
          <w:bCs w:val="0"/>
          <w:kern w:val="2"/>
          <w:sz w:val="28"/>
          <w:szCs w:val="28"/>
          <w:lang w:val="en-US" w:eastAsia="zh-CN" w:bidi="ar-SA"/>
        </w:rPr>
        <w:t>审核：</w:t>
      </w:r>
      <w:r>
        <w:rPr>
          <w:rFonts w:hint="eastAsia" w:ascii="Times New Roman" w:hAnsi="Times New Roman" w:eastAsia="方正仿宋_GB2312" w:cs="Times New Roman"/>
          <w:b w:val="0"/>
          <w:bCs w:val="0"/>
          <w:kern w:val="2"/>
          <w:sz w:val="28"/>
          <w:szCs w:val="28"/>
          <w:lang w:val="en-US" w:eastAsia="zh-CN" w:bidi="ar-SA"/>
        </w:rPr>
        <w:t>项目</w:t>
      </w:r>
      <w:r>
        <w:rPr>
          <w:rFonts w:hint="default" w:ascii="Times New Roman" w:hAnsi="Times New Roman" w:eastAsia="方正仿宋_GB2312" w:cs="Times New Roman"/>
          <w:b w:val="0"/>
          <w:bCs w:val="0"/>
          <w:kern w:val="2"/>
          <w:sz w:val="28"/>
          <w:szCs w:val="28"/>
          <w:lang w:val="en-US" w:eastAsia="zh-CN" w:bidi="ar-SA"/>
        </w:rPr>
        <w:t>负责人对费用的真实性、合理性进行审核并签字。</w:t>
      </w:r>
    </w:p>
    <w:p w14:paraId="1C0F9DED">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财务部门审核：财务部门对报销凭证的合法性、完整性进行复核。</w:t>
      </w:r>
    </w:p>
    <w:p w14:paraId="33D24AD5">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default" w:ascii="Times New Roman" w:hAnsi="Times New Roman" w:eastAsia="方正仿宋_GB2312" w:cs="Times New Roman"/>
          <w:b w:val="0"/>
          <w:bCs w:val="0"/>
          <w:kern w:val="2"/>
          <w:sz w:val="28"/>
          <w:szCs w:val="28"/>
          <w:lang w:val="en-US" w:eastAsia="zh-CN" w:bidi="ar-SA"/>
        </w:rPr>
        <w:t>公司领导审批：根据费用金额或性质，需经公司领导最终批准。</w:t>
      </w:r>
    </w:p>
    <w:p w14:paraId="0DC569FF">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2、报销标准</w:t>
      </w:r>
    </w:p>
    <w:p w14:paraId="67FAE809">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w:t>
      </w:r>
      <w:r>
        <w:rPr>
          <w:rFonts w:hint="default" w:ascii="Times New Roman" w:hAnsi="Times New Roman" w:eastAsia="方正仿宋_GB2312" w:cs="Times New Roman"/>
          <w:b w:val="0"/>
          <w:bCs w:val="0"/>
          <w:kern w:val="2"/>
          <w:sz w:val="28"/>
          <w:szCs w:val="28"/>
          <w:lang w:val="en-US" w:eastAsia="zh-CN" w:bidi="ar-SA"/>
        </w:rPr>
        <w:t>差旅费：办理事项，差旅人数，交通工具，起止地点、时间等。</w:t>
      </w:r>
    </w:p>
    <w:p w14:paraId="67C99E3B">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w:t>
      </w:r>
      <w:r>
        <w:rPr>
          <w:rFonts w:hint="default" w:ascii="Times New Roman" w:hAnsi="Times New Roman" w:eastAsia="方正仿宋_GB2312" w:cs="Times New Roman"/>
          <w:b w:val="0"/>
          <w:bCs w:val="0"/>
          <w:kern w:val="2"/>
          <w:sz w:val="28"/>
          <w:szCs w:val="28"/>
          <w:lang w:val="en-US" w:eastAsia="zh-CN" w:bidi="ar-SA"/>
        </w:rPr>
        <w:t>交通费：办理事项，起始地点，起始时间。</w:t>
      </w:r>
    </w:p>
    <w:p w14:paraId="36960DF9">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w:t>
      </w:r>
      <w:r>
        <w:rPr>
          <w:rFonts w:hint="default" w:ascii="Times New Roman" w:hAnsi="Times New Roman" w:eastAsia="方正仿宋_GB2312" w:cs="Times New Roman"/>
          <w:b w:val="0"/>
          <w:bCs w:val="0"/>
          <w:kern w:val="2"/>
          <w:sz w:val="28"/>
          <w:szCs w:val="28"/>
          <w:lang w:val="en-US" w:eastAsia="zh-CN" w:bidi="ar-SA"/>
        </w:rPr>
        <w:t>业务招待费：办理事项，招待人员、人数，地点等；购买烟酒作为招待的，应附领用登记表并经保管人及项目负责人签字。</w:t>
      </w:r>
    </w:p>
    <w:p w14:paraId="0667160C">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（4）</w:t>
      </w:r>
      <w:r>
        <w:rPr>
          <w:rFonts w:hint="default" w:ascii="Times New Roman" w:hAnsi="Times New Roman" w:eastAsia="方正仿宋_GB2312" w:cs="Times New Roman"/>
          <w:b w:val="0"/>
          <w:bCs w:val="0"/>
          <w:kern w:val="2"/>
          <w:sz w:val="28"/>
          <w:szCs w:val="28"/>
          <w:lang w:val="en-US" w:eastAsia="zh-CN" w:bidi="ar-SA"/>
        </w:rPr>
        <w:t>办公费：如办公用品列明清单明细单价、数量，办公用品应做好日常领用登记、留档。</w:t>
      </w:r>
    </w:p>
    <w:p w14:paraId="490B9647">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（5）</w:t>
      </w:r>
      <w:r>
        <w:rPr>
          <w:rFonts w:hint="default" w:ascii="Times New Roman" w:hAnsi="Times New Roman" w:eastAsia="方正仿宋_GB2312" w:cs="Times New Roman"/>
          <w:b w:val="0"/>
          <w:bCs w:val="0"/>
          <w:kern w:val="2"/>
          <w:sz w:val="28"/>
          <w:szCs w:val="28"/>
          <w:lang w:val="en-US" w:eastAsia="zh-CN" w:bidi="ar-SA"/>
        </w:rPr>
        <w:t>车辆相关费用：各项目公司汇总月度出车报表及维保登记表，将车辆使用记录、维修、加油、洗车、年审和保养等情况经集团综合部审核签字后作为各项目费用报销的附件依据。参照《车辆管理制度》。</w:t>
      </w:r>
    </w:p>
    <w:p w14:paraId="69687DD6">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w:t>
      </w:r>
      <w:r>
        <w:rPr>
          <w:rFonts w:hint="default" w:ascii="Times New Roman" w:hAnsi="Times New Roman" w:eastAsia="方正仿宋_GB2312" w:cs="Times New Roman"/>
          <w:b w:val="0"/>
          <w:bCs w:val="0"/>
          <w:kern w:val="2"/>
          <w:sz w:val="28"/>
          <w:szCs w:val="28"/>
          <w:lang w:val="en-US" w:eastAsia="zh-CN" w:bidi="ar-SA"/>
        </w:rPr>
        <w:t>其他相关事项</w:t>
      </w:r>
    </w:p>
    <w:p w14:paraId="36A50A6B">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（1）</w:t>
      </w:r>
      <w:r>
        <w:rPr>
          <w:rFonts w:hint="default" w:ascii="Times New Roman" w:hAnsi="Times New Roman" w:eastAsia="方正仿宋_GB2312" w:cs="Times New Roman"/>
          <w:b w:val="0"/>
          <w:bCs w:val="0"/>
          <w:kern w:val="2"/>
          <w:sz w:val="28"/>
          <w:szCs w:val="28"/>
          <w:lang w:val="en-US" w:eastAsia="zh-CN" w:bidi="ar-SA"/>
        </w:rPr>
        <w:t>办公家具、电脑、设备等固定资产采购需先按询价情况进行采购申请，经批准后采购。</w:t>
      </w:r>
    </w:p>
    <w:p w14:paraId="18DA6916">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（2）</w:t>
      </w:r>
      <w:r>
        <w:rPr>
          <w:rFonts w:hint="default" w:ascii="Times New Roman" w:hAnsi="Times New Roman" w:eastAsia="方正仿宋_GB2312" w:cs="Times New Roman"/>
          <w:b w:val="0"/>
          <w:bCs w:val="0"/>
          <w:kern w:val="2"/>
          <w:sz w:val="28"/>
          <w:szCs w:val="28"/>
          <w:lang w:val="en-US" w:eastAsia="zh-CN" w:bidi="ar-SA"/>
        </w:rPr>
        <w:t>费用支出报销时，需提供消费小票、支付凭据与发票一并进行费用报销</w:t>
      </w:r>
      <w:r>
        <w:rPr>
          <w:rFonts w:hint="eastAsia" w:ascii="Times New Roman" w:hAnsi="Times New Roman" w:eastAsia="方正仿宋_GB2312" w:cs="Times New Roman"/>
          <w:b w:val="0"/>
          <w:bCs w:val="0"/>
          <w:kern w:val="2"/>
          <w:sz w:val="28"/>
          <w:szCs w:val="28"/>
          <w:lang w:val="en-US" w:eastAsia="zh-CN" w:bidi="ar-SA"/>
        </w:rPr>
        <w:t>，</w:t>
      </w:r>
      <w:r>
        <w:rPr>
          <w:rFonts w:hint="default" w:ascii="Times New Roman" w:hAnsi="Times New Roman" w:eastAsia="方正仿宋_GB2312" w:cs="Times New Roman"/>
          <w:b w:val="0"/>
          <w:bCs w:val="0"/>
          <w:kern w:val="2"/>
          <w:sz w:val="28"/>
          <w:szCs w:val="28"/>
          <w:lang w:val="en-US" w:eastAsia="zh-CN" w:bidi="ar-SA"/>
        </w:rPr>
        <w:t>并按要求粘贴、填写费用报销说明（对特殊情况要</w:t>
      </w:r>
      <w:r>
        <w:rPr>
          <w:rFonts w:hint="eastAsia" w:ascii="Times New Roman" w:hAnsi="Times New Roman" w:eastAsia="方正仿宋_GB2312" w:cs="Times New Roman"/>
          <w:b w:val="0"/>
          <w:bCs w:val="0"/>
          <w:kern w:val="2"/>
          <w:sz w:val="28"/>
          <w:szCs w:val="28"/>
          <w:lang w:val="en-US" w:eastAsia="zh-CN" w:bidi="ar-SA"/>
        </w:rPr>
        <w:t>做出</w:t>
      </w:r>
      <w:r>
        <w:rPr>
          <w:rFonts w:hint="default" w:ascii="Times New Roman" w:hAnsi="Times New Roman" w:eastAsia="方正仿宋_GB2312" w:cs="Times New Roman"/>
          <w:b w:val="0"/>
          <w:bCs w:val="0"/>
          <w:kern w:val="2"/>
          <w:sz w:val="28"/>
          <w:szCs w:val="28"/>
          <w:lang w:val="en-US" w:eastAsia="zh-CN" w:bidi="ar-SA"/>
        </w:rPr>
        <w:t>说明</w:t>
      </w:r>
      <w:r>
        <w:rPr>
          <w:rFonts w:hint="eastAsia" w:ascii="Times New Roman" w:hAnsi="Times New Roman" w:eastAsia="方正仿宋_GB2312" w:cs="Times New Roman"/>
          <w:b w:val="0"/>
          <w:bCs w:val="0"/>
          <w:kern w:val="2"/>
          <w:sz w:val="28"/>
          <w:szCs w:val="28"/>
          <w:lang w:val="en-US" w:eastAsia="zh-CN" w:bidi="ar-SA"/>
        </w:rPr>
        <w:t>）</w:t>
      </w:r>
      <w:r>
        <w:rPr>
          <w:rFonts w:hint="default" w:ascii="Times New Roman" w:hAnsi="Times New Roman" w:eastAsia="方正仿宋_GB2312" w:cs="Times New Roman"/>
          <w:b w:val="0"/>
          <w:bCs w:val="0"/>
          <w:kern w:val="2"/>
          <w:sz w:val="28"/>
          <w:szCs w:val="28"/>
          <w:lang w:val="en-US" w:eastAsia="zh-CN" w:bidi="ar-SA"/>
        </w:rPr>
        <w:t>。</w:t>
      </w:r>
    </w:p>
    <w:p w14:paraId="615BE71F">
      <w:pPr>
        <w:numPr>
          <w:ilvl w:val="0"/>
          <w:numId w:val="0"/>
        </w:numPr>
        <w:ind w:firstLine="560" w:firstLineChars="200"/>
        <w:jc w:val="both"/>
        <w:rPr>
          <w:rFonts w:hint="default" w:ascii="Times New Roman" w:hAnsi="Times New Roman" w:eastAsia="方正仿宋_GB2312" w:cs="Times New Roman"/>
          <w:b w:val="0"/>
          <w:bCs w:val="0"/>
          <w:kern w:val="2"/>
          <w:sz w:val="28"/>
          <w:szCs w:val="28"/>
          <w:lang w:val="en-US" w:eastAsia="zh-CN" w:bidi="ar-SA"/>
        </w:rPr>
      </w:pPr>
      <w:r>
        <w:rPr>
          <w:rFonts w:hint="eastAsia" w:ascii="Times New Roman" w:hAnsi="Times New Roman" w:eastAsia="方正仿宋_GB2312" w:cs="Times New Roman"/>
          <w:b w:val="0"/>
          <w:bCs w:val="0"/>
          <w:kern w:val="2"/>
          <w:sz w:val="28"/>
          <w:szCs w:val="28"/>
          <w:lang w:val="en-US" w:eastAsia="zh-CN" w:bidi="ar-SA"/>
        </w:rPr>
        <w:t>（3）</w:t>
      </w:r>
      <w:r>
        <w:rPr>
          <w:rFonts w:hint="default" w:ascii="Times New Roman" w:hAnsi="Times New Roman" w:eastAsia="方正仿宋_GB2312" w:cs="Times New Roman"/>
          <w:b w:val="0"/>
          <w:bCs w:val="0"/>
          <w:kern w:val="2"/>
          <w:sz w:val="28"/>
          <w:szCs w:val="28"/>
          <w:lang w:val="en-US" w:eastAsia="zh-CN" w:bidi="ar-SA"/>
        </w:rPr>
        <w:t>钉钉流程上传附件拍照内容要原图清晰可辨。</w:t>
      </w:r>
    </w:p>
    <w:p w14:paraId="18CA3C46">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38" w:name="_Toc7212"/>
    </w:p>
    <w:p w14:paraId="09B14486">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39" w:name="_Toc26561"/>
      <w:r>
        <w:rPr>
          <w:rFonts w:hint="eastAsia" w:ascii="方正小标宋简体" w:hAnsi="方正小标宋简体" w:eastAsia="方正小标宋简体" w:cs="方正小标宋简体"/>
          <w:b w:val="0"/>
          <w:bCs w:val="0"/>
          <w:sz w:val="40"/>
          <w:szCs w:val="40"/>
          <w:lang w:val="en-US" w:eastAsia="zh-CN"/>
        </w:rPr>
        <w:t>第十二章 违规违纪管理</w:t>
      </w:r>
      <w:bookmarkEnd w:id="38"/>
      <w:bookmarkEnd w:id="39"/>
    </w:p>
    <w:p w14:paraId="447C7CF3">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一、基本原则</w:t>
      </w:r>
    </w:p>
    <w:p w14:paraId="62F6C4CF">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1、公正公平原则：对违规违纪行为的处理，以事实为依据，以制度为准绳，程序公正，处罚相当。</w:t>
      </w:r>
    </w:p>
    <w:p w14:paraId="1AB353C4">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2、惩戒结合原则：坚持教育为先，惩戒为辅，促使员工改正错误。</w:t>
      </w:r>
    </w:p>
    <w:p w14:paraId="2114C888">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二、违规行为分类</w:t>
      </w:r>
    </w:p>
    <w:p w14:paraId="1F5F5F24">
      <w:pPr>
        <w:numPr>
          <w:ilvl w:val="0"/>
          <w:numId w:val="0"/>
        </w:numPr>
        <w:ind w:firstLine="560" w:firstLineChars="20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（一）一般违纪违规行为</w:t>
      </w:r>
    </w:p>
    <w:p w14:paraId="6081F041">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1、违反公司各项规章制度，情节较轻、能够及时改正，未造成不良影响或轻微损失的行为。</w:t>
      </w:r>
    </w:p>
    <w:p w14:paraId="21727E68">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default" w:ascii="Times New Roman" w:hAnsi="Times New Roman" w:eastAsia="方正仿宋_GB2312" w:cs="Times New Roman"/>
          <w:b w:val="0"/>
          <w:bCs w:val="0"/>
          <w:sz w:val="28"/>
          <w:szCs w:val="28"/>
          <w:lang w:val="en-US" w:eastAsia="zh-CN"/>
        </w:rPr>
        <w:t>2、违反公司组织的会议、培训、考试纪律等行为。</w:t>
      </w:r>
    </w:p>
    <w:p w14:paraId="5CE91D1E">
      <w:pPr>
        <w:numPr>
          <w:ilvl w:val="0"/>
          <w:numId w:val="0"/>
        </w:numPr>
        <w:ind w:firstLine="560" w:firstLineChars="200"/>
        <w:jc w:val="both"/>
        <w:rPr>
          <w:rFonts w:hint="eastAsia" w:ascii="楷体" w:hAnsi="楷体" w:eastAsia="楷体" w:cs="楷体"/>
          <w:b w:val="0"/>
          <w:bCs w:val="0"/>
          <w:sz w:val="28"/>
          <w:szCs w:val="28"/>
          <w:lang w:val="en-US" w:eastAsia="zh-CN"/>
        </w:rPr>
      </w:pPr>
      <w:r>
        <w:rPr>
          <w:rFonts w:hint="eastAsia" w:ascii="楷体" w:hAnsi="楷体" w:eastAsia="楷体" w:cs="楷体"/>
          <w:b w:val="0"/>
          <w:bCs w:val="0"/>
          <w:sz w:val="28"/>
          <w:szCs w:val="28"/>
          <w:lang w:val="en-US" w:eastAsia="zh-CN"/>
        </w:rPr>
        <w:t>（二）较重违纪违规行为</w:t>
      </w:r>
    </w:p>
    <w:p w14:paraId="20DC26C2">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1、工作失职、不履职、有令不行、有禁不止、欺上瞒下、推诿扯皮、管理不严、袒护包庇纵容等行为。</w:t>
      </w:r>
    </w:p>
    <w:p w14:paraId="6195738F">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2、不服从公司工作安排或合理岗位调动，对上级指示、职责范围内有期限任务或下发的管理制度不执行或无故拖延执行，导致工作延误的行为。</w:t>
      </w:r>
    </w:p>
    <w:p w14:paraId="4D4EAD34">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3、在公司工作区域内大声喧哗、聚众闹事、造谣诬陷、讽刺诽谤、恶意中伤、散播谣言等影响正常工作秩序或带来人身安全隐患的行为。</w:t>
      </w:r>
    </w:p>
    <w:p w14:paraId="5A11455C">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4、对员工缺乏指导、疏于管理，造成部门或项目管理混乱、员工执行力低下的行为。</w:t>
      </w:r>
    </w:p>
    <w:p w14:paraId="7740F107">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5、发现或知悉损害公司利益的事件隐情不报，面对突发事件未积极反应致使事态扩大的行为。</w:t>
      </w:r>
    </w:p>
    <w:p w14:paraId="5DFAD9DB">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6、公司对违纪违规行为调查时，知情不报、拒不配合的行为。</w:t>
      </w:r>
    </w:p>
    <w:p w14:paraId="0F03618B">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7、离开办公场所时，涉密文件、会议记录等资料未采取合理保管措施，给公司造成损失的行为。</w:t>
      </w:r>
    </w:p>
    <w:p w14:paraId="0B466927">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8、违反公司各项规章制度，给公司造成较重不良影响或较重损失的行为。</w:t>
      </w:r>
      <w:bookmarkStart w:id="42" w:name="_GoBack"/>
      <w:bookmarkEnd w:id="42"/>
    </w:p>
    <w:p w14:paraId="72662DD2">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（三）严重违纪违规行为</w:t>
      </w:r>
    </w:p>
    <w:p w14:paraId="6F0DB7B7">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1、严重失职、监管不严，无视公司规章制度，工作中造成重大失误，给公司直接或间接造成重大经济损失，或给公司声誉造成重大不良影响的行为。</w:t>
      </w:r>
    </w:p>
    <w:p w14:paraId="0B3BFAED">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2、违反廉洁与保密制度，吃拿卡要，泄露公司机密、挪用公款、贪污受贿、商业贿赂等行为。</w:t>
      </w:r>
    </w:p>
    <w:p w14:paraId="4E6DA365">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3、通过不当言行或其他方式，在公司内外损害公司声誉和形象，影响公司市场地位与合作伙伴关系的行为。</w:t>
      </w:r>
    </w:p>
    <w:p w14:paraId="71B5A66B">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4、造谣惑众、搬弄是非、散播损害公司声誉言论的行为。</w:t>
      </w:r>
    </w:p>
    <w:p w14:paraId="6FB90770">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5、组织/参加拉帮结派、结伙歇工、擅自停工、煽动罢工、恶意怠工、闹事、集体上访等破坏公司团结、严重影响办公秩序的行为。</w:t>
      </w:r>
    </w:p>
    <w:p w14:paraId="45BD2536">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6、在公司内酗酒、赌博（含网络赌博）、打架斗殴、聚众观看或传播黄色淫秽物品的行为。</w:t>
      </w:r>
    </w:p>
    <w:p w14:paraId="76333035">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7、违反薪资保密规定，打探他人或故意透露本人薪资信息的行为。</w:t>
      </w:r>
    </w:p>
    <w:p w14:paraId="418E3C5E">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8、任何形式欺骗行为，包括篡改伪造资料、提供虚假证明、虚报加班与数据等。</w:t>
      </w:r>
    </w:p>
    <w:p w14:paraId="3A8FF8B8">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9、违反财务报销制度，虚假报销、重复报销、利用亲属注册单位虚开发票等谋取私利的行为。</w:t>
      </w:r>
    </w:p>
    <w:p w14:paraId="77C2F5B1">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10、私刻 / 私自加盖公司印章，未经授权代表公司签署文件，伪造负责人笔迹签发文件等行为。</w:t>
      </w:r>
    </w:p>
    <w:p w14:paraId="23C6AF7C">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11、违背公司利益、利用商业信息搞同业竞争，窃取公司财务数据、技术图纸、商务信息、投标信息、客户资料等商业秘密的行为。</w:t>
      </w:r>
    </w:p>
    <w:p w14:paraId="00A3C90C">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12、利用公司资源承揽私活，为自己或他人谋取利益的行为。</w:t>
      </w:r>
    </w:p>
    <w:p w14:paraId="2E907DEC">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13、违反国家法律法规，被治安拘留、司法拘留、行政拘留、刑事强制措施、强制戒毒或被追究刑事责任的行为。</w:t>
      </w:r>
    </w:p>
    <w:p w14:paraId="5CA7FF46">
      <w:pPr>
        <w:numPr>
          <w:ilvl w:val="0"/>
          <w:numId w:val="0"/>
        </w:numPr>
        <w:ind w:firstLine="560" w:firstLineChars="200"/>
        <w:jc w:val="both"/>
        <w:rPr>
          <w:rFonts w:hint="eastAsia" w:ascii="黑体" w:hAnsi="黑体" w:eastAsia="黑体" w:cs="黑体"/>
          <w:b w:val="0"/>
          <w:bCs w:val="0"/>
          <w:sz w:val="28"/>
          <w:szCs w:val="28"/>
          <w:lang w:val="en-US" w:eastAsia="zh-CN"/>
        </w:rPr>
      </w:pPr>
      <w:r>
        <w:rPr>
          <w:rFonts w:hint="eastAsia" w:ascii="黑体" w:hAnsi="黑体" w:eastAsia="黑体" w:cs="黑体"/>
          <w:b w:val="0"/>
          <w:bCs w:val="0"/>
          <w:sz w:val="28"/>
          <w:szCs w:val="28"/>
          <w:lang w:val="en-US" w:eastAsia="zh-CN"/>
        </w:rPr>
        <w:t>三、处理办法</w:t>
      </w:r>
    </w:p>
    <w:p w14:paraId="4973C34B">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1、一般违纪违规：根据情节给予通报批评。</w:t>
      </w:r>
    </w:p>
    <w:p w14:paraId="561E9383">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2、较重违纪违规：根据情节给予降职、降薪、免职等处罚。</w:t>
      </w:r>
    </w:p>
    <w:p w14:paraId="5EB36FC6">
      <w:pPr>
        <w:numPr>
          <w:ilvl w:val="0"/>
          <w:numId w:val="0"/>
        </w:numPr>
        <w:ind w:firstLine="560" w:firstLineChars="200"/>
        <w:jc w:val="both"/>
        <w:rPr>
          <w:rFonts w:hint="eastAsia"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3、严重违纪违规：直接辞退，不支付经济补偿；涉嫌违法的，公司有权移送司法机关追究法律责任。</w:t>
      </w:r>
    </w:p>
    <w:p w14:paraId="5D2940DB">
      <w:pPr>
        <w:numPr>
          <w:ilvl w:val="0"/>
          <w:numId w:val="0"/>
        </w:numPr>
        <w:jc w:val="center"/>
        <w:outlineLvl w:val="0"/>
        <w:rPr>
          <w:rFonts w:hint="eastAsia" w:ascii="方正小标宋简体" w:hAnsi="方正小标宋简体" w:eastAsia="方正小标宋简体" w:cs="方正小标宋简体"/>
          <w:b w:val="0"/>
          <w:bCs w:val="0"/>
          <w:sz w:val="40"/>
          <w:szCs w:val="40"/>
          <w:lang w:val="en-US" w:eastAsia="zh-CN"/>
        </w:rPr>
      </w:pPr>
      <w:bookmarkStart w:id="40" w:name="_Toc4782"/>
      <w:bookmarkStart w:id="41" w:name="_Toc5739"/>
      <w:r>
        <w:rPr>
          <w:rFonts w:hint="eastAsia" w:ascii="方正小标宋简体" w:hAnsi="方正小标宋简体" w:eastAsia="方正小标宋简体" w:cs="方正小标宋简体"/>
          <w:b w:val="0"/>
          <w:bCs w:val="0"/>
          <w:sz w:val="40"/>
          <w:szCs w:val="40"/>
          <w:lang w:val="en-US" w:eastAsia="zh-CN"/>
        </w:rPr>
        <w:t>第十三章  附则</w:t>
      </w:r>
      <w:bookmarkEnd w:id="40"/>
      <w:bookmarkEnd w:id="41"/>
    </w:p>
    <w:p w14:paraId="226A5C73">
      <w:pPr>
        <w:numPr>
          <w:ilvl w:val="0"/>
          <w:numId w:val="0"/>
        </w:numPr>
        <w:ind w:firstLine="560" w:firstLineChars="200"/>
        <w:jc w:val="both"/>
        <w:rPr>
          <w:rFonts w:hint="default" w:ascii="Times New Roman" w:hAnsi="Times New Roman" w:eastAsia="方正仿宋_GB2312" w:cs="Times New Roman"/>
          <w:b w:val="0"/>
          <w:bCs w:val="0"/>
          <w:sz w:val="28"/>
          <w:szCs w:val="28"/>
          <w:lang w:val="en-US" w:eastAsia="zh-CN"/>
        </w:rPr>
      </w:pPr>
      <w:r>
        <w:rPr>
          <w:rFonts w:hint="eastAsia" w:ascii="Times New Roman" w:hAnsi="Times New Roman" w:eastAsia="方正仿宋_GB2312" w:cs="Times New Roman"/>
          <w:b w:val="0"/>
          <w:bCs w:val="0"/>
          <w:sz w:val="28"/>
          <w:szCs w:val="28"/>
          <w:lang w:val="en-US" w:eastAsia="zh-CN"/>
        </w:rPr>
        <w:t>本员工手册由集团人资部负责起草、解释与修订，自发布之日起正式予以执行。公司有权根据实际情况对本制度进行修订，修订后的制度将另行通知。</w:t>
      </w:r>
    </w:p>
    <w:p w14:paraId="7FDD03AF">
      <w:pPr>
        <w:numPr>
          <w:ilvl w:val="0"/>
          <w:numId w:val="0"/>
        </w:numPr>
        <w:jc w:val="both"/>
        <w:rPr>
          <w:rFonts w:hint="eastAsia" w:asciiTheme="minorEastAsia" w:hAnsiTheme="minorEastAsia" w:eastAsiaTheme="minorEastAsia" w:cstheme="minorEastAsia"/>
          <w:b w:val="0"/>
          <w:bCs w:val="0"/>
          <w:sz w:val="28"/>
          <w:szCs w:val="28"/>
          <w:lang w:val="en-US" w:eastAsia="zh-CN"/>
        </w:rPr>
      </w:pPr>
    </w:p>
    <w:sectPr>
      <w:footerReference r:id="rId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3873608-9EBE-4CF2-91C1-D85AD8B6022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FCBA2F1A-197E-489B-A9D9-49BA27FAAB39}"/>
  </w:font>
  <w:font w:name="仿宋">
    <w:panose1 w:val="02010609060101010101"/>
    <w:charset w:val="86"/>
    <w:family w:val="auto"/>
    <w:pitch w:val="default"/>
    <w:sig w:usb0="8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embedRegular r:id="rId3" w:fontKey="{90DAC10B-85F4-45B0-A1FD-2334EDA0B75D}"/>
  </w:font>
  <w:font w:name="方正小标宋简体">
    <w:panose1 w:val="02010600010101010101"/>
    <w:charset w:val="86"/>
    <w:family w:val="auto"/>
    <w:pitch w:val="default"/>
    <w:sig w:usb0="00000001" w:usb1="080E0000" w:usb2="00000000" w:usb3="00000000" w:csb0="00040000" w:csb1="00000000"/>
    <w:embedRegular r:id="rId4" w:fontKey="{D83D9419-0F64-4099-98D3-C1A325401DE3}"/>
  </w:font>
  <w:font w:name="楷体">
    <w:panose1 w:val="02010609060101010101"/>
    <w:charset w:val="86"/>
    <w:family w:val="auto"/>
    <w:pitch w:val="default"/>
    <w:sig w:usb0="800002BF" w:usb1="38CF7CFA" w:usb2="00000016" w:usb3="00000000" w:csb0="00040001" w:csb1="00000000"/>
    <w:embedRegular r:id="rId5" w:fontKey="{16201F57-84D3-4184-855B-3DA107CBEFFF}"/>
  </w:font>
  <w:font w:name="WPSEMBED1">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CFF3F">
    <w:pPr>
      <w:spacing w:line="176" w:lineRule="auto"/>
      <w:ind w:left="421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8BF71">
                          <w:pPr>
                            <w:pStyle w:val="8"/>
                            <w:rPr>
                              <w:rFonts w:hint="eastAsia" w:asciiTheme="minorEastAsia" w:hAnsiTheme="minorEastAsia" w:eastAsiaTheme="minorEastAsia" w:cstheme="minorEastAsia"/>
                              <w:b/>
                              <w:bCs/>
                              <w:sz w:val="28"/>
                              <w:szCs w:val="44"/>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4298BF71">
                    <w:pPr>
                      <w:pStyle w:val="8"/>
                      <w:rPr>
                        <w:rFonts w:hint="eastAsia" w:asciiTheme="minorEastAsia" w:hAnsiTheme="minorEastAsia" w:eastAsiaTheme="minorEastAsia" w:cstheme="minorEastAsia"/>
                        <w:b/>
                        <w:bCs/>
                        <w:sz w:val="28"/>
                        <w:szCs w:val="44"/>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F095A">
    <w:pPr>
      <w:spacing w:line="176" w:lineRule="auto"/>
      <w:ind w:left="421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371CC0">
                          <w:pPr>
                            <w:pStyle w:val="8"/>
                            <w:rPr>
                              <w:rFonts w:hint="eastAsia" w:asciiTheme="minorEastAsia" w:hAnsiTheme="minorEastAsia" w:eastAsiaTheme="minorEastAsia" w:cstheme="minorEastAsia"/>
                              <w:b/>
                              <w:bCs/>
                              <w:sz w:val="28"/>
                              <w:szCs w:val="44"/>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0C371CC0">
                    <w:pPr>
                      <w:pStyle w:val="8"/>
                      <w:rPr>
                        <w:rFonts w:hint="eastAsia" w:asciiTheme="minorEastAsia" w:hAnsiTheme="minorEastAsia" w:eastAsiaTheme="minorEastAsia" w:cstheme="minorEastAsia"/>
                        <w:b/>
                        <w:bCs/>
                        <w:sz w:val="28"/>
                        <w:szCs w:val="44"/>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5659A0">
    <w:pPr>
      <w:spacing w:line="176" w:lineRule="auto"/>
      <w:ind w:left="421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5CA85E">
                          <w:pPr>
                            <w:pStyle w:val="8"/>
                            <w:rPr>
                              <w:rFonts w:hint="eastAsia" w:asciiTheme="minorEastAsia" w:hAnsiTheme="minorEastAsia" w:eastAsiaTheme="minorEastAsia" w:cstheme="minorEastAsia"/>
                              <w:b/>
                              <w:bCs/>
                              <w:sz w:val="28"/>
                              <w:szCs w:val="44"/>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95CA85E">
                    <w:pPr>
                      <w:pStyle w:val="8"/>
                      <w:rPr>
                        <w:rFonts w:hint="eastAsia" w:asciiTheme="minorEastAsia" w:hAnsiTheme="minorEastAsia" w:eastAsiaTheme="minorEastAsia" w:cstheme="minorEastAsia"/>
                        <w:b/>
                        <w:bCs/>
                        <w:sz w:val="28"/>
                        <w:szCs w:val="44"/>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2D9DD9">
    <w:pPr>
      <w:spacing w:line="176" w:lineRule="auto"/>
      <w:ind w:left="421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D9662E">
                          <w:pPr>
                            <w:pStyle w:val="8"/>
                            <w:rPr>
                              <w:rFonts w:hint="eastAsia" w:asciiTheme="minorEastAsia" w:hAnsiTheme="minorEastAsia" w:eastAsiaTheme="minorEastAsia" w:cstheme="minorEastAsia"/>
                              <w:b/>
                              <w:bCs/>
                              <w:sz w:val="28"/>
                              <w:szCs w:val="28"/>
                            </w:rPr>
                          </w:pPr>
                          <w:r>
                            <w:rPr>
                              <w:rFonts w:hint="eastAsia" w:asciiTheme="minorEastAsia" w:hAnsiTheme="minorEastAsia" w:cstheme="minorEastAsia"/>
                              <w:b/>
                              <w:bCs/>
                              <w:sz w:val="28"/>
                              <w:szCs w:val="28"/>
                            </w:rPr>
                            <w:t xml:space="preserve">— </w:t>
                          </w:r>
                          <w:r>
                            <w:rPr>
                              <w:rFonts w:hint="eastAsia" w:asciiTheme="minorEastAsia" w:hAnsiTheme="minorEastAsia" w:cstheme="minorEastAsia"/>
                              <w:b/>
                              <w:bCs/>
                              <w:sz w:val="28"/>
                              <w:szCs w:val="28"/>
                            </w:rPr>
                            <w:fldChar w:fldCharType="begin"/>
                          </w:r>
                          <w:r>
                            <w:rPr>
                              <w:rFonts w:hint="eastAsia" w:asciiTheme="minorEastAsia" w:hAnsiTheme="minorEastAsia" w:cstheme="minorEastAsia"/>
                              <w:b/>
                              <w:bCs/>
                              <w:sz w:val="28"/>
                              <w:szCs w:val="28"/>
                            </w:rPr>
                            <w:instrText xml:space="preserve"> PAGE  \* MERGEFORMAT </w:instrText>
                          </w:r>
                          <w:r>
                            <w:rPr>
                              <w:rFonts w:hint="eastAsia" w:asciiTheme="minorEastAsia" w:hAnsiTheme="minorEastAsia" w:cstheme="minorEastAsia"/>
                              <w:b/>
                              <w:bCs/>
                              <w:sz w:val="28"/>
                              <w:szCs w:val="28"/>
                            </w:rPr>
                            <w:fldChar w:fldCharType="separate"/>
                          </w:r>
                          <w:r>
                            <w:rPr>
                              <w:rFonts w:hint="eastAsia" w:asciiTheme="minorEastAsia" w:hAnsiTheme="minorEastAsia" w:cstheme="minorEastAsia"/>
                              <w:b/>
                              <w:bCs/>
                              <w:sz w:val="28"/>
                              <w:szCs w:val="28"/>
                            </w:rPr>
                            <w:t>1</w:t>
                          </w:r>
                          <w:r>
                            <w:rPr>
                              <w:rFonts w:hint="eastAsia" w:asciiTheme="minorEastAsia" w:hAnsiTheme="minorEastAsia" w:cstheme="minorEastAsia"/>
                              <w:b/>
                              <w:bCs/>
                              <w:sz w:val="28"/>
                              <w:szCs w:val="28"/>
                            </w:rPr>
                            <w:fldChar w:fldCharType="end"/>
                          </w:r>
                          <w:r>
                            <w:rPr>
                              <w:rFonts w:hint="eastAsia" w:asciiTheme="minorEastAsia" w:hAnsiTheme="minorEastAsia" w:cstheme="minorEastAsia"/>
                              <w:b/>
                              <w:bCs/>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76D9662E">
                    <w:pPr>
                      <w:pStyle w:val="8"/>
                      <w:rPr>
                        <w:rFonts w:hint="eastAsia" w:asciiTheme="minorEastAsia" w:hAnsiTheme="minorEastAsia" w:eastAsiaTheme="minorEastAsia" w:cstheme="minorEastAsia"/>
                        <w:b/>
                        <w:bCs/>
                        <w:sz w:val="28"/>
                        <w:szCs w:val="28"/>
                      </w:rPr>
                    </w:pPr>
                    <w:r>
                      <w:rPr>
                        <w:rFonts w:hint="eastAsia" w:asciiTheme="minorEastAsia" w:hAnsiTheme="minorEastAsia" w:cstheme="minorEastAsia"/>
                        <w:b/>
                        <w:bCs/>
                        <w:sz w:val="28"/>
                        <w:szCs w:val="28"/>
                      </w:rPr>
                      <w:t xml:space="preserve">— </w:t>
                    </w:r>
                    <w:r>
                      <w:rPr>
                        <w:rFonts w:hint="eastAsia" w:asciiTheme="minorEastAsia" w:hAnsiTheme="minorEastAsia" w:cstheme="minorEastAsia"/>
                        <w:b/>
                        <w:bCs/>
                        <w:sz w:val="28"/>
                        <w:szCs w:val="28"/>
                      </w:rPr>
                      <w:fldChar w:fldCharType="begin"/>
                    </w:r>
                    <w:r>
                      <w:rPr>
                        <w:rFonts w:hint="eastAsia" w:asciiTheme="minorEastAsia" w:hAnsiTheme="minorEastAsia" w:cstheme="minorEastAsia"/>
                        <w:b/>
                        <w:bCs/>
                        <w:sz w:val="28"/>
                        <w:szCs w:val="28"/>
                      </w:rPr>
                      <w:instrText xml:space="preserve"> PAGE  \* MERGEFORMAT </w:instrText>
                    </w:r>
                    <w:r>
                      <w:rPr>
                        <w:rFonts w:hint="eastAsia" w:asciiTheme="minorEastAsia" w:hAnsiTheme="minorEastAsia" w:cstheme="minorEastAsia"/>
                        <w:b/>
                        <w:bCs/>
                        <w:sz w:val="28"/>
                        <w:szCs w:val="28"/>
                      </w:rPr>
                      <w:fldChar w:fldCharType="separate"/>
                    </w:r>
                    <w:r>
                      <w:rPr>
                        <w:rFonts w:hint="eastAsia" w:asciiTheme="minorEastAsia" w:hAnsiTheme="minorEastAsia" w:cstheme="minorEastAsia"/>
                        <w:b/>
                        <w:bCs/>
                        <w:sz w:val="28"/>
                        <w:szCs w:val="28"/>
                      </w:rPr>
                      <w:t>1</w:t>
                    </w:r>
                    <w:r>
                      <w:rPr>
                        <w:rFonts w:hint="eastAsia" w:asciiTheme="minorEastAsia" w:hAnsiTheme="minorEastAsia" w:cstheme="minorEastAsia"/>
                        <w:b/>
                        <w:bCs/>
                        <w:sz w:val="28"/>
                        <w:szCs w:val="28"/>
                      </w:rPr>
                      <w:fldChar w:fldCharType="end"/>
                    </w:r>
                    <w:r>
                      <w:rPr>
                        <w:rFonts w:hint="eastAsia" w:asciiTheme="minorEastAsia" w:hAnsiTheme="minorEastAsia" w:cstheme="minorEastAsia"/>
                        <w:b/>
                        <w:bCs/>
                        <w:sz w:val="28"/>
                        <w:szCs w:val="28"/>
                      </w:rPr>
                      <w:t xml:space="preserve"> —</w:t>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1AC989">
                          <w:pPr>
                            <w:pStyle w:val="8"/>
                            <w:rPr>
                              <w:rFonts w:hint="eastAsia" w:asciiTheme="minorEastAsia" w:hAnsiTheme="minorEastAsia" w:eastAsiaTheme="minorEastAsia" w:cstheme="minorEastAsia"/>
                              <w:b/>
                              <w:bCs/>
                              <w:sz w:val="28"/>
                              <w:szCs w:val="28"/>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211AC989">
                    <w:pPr>
                      <w:pStyle w:val="8"/>
                      <w:rPr>
                        <w:rFonts w:hint="eastAsia" w:asciiTheme="minorEastAsia" w:hAnsiTheme="minorEastAsia" w:eastAsiaTheme="minorEastAsia" w:cstheme="minorEastAsia"/>
                        <w:b/>
                        <w:bCs/>
                        <w:sz w:val="28"/>
                        <w:szCs w:val="28"/>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F51A5">
    <w:pPr>
      <w:spacing w:line="176" w:lineRule="auto"/>
      <w:ind w:left="4214"/>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721711">
                          <w:pPr>
                            <w:pStyle w:val="8"/>
                            <w:rPr>
                              <w:rFonts w:hint="eastAsia" w:asciiTheme="minorEastAsia" w:hAnsiTheme="minorEastAsia" w:eastAsiaTheme="minorEastAsia" w:cstheme="minorEastAsia"/>
                              <w:b/>
                              <w:bCs/>
                              <w:sz w:val="28"/>
                              <w:szCs w:val="28"/>
                            </w:rPr>
                          </w:pPr>
                          <w:r>
                            <w:rPr>
                              <w:rFonts w:hint="eastAsia" w:asciiTheme="minorEastAsia" w:hAnsiTheme="minorEastAsia" w:cstheme="minorEastAsia"/>
                              <w:b/>
                              <w:bCs/>
                              <w:sz w:val="28"/>
                              <w:szCs w:val="28"/>
                            </w:rPr>
                            <w:t xml:space="preserve">—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  \* MERGEFORMAT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6</w:t>
                          </w:r>
                          <w:r>
                            <w:rPr>
                              <w:rFonts w:hint="eastAsia" w:ascii="宋体" w:hAnsi="宋体" w:eastAsia="宋体" w:cs="宋体"/>
                              <w:b/>
                              <w:bCs/>
                              <w:sz w:val="28"/>
                              <w:szCs w:val="28"/>
                            </w:rPr>
                            <w:fldChar w:fldCharType="end"/>
                          </w:r>
                          <w:r>
                            <w:rPr>
                              <w:rFonts w:hint="eastAsia" w:asciiTheme="minorEastAsia" w:hAnsiTheme="minorEastAsia" w:cstheme="minorEastAsia"/>
                              <w:b/>
                              <w:bCs/>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4A721711">
                    <w:pPr>
                      <w:pStyle w:val="8"/>
                      <w:rPr>
                        <w:rFonts w:hint="eastAsia" w:asciiTheme="minorEastAsia" w:hAnsiTheme="minorEastAsia" w:eastAsiaTheme="minorEastAsia" w:cstheme="minorEastAsia"/>
                        <w:b/>
                        <w:bCs/>
                        <w:sz w:val="28"/>
                        <w:szCs w:val="28"/>
                      </w:rPr>
                    </w:pPr>
                    <w:r>
                      <w:rPr>
                        <w:rFonts w:hint="eastAsia" w:asciiTheme="minorEastAsia" w:hAnsiTheme="minorEastAsia" w:cstheme="minorEastAsia"/>
                        <w:b/>
                        <w:bCs/>
                        <w:sz w:val="28"/>
                        <w:szCs w:val="28"/>
                      </w:rPr>
                      <w:t xml:space="preserve">— </w:t>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PAGE  \* MERGEFORMAT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6</w:t>
                    </w:r>
                    <w:r>
                      <w:rPr>
                        <w:rFonts w:hint="eastAsia" w:ascii="宋体" w:hAnsi="宋体" w:eastAsia="宋体" w:cs="宋体"/>
                        <w:b/>
                        <w:bCs/>
                        <w:sz w:val="28"/>
                        <w:szCs w:val="28"/>
                      </w:rPr>
                      <w:fldChar w:fldCharType="end"/>
                    </w:r>
                    <w:r>
                      <w:rPr>
                        <w:rFonts w:hint="eastAsia" w:asciiTheme="minorEastAsia" w:hAnsiTheme="minorEastAsia" w:cstheme="minorEastAsia"/>
                        <w:b/>
                        <w:bCs/>
                        <w:sz w:val="28"/>
                        <w:szCs w:val="28"/>
                      </w:rPr>
                      <w:t xml:space="preserve"> —</w:t>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03F50F">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2503F50F">
                    <w:pPr>
                      <w:pStyle w:val="8"/>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BB3DF">
    <w:pPr>
      <w:pStyle w:val="9"/>
      <w:jc w:val="right"/>
      <w:rPr>
        <w:rFonts w:hint="eastAsia" w:eastAsiaTheme="minorEastAsia"/>
        <w:lang w:eastAsia="zh-CN"/>
      </w:rPr>
    </w:pPr>
    <w:r>
      <w:rPr>
        <w:rFonts w:hint="eastAsia" w:eastAsiaTheme="minorEastAsia"/>
        <w:lang w:eastAsia="zh-CN"/>
      </w:rPr>
      <w:drawing>
        <wp:inline distT="0" distB="0" distL="114300" distR="114300">
          <wp:extent cx="1416685" cy="320040"/>
          <wp:effectExtent l="0" t="0" r="0" b="3175"/>
          <wp:docPr id="5" name="图片 5" descr="新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新logo"/>
                  <pic:cNvPicPr>
                    <a:picLocks noChangeAspect="1"/>
                  </pic:cNvPicPr>
                </pic:nvPicPr>
                <pic:blipFill>
                  <a:blip r:embed="rId1"/>
                  <a:stretch>
                    <a:fillRect/>
                  </a:stretch>
                </pic:blipFill>
                <pic:spPr>
                  <a:xfrm>
                    <a:off x="0" y="0"/>
                    <a:ext cx="1416685" cy="32004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82F27D"/>
    <w:multiLevelType w:val="singleLevel"/>
    <w:tmpl w:val="5F82F27D"/>
    <w:lvl w:ilvl="0" w:tentative="0">
      <w:start w:val="1"/>
      <w:numFmt w:val="decimal"/>
      <w:pStyle w:val="3"/>
      <w:suff w:val="nothing"/>
      <w:lvlText w:val=" %1 ."/>
      <w:lvlJc w:val="left"/>
      <w:pPr>
        <w:tabs>
          <w:tab w:val="left" w:pos="420"/>
        </w:tabs>
        <w:ind w:left="0" w:firstLine="0"/>
      </w:pPr>
      <w:rPr>
        <w:rFonts w:hint="default" w:ascii="宋体" w:hAnsi="宋体" w:eastAsia="宋体" w:cs="宋体"/>
        <w:sz w:val="30"/>
        <w:szCs w:val="3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192A59"/>
    <w:rsid w:val="00D70859"/>
    <w:rsid w:val="00ED5986"/>
    <w:rsid w:val="01101675"/>
    <w:rsid w:val="019C04C6"/>
    <w:rsid w:val="01FF1E15"/>
    <w:rsid w:val="02045C58"/>
    <w:rsid w:val="02300221"/>
    <w:rsid w:val="02377801"/>
    <w:rsid w:val="02413641"/>
    <w:rsid w:val="02415EEB"/>
    <w:rsid w:val="02E62FD5"/>
    <w:rsid w:val="0334789D"/>
    <w:rsid w:val="03EB2AF9"/>
    <w:rsid w:val="042E56F1"/>
    <w:rsid w:val="04511EA2"/>
    <w:rsid w:val="045D72C7"/>
    <w:rsid w:val="04861637"/>
    <w:rsid w:val="04C61CC9"/>
    <w:rsid w:val="04ED23F9"/>
    <w:rsid w:val="052927F7"/>
    <w:rsid w:val="05656433"/>
    <w:rsid w:val="06525409"/>
    <w:rsid w:val="072300D3"/>
    <w:rsid w:val="07496B8D"/>
    <w:rsid w:val="07996868"/>
    <w:rsid w:val="080714A5"/>
    <w:rsid w:val="08B476DB"/>
    <w:rsid w:val="08F40913"/>
    <w:rsid w:val="08FD4BC4"/>
    <w:rsid w:val="09336848"/>
    <w:rsid w:val="095E6866"/>
    <w:rsid w:val="0977197C"/>
    <w:rsid w:val="0AA105A2"/>
    <w:rsid w:val="0B057D70"/>
    <w:rsid w:val="0B086444"/>
    <w:rsid w:val="0B13248D"/>
    <w:rsid w:val="0B2C1ADE"/>
    <w:rsid w:val="0B347115"/>
    <w:rsid w:val="0B4B60CB"/>
    <w:rsid w:val="0BE82D9E"/>
    <w:rsid w:val="0C3628D7"/>
    <w:rsid w:val="0C82125C"/>
    <w:rsid w:val="0CA21D1B"/>
    <w:rsid w:val="0CCD48BE"/>
    <w:rsid w:val="0CD914B5"/>
    <w:rsid w:val="0D0B5B12"/>
    <w:rsid w:val="0D474670"/>
    <w:rsid w:val="0EF7257E"/>
    <w:rsid w:val="0F44355D"/>
    <w:rsid w:val="0F8C0828"/>
    <w:rsid w:val="0FB654A0"/>
    <w:rsid w:val="100B407B"/>
    <w:rsid w:val="1068327B"/>
    <w:rsid w:val="11382C4E"/>
    <w:rsid w:val="11526D5A"/>
    <w:rsid w:val="118C11EC"/>
    <w:rsid w:val="11A51171"/>
    <w:rsid w:val="11C03610"/>
    <w:rsid w:val="11FA7F03"/>
    <w:rsid w:val="124473D0"/>
    <w:rsid w:val="124D2298"/>
    <w:rsid w:val="13166EE6"/>
    <w:rsid w:val="14495172"/>
    <w:rsid w:val="14CC41EB"/>
    <w:rsid w:val="150712B5"/>
    <w:rsid w:val="15233C15"/>
    <w:rsid w:val="16135A37"/>
    <w:rsid w:val="162A65FE"/>
    <w:rsid w:val="164C2CF7"/>
    <w:rsid w:val="16752449"/>
    <w:rsid w:val="168C0F7C"/>
    <w:rsid w:val="16BA6ADE"/>
    <w:rsid w:val="16F2389F"/>
    <w:rsid w:val="174F6F43"/>
    <w:rsid w:val="176B530A"/>
    <w:rsid w:val="18194E5B"/>
    <w:rsid w:val="18C45AFF"/>
    <w:rsid w:val="199476C8"/>
    <w:rsid w:val="19F31E08"/>
    <w:rsid w:val="1B0A6293"/>
    <w:rsid w:val="1C0D165D"/>
    <w:rsid w:val="1C230BC6"/>
    <w:rsid w:val="1CF06AD2"/>
    <w:rsid w:val="1D0D31E0"/>
    <w:rsid w:val="1D756FD8"/>
    <w:rsid w:val="1DDE633B"/>
    <w:rsid w:val="1E696B3C"/>
    <w:rsid w:val="1EC11BEF"/>
    <w:rsid w:val="1F4117E7"/>
    <w:rsid w:val="1F5C044F"/>
    <w:rsid w:val="1FBA16FB"/>
    <w:rsid w:val="200A44E7"/>
    <w:rsid w:val="20D11D78"/>
    <w:rsid w:val="20FC2F33"/>
    <w:rsid w:val="21110DC5"/>
    <w:rsid w:val="21240AF9"/>
    <w:rsid w:val="21DA565B"/>
    <w:rsid w:val="220F79FB"/>
    <w:rsid w:val="22115BF1"/>
    <w:rsid w:val="226C6BFB"/>
    <w:rsid w:val="22C87E82"/>
    <w:rsid w:val="23A40077"/>
    <w:rsid w:val="23C5494D"/>
    <w:rsid w:val="249B37C8"/>
    <w:rsid w:val="25714529"/>
    <w:rsid w:val="25C7239A"/>
    <w:rsid w:val="260545CB"/>
    <w:rsid w:val="271D6E94"/>
    <w:rsid w:val="27365A2A"/>
    <w:rsid w:val="27E2526A"/>
    <w:rsid w:val="28041684"/>
    <w:rsid w:val="28B210E0"/>
    <w:rsid w:val="28CF317D"/>
    <w:rsid w:val="2A4B362C"/>
    <w:rsid w:val="2A5E151F"/>
    <w:rsid w:val="2AC1385C"/>
    <w:rsid w:val="2BD359B0"/>
    <w:rsid w:val="2BF10171"/>
    <w:rsid w:val="2BFB4338"/>
    <w:rsid w:val="2CB4360C"/>
    <w:rsid w:val="2D123224"/>
    <w:rsid w:val="2D8F51A5"/>
    <w:rsid w:val="2ED2428A"/>
    <w:rsid w:val="2F0C4188"/>
    <w:rsid w:val="2FBF0647"/>
    <w:rsid w:val="2FCC3723"/>
    <w:rsid w:val="30120BE7"/>
    <w:rsid w:val="30224A56"/>
    <w:rsid w:val="30D80617"/>
    <w:rsid w:val="31342FDA"/>
    <w:rsid w:val="31A71837"/>
    <w:rsid w:val="31CF4AB1"/>
    <w:rsid w:val="32E97DF4"/>
    <w:rsid w:val="341D5FA7"/>
    <w:rsid w:val="36A01C80"/>
    <w:rsid w:val="37CD5341"/>
    <w:rsid w:val="38936FFE"/>
    <w:rsid w:val="38B96890"/>
    <w:rsid w:val="39E74269"/>
    <w:rsid w:val="3A4A0CD0"/>
    <w:rsid w:val="3A4D0C68"/>
    <w:rsid w:val="3A574506"/>
    <w:rsid w:val="3B0923F4"/>
    <w:rsid w:val="3BF27C93"/>
    <w:rsid w:val="3BF35840"/>
    <w:rsid w:val="3C9C7CD5"/>
    <w:rsid w:val="3DCC00F6"/>
    <w:rsid w:val="3DD60B68"/>
    <w:rsid w:val="3DE10046"/>
    <w:rsid w:val="3DF53308"/>
    <w:rsid w:val="3E2E0DB1"/>
    <w:rsid w:val="3E6B0034"/>
    <w:rsid w:val="3EF82BAA"/>
    <w:rsid w:val="3F2F4DE1"/>
    <w:rsid w:val="3F3F4A55"/>
    <w:rsid w:val="3FB53538"/>
    <w:rsid w:val="40205851"/>
    <w:rsid w:val="40371D23"/>
    <w:rsid w:val="407C354B"/>
    <w:rsid w:val="40BA4B7E"/>
    <w:rsid w:val="40DC4AF4"/>
    <w:rsid w:val="41151DB4"/>
    <w:rsid w:val="41A35612"/>
    <w:rsid w:val="41C55588"/>
    <w:rsid w:val="4226071D"/>
    <w:rsid w:val="426D4716"/>
    <w:rsid w:val="4294734C"/>
    <w:rsid w:val="42C22FD4"/>
    <w:rsid w:val="431A7B56"/>
    <w:rsid w:val="432307B8"/>
    <w:rsid w:val="44137CFF"/>
    <w:rsid w:val="444E5D09"/>
    <w:rsid w:val="445343DE"/>
    <w:rsid w:val="44A323DE"/>
    <w:rsid w:val="44AC2A30"/>
    <w:rsid w:val="454D4212"/>
    <w:rsid w:val="45A858ED"/>
    <w:rsid w:val="45F428E0"/>
    <w:rsid w:val="463B22BD"/>
    <w:rsid w:val="479559FD"/>
    <w:rsid w:val="47A3636C"/>
    <w:rsid w:val="48141018"/>
    <w:rsid w:val="493F20C4"/>
    <w:rsid w:val="494D47E1"/>
    <w:rsid w:val="4A356FCC"/>
    <w:rsid w:val="4A471230"/>
    <w:rsid w:val="4B1B37F6"/>
    <w:rsid w:val="4BC845F3"/>
    <w:rsid w:val="4CA50490"/>
    <w:rsid w:val="4D0748ED"/>
    <w:rsid w:val="4DE84AD8"/>
    <w:rsid w:val="4DF96CE5"/>
    <w:rsid w:val="4E771829"/>
    <w:rsid w:val="4E8567CB"/>
    <w:rsid w:val="4EAB3D17"/>
    <w:rsid w:val="4EAC01FC"/>
    <w:rsid w:val="4F926CE8"/>
    <w:rsid w:val="5000655B"/>
    <w:rsid w:val="501E2A33"/>
    <w:rsid w:val="503F29AA"/>
    <w:rsid w:val="51082134"/>
    <w:rsid w:val="51C23892"/>
    <w:rsid w:val="52EA2D92"/>
    <w:rsid w:val="52FA0A9E"/>
    <w:rsid w:val="532E7431"/>
    <w:rsid w:val="538E7ED0"/>
    <w:rsid w:val="539B55DE"/>
    <w:rsid w:val="53C27B7A"/>
    <w:rsid w:val="53CA47B7"/>
    <w:rsid w:val="5469259B"/>
    <w:rsid w:val="54897AB8"/>
    <w:rsid w:val="5510307A"/>
    <w:rsid w:val="55CF3C26"/>
    <w:rsid w:val="55FD758F"/>
    <w:rsid w:val="563C070C"/>
    <w:rsid w:val="566A1F1B"/>
    <w:rsid w:val="569972B8"/>
    <w:rsid w:val="571A1A7B"/>
    <w:rsid w:val="57C428E4"/>
    <w:rsid w:val="582E1C82"/>
    <w:rsid w:val="58823D7B"/>
    <w:rsid w:val="58A05495"/>
    <w:rsid w:val="58AF7B00"/>
    <w:rsid w:val="58DB3659"/>
    <w:rsid w:val="59292FDA"/>
    <w:rsid w:val="59A36B04"/>
    <w:rsid w:val="5B523ED9"/>
    <w:rsid w:val="5B6D277B"/>
    <w:rsid w:val="5B7756EE"/>
    <w:rsid w:val="5B8237AB"/>
    <w:rsid w:val="5B8F325B"/>
    <w:rsid w:val="5D1D4073"/>
    <w:rsid w:val="5DD92690"/>
    <w:rsid w:val="5E3D2C1E"/>
    <w:rsid w:val="5FA12149"/>
    <w:rsid w:val="5FB14302"/>
    <w:rsid w:val="601C6864"/>
    <w:rsid w:val="60E04D82"/>
    <w:rsid w:val="614D13CA"/>
    <w:rsid w:val="61F71336"/>
    <w:rsid w:val="637B6011"/>
    <w:rsid w:val="63894210"/>
    <w:rsid w:val="63CE62B1"/>
    <w:rsid w:val="6401649C"/>
    <w:rsid w:val="640D491D"/>
    <w:rsid w:val="64127E15"/>
    <w:rsid w:val="65805435"/>
    <w:rsid w:val="65DE72AA"/>
    <w:rsid w:val="65FD53D6"/>
    <w:rsid w:val="6646288C"/>
    <w:rsid w:val="6692162D"/>
    <w:rsid w:val="66DF0566"/>
    <w:rsid w:val="679879D6"/>
    <w:rsid w:val="67B8119D"/>
    <w:rsid w:val="681D5D1D"/>
    <w:rsid w:val="68BA116D"/>
    <w:rsid w:val="69196036"/>
    <w:rsid w:val="6A3273AF"/>
    <w:rsid w:val="6A667059"/>
    <w:rsid w:val="6B4078AA"/>
    <w:rsid w:val="6C411B2C"/>
    <w:rsid w:val="6CBB65E6"/>
    <w:rsid w:val="6D3451EC"/>
    <w:rsid w:val="6D5B11ED"/>
    <w:rsid w:val="6D836174"/>
    <w:rsid w:val="6DC5334B"/>
    <w:rsid w:val="6E3631E6"/>
    <w:rsid w:val="6E4C2A0A"/>
    <w:rsid w:val="6E7B19A2"/>
    <w:rsid w:val="6E8C2E06"/>
    <w:rsid w:val="6EDC3D8E"/>
    <w:rsid w:val="6F151835"/>
    <w:rsid w:val="6F863CF9"/>
    <w:rsid w:val="6FBF5461"/>
    <w:rsid w:val="6FF43359"/>
    <w:rsid w:val="710F345C"/>
    <w:rsid w:val="71687B5B"/>
    <w:rsid w:val="71C34D91"/>
    <w:rsid w:val="71CC15A1"/>
    <w:rsid w:val="71E35433"/>
    <w:rsid w:val="71E56F30"/>
    <w:rsid w:val="72D53AEE"/>
    <w:rsid w:val="739A5FC5"/>
    <w:rsid w:val="746A5998"/>
    <w:rsid w:val="74EA4672"/>
    <w:rsid w:val="75A650F5"/>
    <w:rsid w:val="76156DD2"/>
    <w:rsid w:val="764171C6"/>
    <w:rsid w:val="771A5453"/>
    <w:rsid w:val="775B2F0E"/>
    <w:rsid w:val="78175E36"/>
    <w:rsid w:val="7870770B"/>
    <w:rsid w:val="79004B1D"/>
    <w:rsid w:val="79164340"/>
    <w:rsid w:val="7A853492"/>
    <w:rsid w:val="7A9B2D4F"/>
    <w:rsid w:val="7B3B1E3C"/>
    <w:rsid w:val="7BB04EE2"/>
    <w:rsid w:val="7C1A05F9"/>
    <w:rsid w:val="7C5702DC"/>
    <w:rsid w:val="7CB00608"/>
    <w:rsid w:val="7D60202E"/>
    <w:rsid w:val="7D842D34"/>
    <w:rsid w:val="7DBF6D54"/>
    <w:rsid w:val="7E6E2528"/>
    <w:rsid w:val="7E77762F"/>
    <w:rsid w:val="7E7F37B2"/>
    <w:rsid w:val="7E9C7095"/>
    <w:rsid w:val="7F115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qFormat="1"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3">
    <w:name w:val="Normal Indent"/>
    <w:basedOn w:val="1"/>
    <w:qFormat/>
    <w:uiPriority w:val="0"/>
    <w:pPr>
      <w:numPr>
        <w:ilvl w:val="0"/>
        <w:numId w:val="1"/>
      </w:numPr>
      <w:tabs>
        <w:tab w:val="left" w:pos="0"/>
        <w:tab w:val="clear" w:pos="420"/>
      </w:tabs>
      <w:spacing w:line="500" w:lineRule="exact"/>
      <w:ind w:firstLine="1057" w:firstLineChars="200"/>
    </w:pPr>
  </w:style>
  <w:style w:type="paragraph" w:styleId="4">
    <w:name w:val="annotation text"/>
    <w:basedOn w:val="1"/>
    <w:qFormat/>
    <w:uiPriority w:val="0"/>
    <w:pPr>
      <w:jc w:val="left"/>
    </w:pPr>
  </w:style>
  <w:style w:type="paragraph" w:styleId="5">
    <w:name w:val="Body Text"/>
    <w:basedOn w:val="1"/>
    <w:semiHidden/>
    <w:qFormat/>
    <w:uiPriority w:val="0"/>
    <w:rPr>
      <w:rFonts w:ascii="仿宋" w:hAnsi="仿宋" w:eastAsia="仿宋" w:cs="仿宋"/>
      <w:sz w:val="28"/>
      <w:szCs w:val="28"/>
      <w:lang w:val="en-US" w:eastAsia="en-US" w:bidi="ar-SA"/>
    </w:rPr>
  </w:style>
  <w:style w:type="paragraph" w:styleId="6">
    <w:name w:val="Body Text Indent"/>
    <w:basedOn w:val="1"/>
    <w:semiHidden/>
    <w:unhideWhenUsed/>
    <w:qFormat/>
    <w:uiPriority w:val="99"/>
    <w:pPr>
      <w:spacing w:after="120"/>
      <w:ind w:left="420" w:leftChars="200"/>
    </w:pPr>
  </w:style>
  <w:style w:type="paragraph" w:styleId="7">
    <w:name w:val="Plain Text"/>
    <w:basedOn w:val="1"/>
    <w:qFormat/>
    <w:uiPriority w:val="0"/>
    <w:rPr>
      <w:rFonts w:ascii="宋体" w:hAnsi="Courier New" w:cs="Courier New"/>
      <w:szCs w:val="21"/>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3">
    <w:name w:val="Body Text First Indent 2"/>
    <w:basedOn w:val="6"/>
    <w:semiHidden/>
    <w:unhideWhenUsed/>
    <w:qFormat/>
    <w:uiPriority w:val="99"/>
    <w:pPr>
      <w:ind w:firstLine="420" w:firstLineChars="200"/>
    </w:p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mphasis"/>
    <w:basedOn w:val="16"/>
    <w:qFormat/>
    <w:uiPriority w:val="0"/>
    <w:rPr>
      <w:i/>
    </w:rPr>
  </w:style>
  <w:style w:type="paragraph" w:styleId="19">
    <w:name w:val="List Paragraph"/>
    <w:basedOn w:val="1"/>
    <w:qFormat/>
    <w:uiPriority w:val="34"/>
    <w:pPr>
      <w:ind w:firstLine="420" w:firstLineChars="200"/>
    </w:pPr>
  </w:style>
  <w:style w:type="paragraph" w:customStyle="1" w:styleId="20">
    <w:name w:val="Table Text"/>
    <w:basedOn w:val="1"/>
    <w:semiHidden/>
    <w:qFormat/>
    <w:uiPriority w:val="0"/>
    <w:rPr>
      <w:rFonts w:ascii="仿宋" w:hAnsi="仿宋" w:eastAsia="仿宋" w:cs="仿宋"/>
      <w:sz w:val="20"/>
      <w:szCs w:val="20"/>
      <w:lang w:val="en-US" w:eastAsia="en-US" w:bidi="ar-SA"/>
    </w:rPr>
  </w:style>
  <w:style w:type="table" w:customStyle="1" w:styleId="21">
    <w:name w:val="Table Normal"/>
    <w:semiHidden/>
    <w:unhideWhenUsed/>
    <w:qFormat/>
    <w:uiPriority w:val="0"/>
    <w:tblPr>
      <w:tblCellMar>
        <w:top w:w="0" w:type="dxa"/>
        <w:left w:w="0" w:type="dxa"/>
        <w:bottom w:w="0" w:type="dxa"/>
        <w:right w:w="0" w:type="dxa"/>
      </w:tblCellMar>
    </w:tbl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14884</Words>
  <Characters>15145</Characters>
  <Lines>0</Lines>
  <Paragraphs>0</Paragraphs>
  <TotalTime>57</TotalTime>
  <ScaleCrop>false</ScaleCrop>
  <LinksUpToDate>false</LinksUpToDate>
  <CharactersWithSpaces>15312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2025-01-23T07:55:00Z</dcterms:created>
  <dc:creator>Administrator</dc:creator>
  <cp:lastModifiedBy>凉、沐兮ゝ</cp:lastModifiedBy>
  <cp:lastPrinted>2025-02-25T08:42:00Z</cp:lastPrinted>
  <dcterms:modified xsi:type="dcterms:W3CDTF">2026-05-15T07:06:23Z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eyJoZGlkIjoiNTZkMGM0MjMyOWZlNDE5ZjZhYTFlYThjYWNmMWQ3YzEiLCJ1c2VySWQiOiIzNzAzMjgzMzUifQ==</vt:lpwstr>
  </property>
  <property fmtid="{D5CDD505-2E9C-101B-9397-08002B2CF9AE}" pid="4" name="ICV">
    <vt:lpwstr>39CEED94E94945DB92CA5648B85F2121_12</vt:lpwstr>
  </property>
</Properties>
</file>