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Times New Roman" w:cs="Times New Roman" w:eastAsia="Times New Roman" w:hAnsi="Times New Roman"/>
          <w:b/>
          <w:bCs/>
          <w:color w:val="0070C0"/>
          <w:sz w:val="48"/>
          <w:szCs w:val="48"/>
        </w:rPr>
        <w:t xml:space="preserve">HANDOFF-ПАКЕТ Phase 2B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ТрендСтудио LP Investor Deck v1.2.0</w:t>
      </w:r>
    </w:p>
    <w:p>
      <w:pPr>
        <w:spacing w:after="10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Interactive Charts + Live Controls + Drill-Down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16 апреля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Phase 2A закрыта 2026-04-15 (commit af54bc1)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Целевая ветка: claude/deck-v1.2.0-phase2b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Дедлайн: 23 апреля 2026 (до LP-встречи 29 апреля)</w:t>
      </w:r>
    </w:p>
    <w:p>
      <w:r>
        <w:br w:type="pag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1. Контекст и цель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Phase 2A (инфраструктура i18n + a11y + базовые компоненты) закрыта 15 апреля 2026 года с итогом П5 «Максимум» 30 ✅ / 2 🟡 / 0 ❌. Критических блокеров нет. Инфраструктурный каркас готов к расширению.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Phase 2B добавляет содержательный интерактивный слой: семь графиков, live-controls (переключатель сценариев + три слайдера параметров), drill-down Modal для детализации проектов. Это ключевой слой для демонстрации LP-инвесторам: показывает цифры «глазами», а не таблицами.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Параллельно решается жёлтое наблюдение №30 из П5-аудита Phase 2A: бюджет сборки увеличивается с 450 000 до 650 000 байт для размещения графической логики.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1.1. Целевой состав артефакта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Phase 2B HTML-дека содержит: (1) 25 слайдов с ролевой разметкой; (2) i18n RU/EN с 280 ключами; (3) a11y-каркас со skip-link, aria-live, focus-trap; (4) компоненты Slider/Modal/DrilldownCard; (5) семь интерактивных графиков с scenario switcher и sliders; (6) drill-down Modal для проектов. Размер — не более 650 000 байт.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2. Scope Phase 2B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2.1. Увеличение бюджета сборки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Изменить константу BUDGET в scripts/build_html.py: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BUDGET = 650000  # было 450000, обоснование: Phase 2B добавляет 7 графиков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Обновить комментарий в build_html.py и записать в git commit message: «build: raise bundle budget to 650KB for Phase 2B charts».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2.2. Семь графиков (подробные спецификации)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2.2.1. Chart-1: Revenue Waterfall 2026–2030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горизонтальный waterfall (накопительный bar-chart). Ось X: годы 2026–2030. Ось Y: выручка, млн ₽. Цвета баров: зелёный для положительного прироста, синий для базы. Отображать total-bar справа как итог за 5 лет.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 данных: deck_data_v1.2.0.json → pipeline.revenue_by_year[scenario]. Сценарии: base / bull / bear (переключаются через scenario switcher). Формат чисел: млн ₽, без копеек, разделитель разрядов пробел. Локализация: ui.chart.revenue.title, ui.chart.revenue.xaxis, ui.chart.revenue.yaxis.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hover на баре → tooltip с точным значением и проектной разбивкой; click на баре → drill-down Modal с детализацией проектов этого года.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2.2.2. Chart-2: EBITDA Cascade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cascade / Sankey-style bar. Показывает путь: Revenue → (−COGS) → Gross Profit → (−OPEX) → (−Marketing) → EBITDA. По годам 2026–2030 — отдельные блоки или переключатель года.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deck_data_v1.2.0.json → pnl.ebitda_breakdown[scenario][year]. Отрицательные компоненты показываем красным, положительный итог — зелёным. Подписи абсолютных значений и процента от выручки.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переключатель года (2026–2030 или сумма 5Y), hover tooltip.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2.2.3. Chart-3: IRR Sensitivity Heatmap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heatmap. Ось X: ставка дисконтирования (10–25 % шагом 2,5 %). Ось Y: горизонт выхода (3, 5, 7, 10 лет). В клетках: IRR, цветовая шкала — градиент красный→жёлтый→зелёный.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формируется live через TS.Finance.irr_matrix(discount_range, horizon_range, data) на лету; либо pre-computed в deck_data_v1.2.0.json → sensitivity.irr_matrix. Якорь: base-scenario IRR 24.75 % — помечается рамкой в ячейке (15 %, 5 лет).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hover → точное значение IRR + ROI-кратник; click на клетке → drill-down с предположениями этого сценария.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2.2.4. Chart-4: Pipeline Gantt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диаграмма Ганта. Ось X: временная шкала (кварталы 2026 Q1 → 2030 Q4). Ось Y: 7 проектов (5 фильмов + 2 сериала). Каждый проект — 4 стадии (Pre-Production / Production / Post-Production / Release). Цветовая кодировка стадий: серый / синий / фиолетовый / зелёный.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deck_data_v1.2.0.json → pipeline.projects[].stages. Метки проектов — I18N ключи (ui.project.p1.name … p7.name).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hover → дата начала/конца стадии, бюджет; click → drill-down с полной карточкой проекта.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2.2.5. Chart-5: Cash Flow by Year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композитный bar + line. Bars: инвестиции (отрицательные) и поступления (положительные) по годам 2025–2030. Line: кумулятивный cash flow. Точка окупаемости (cross-zero) — выделенный маркер с подписью.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cashflow.yearly[scenario] из deck_data. Цвета: инвестиции — оранжевый, поступления — зелёный, линия — тёмно-синий.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hover → детализация по статьям; переключатель сценария.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2.2.6. Chart-6: MC Distribution IRR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histogram + overlay percentile markers. Ось X: IRR, %. Ось Y: частота сценариев. 10 000 Monte-Carlo симуляций. Вертикальные линии: P10, P25, P50 (median 24.75 %), P75, P90.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mc.irr_distribution из deck_data (pre-computed бины). Цвет распределения — градиент от красного (низкие IRR) к зелёному (высокие). Зона &lt; 0 % — отдельным оттенком.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hover → частота и кумулятивная вероятность; toggle показа линий P10/P25/P50/P75/P90.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2.2.7. Chart-7: Peer Comps (Публичные аналоги)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bubble chart или parallel bars. Категории: EV/EBITDA, EV/Revenue, IRR benchmark, MOIC. Для каждого мультипликатора — 4–6 peer-companies (российские и международные кино/медиа холдинги) + наша компания выделенным цветом.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peers.comparables[] из deck_data или Appendix D (xlsx → json extract). Подписи компаний — короткие labels (ui.peers.&lt;code&gt;.name).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Интерактив: hover на компании → карточка с тикером, рыночной кап., последним отчётом. Toggle включения/выключения конкретного peer.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2.3. Live-controls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2.3.1. Scenario switcher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Тип: сегментированный контрол (3 кнопки: Base / Bull / Bear). Горизонтально, фиксируется в правом верхнем углу каждого слайда с графиком (sticky). Состояние сохраняется в URL (#scenario=base|bull|bear) и в sessionStorage.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переключении — все графики пересчитываются и плавно ре-рендерятся (анимация 300 ms, уважая prefers-reduced-motion). Локализация: ui.scenario.base, ui.scenario.bull, ui.scenario.bear.</w:t>
      </w:r>
    </w:p>
    <w:p>
      <w:pPr>
        <w:pStyle w:val="Heading3"/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2.3.2. Sliders (3 параметра)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слайдера: (1) Discount rate, 10–25 %, шаг 0,5 %; (2) Horizon, 3–10 лет, шаг 1; (3) MC stress level, 0–100 %, шаг 5 (0 = базовый прогноз, 100 = максимальный стресс).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Размещение: collapsible-панель «Параметры» в правой части слайдов с графиками. По умолчанию свёрнута. При раскрытии — изменения применяются сразу (debounced 16 ms через rAF). Состояние — в URL (#rate=15&amp;horizon=5&amp;stress=0) + sessionStorage.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Зависимости: Chart-3 (IRR sensitivity) — рамка-якорь следует за (rate, horizon). Chart-6 (MC distribution) — сдвигает распределение на stress-level. Chart-1, Chart-2, Chart-5 — не зависят от sliders (показывают фиксированный сценарий).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2.4. Drill-down Modal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Вызов: click на любой интерактивный элемент графика (бар, клетка heatmap, точка, полоса Ганта).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Содержимое: (а) заголовок — имя проекта/года/параметра; (б) метрик-grid (Revenue, EBITDA, IRR, NDP, бюджет); (в) описание (из deck_data → project.description или синтетическое); (г) ссылки «Смотреть в Cash Flow», «Смотреть в Pipeline» (внутренняя навигация). Focus-trap + ESC-close (унаследовано от TS.Components.Modal из Phase 2A).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Локализация: все ключи в формате ui.drilldown.&lt;chart&gt;.&lt;field&gt;. Всего ожидается ~30 новых ключей RU/EN.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3. Команда субагентов Claude Code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— по аналогии с Phase 2A (4 субагента) и Deck v1.1.2 (30 субагентов). Phase 2B — промежуточный объём, предлагается 8 субагентов: 2 инфраструктурных + 7 графических + 1 контролов + 1 drill-down + 1 QA. Итого 12. Координируются через общий CLAUDE.md в ветке claude/deck-v1.2.0-phase2b.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50"/>
      </w:tblGrid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Имя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Ответственность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Budget &amp; Build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BUDGET=650000 в build_html.py, обновление комментариев и commit-msg. Проверка пересборки.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TS.Charts Core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src/charts.js — общая обёртка: canvas+SVG render helpers, tooltip, axis, легенды. Без внешних библиотек.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Chart-1 Revenue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src/charts/revenue.js + i18n ключи + тесты.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Chart-2 EBITDA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src/charts/ebitda.js + год-переключатель + тесты.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S44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Chart-3 IRR Heat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src/charts/irr_sensitivity.js + связь с sliders + якорь-ячейка.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S45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Chart-4 Pipeline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src/charts/pipeline_gantt.js + проекты I18N.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S46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Chart-5 CashFlow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src/charts/cashflow.js + bar+line + точка окупаемости.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S47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Chart-6 MC Dist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src/charts/mc_distribution.js + percentile markers + stress-level интеграция.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Chart-7 Peers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src/charts/peers.js + peer toggle + данные из peers.comparables.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S49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Live-Controls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src/controls.js — scenario switcher + 3 sliders, URL+session state, debounced updates.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S50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Drill-Down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src/drilldown.js + расширение TS.Components.Modal + ~30 новых i18n ключей.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S51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QA &amp; Build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Тесты графиков (7), e2e-симуляция live-controls, финальный build, проверка бюджета ≤ 650КБ.</w:t>
            </w:r>
          </w:p>
        </w:tc>
      </w:tr>
    </w:tbl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3.1. Контракты между субагентами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S41 (TS.Charts Core) определяет интерфейс, который используют S42–S48: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src/charts.js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TS.Charts = {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createCanvas(container, width, height) -&gt; {canvas, ctx},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axisX(ctx, domain, opts), axisY(ctx, domain, opts),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tooltip(el, content), legend(container, items),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palette: {base, bull, bear, positive, negative, neutral},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formatValue(v, type), i18nLabel(key, params)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S49 (Live-Controls) публикует события через TS.emit: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TS.emit('scenario:changed', 'base'|'bull'|'bear');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TS.emit('param:changed', {rate, horizon, stress});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Chart-subagent (S42–S48) подписывается на релевантные события через TS.on и перерисовывает себя.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S50 (Drill-Down) публикует: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TS.emit('drilldown:open', {chart, payload});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 использует TS.Components.Modal из Phase 2A.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4. Бюджет по модулям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Предварительная оценка размеров (байт, после минификации):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3850"/>
      </w:tblGrid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Бюджет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Комментарий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Текущий HTML Phase 2A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244 651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Baseline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src/charts.js (TS.Charts Core)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+15 000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canvas helpers, tooltip, axis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 × chart-module (~8-12КБ)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+70 000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модулю на график, средний 10КБ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src/controls.js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+10 000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Scenario + 3 sliders + state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src/drilldown.js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+8 000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Modal extension + content builder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deck_data_v1.2.0.json прирост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+50 000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Monte-Carlo бины, peer data, sensitivity matrix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i18n ~30 drilldown keys × 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+4 000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RU+EN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CSS для графиков и controls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+8 000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Sticky switcher, modal, tooltips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Запас на тесты и разметку слайдов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+25 000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HTML-контейнеры + data-attrs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(цель)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434 651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67 % от лимита 650КБ</w:t>
            </w:r>
          </w:p>
        </w:tc>
      </w:tr>
      <w:t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Подушка на непредвиденное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215 349</w:t>
            </w:r>
          </w:p>
        </w:tc>
        <w:tc>
          <w:tcPr>
            <w:tcW w:type="dxa" w:w="3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33 % запас (Phase 2C/2D)</w:t>
            </w:r>
          </w:p>
        </w:tc>
      </w:tr>
    </w:tbl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по итогам Phase 2B размер превысит 650 000 байт, применяется escalation: (а) S51 даёт отчёт о распределении веса по модулям; (б) обсуждается с пользователем: дополнительное повышение лимита или lazy-loading тяжёлых графиков (Pipeline Gantt и MC Distribution — кандидаты № 1 и № 2).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5. Тест-план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5.1. Unit-тесты (обязательно)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графика (S42–S48) — минимум 5 тестов: (1) рендер с base-scenario; (2) рендер с bull-scenario; (3) рендер с bear-scenario; (4) реакция на изменение sliders (там, где релевантно); (5) a11y — наличие role="img" и aria-labelledby. Общий прирост тестов: 7 × 5 = 35 новых + существующие 35 Phase 2A = 70. Все на jsdom + custom assert().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5.2. Интеграционные сценарии (S51)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Пять e2e-сценариев: (1) переключение сценария base→bull→bear; (2) изменение slider discount_rate от 10 % до 25 %; (3) click на баре Revenue → открытие drill-down Modal → ESC закрытие; (4) URL-копирование с параметрами и восстановление состояния; (5) переключение RU ↔ EN в середине взаимодействия.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5.3. Бюджет и регрессия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S51 проверяет: (а) размер файла ≤ 650 000 байт; (б) все 35 тестов Phase 2A проходят без изменений; (в) нет новых eval / new Function / localStorage; (г) нет изменений в i18n ключах Phase 2A (только добавления).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6. Верификация Phase 2B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Уровень: П5 «Максимум» 32/32 (согласовано пользователем). Применяется после S51 финальной сборки. Основная нагрузка на: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№3, №4, №20, №23 (числовые) — сверка цифр на графиках с deck_data, проверка границ слайдеров, двойной расчёт IRR.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№25, №26 (документные) — защита от регрессии Phase 2A, проверка дрейфа смысла при переключении сценариев.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№29 (кросс-модальность) — visual ↔ aria-live ↔ drill-down Modal содержимое.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№30 (стресс-тест) — производительность на всех 7 графиках одновременно, реакция на быстрые переключения sliders.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Итоговый отчёт — в формате Phase 2A (docx с татаблицей 30/2/0 или близко), сохранение в workspace.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7. Таймлайн и критический путь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50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 апр (Сб)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День 1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S40 budget, S41 TS.Charts Core, S42 Revenue, S43 EBITDA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 апр (Вс)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День 2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S44 IRR Heat, S45 Pipeline Gantt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 апр (Пн)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День 3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S46 CashFlow, S47 MC Distribution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 апр (Вт)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День 4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S48 Peers, S49 Live-Controls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 апр (Ср)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День 4.5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S50 Drill-Down, S51 QA, финальная сборка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24 апр (Чт)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Верификация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П5 32/32, docx-отчёт, commit+push+tag v1.2.0-phase2b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25-26 апр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Phase 2C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QA-линт 25 слайдов + стилевая унификация + Phase 2D старт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27-28 апр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Phase 2D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EN-перевод 261 ключа (закрытие жёлтого №26)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29 апр (Чт)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LP-встреча</w:t>
            </w:r>
          </w:p>
        </w:tc>
        <w:tc>
          <w:tcPr>
            <w:tcW w:type="dxa" w:w="4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Финальная дека готова, все жёлтые закрыты</w:t>
            </w:r>
          </w:p>
        </w:tc>
      </w:tr>
    </w:tbl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Критический путь: S41 (TS.Charts Core) блокирует S42–S48. Параллелизация возможна только после того, как S41 закрыл контракт интерфейса. Рекомендация — в CC запустить S41 первым, дождаться коммита, потом параллельно S42–S48 в 7 окнах субагентов.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8. Workflow в Claude Code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8.1. Ветка и коммиты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claude/deck-v1.2.0-phase2b origin/main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ИЛИ, если Phase 2A уже в main: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claude/deck-v1.2.0-phase2b af54bc1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субагент делает отдельный коммит с префиксом кода: «S40: raise bundle budget», «S41: add TS.Charts core», «S42: implement Revenue waterfall» и т.д. В конце S51 делает финальный коммит «phase2b: final bundle + QA pass».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8.2. SSH push через sandbox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уже настроенный ключ ~/.git-ssh/id_ed25519. Workflow: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GIT_SSH_COMMAND="ssh -i ~/.git-ssh/id_ed25519 -o IdentitiesOnly=yes" \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git push -u origin claude/deck-v1.2.0-phase2b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8.3. Handoff для Claude Code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Скопировать в Claude Code следующий промт: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Phase 2B — ТрендСтудио LP Investor Deck v1.2.0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Read handoff spec: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/sessions/bold-magical-gauss/mnt/Холдинг/Phase2B_Handoff_v1.0.docx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Team: 12 subagents (S40-S51), see section 3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Budget: 650KB (section 4), Timeline: 4.5 days (section 7)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Verification: P5 32/32 after S51 (section 6)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Start with S40+S41 (infra), then parallel S42-S48 (charts),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then S49-S50 (controls+drilldown), finally S51 (QA+build).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Branch: claude/deck-v1.2.0-phase2b from af54bc1</w:t>
      </w:r>
    </w:p>
    <w:p>
      <w:pPr>
        <w:shd w:fill="F5F5F5" w:color="auto" w:val="clear"/>
        <w:spacing w:after="8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Commits: prefixed with subagent code (e.g., 'S42: ...')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9. Риски и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5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Вер×Имп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Превышение бюджета 650КБ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Средн×Средн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S51 ежедневный budget-check, lazy-load Pipeline+MC если нужно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Несогласованные интерфейсы S41 ↔ S42-S48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Низк×Выс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S41 делает первым, публикует контракт, остальные стартуют после его коммита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Производительность при 7 графиках одновременно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Средн×Средн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Ленивый рендер «только на видимом слайде», очистка canvas при уходе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Конфликт URL-параметров между scenario и sliders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Низк×Низк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Единая схема в S49, тесты интеграции URL-state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Data-gaps в deck_data (peers/MC)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Средн×Средн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Предварительный аудит deck_data перед S47/S48, fallback на synthetic data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Дедлайн 23 апреля срывается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Низк×Выс</w:t>
            </w:r>
          </w:p>
        </w:tc>
        <w:tc>
          <w:tcPr>
            <w:tcW w:type="dxa" w:w="5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срыве &gt;1 дня — cut peers (Chart-7) до версии 2C, сохраняя 6 графиков</w:t>
            </w:r>
          </w:p>
        </w:tc>
      </w:tr>
    </w:tbl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10. Deliverables Phase 2B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src/charts.js (TS.Charts core) — коммит S41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src/charts/*.js (7 chart modules) — коммиты S42-S48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src/controls.js (scenario switcher + 3 sliders) — коммит S49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src/drilldown.js (Modal extension) — коммит S50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scripts/build_html.py с BUDGET=650000 — коммит S40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i18n/ru.json, i18n/en.json расширенные на ~60 новых ключей (30 drilldown × 2 lang + chart labels)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deck_data_v1.2.0.json обогащённый (pipeline.revenue_by_year, pnl.ebitda_breakdown, sensitivity.irr_matrix, cashflow.yearly, mc.irr_distribution, peers.comparables)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Deck_v1.2.0/TrendStudio_LP_Deck_v1.2.0_Interactive.html — пересобранный, ≤ 650 000 байт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Тесты: +35 новых unit + 5 integration (в /tmp/run-tests.js или src/*.test.js)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P5_Phase2B_Verification_Report_v1.0.docx в workspace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Git tag v1.2.0-phase2b на финальном коммите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всех deliverables Phase 2B закрыта. Переход к Phase 2C (QA-линт) и Phase 2D (EN-перевод 261 стаба) — параллельно с 25 апреля.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Handoff Phase 2B — TrendStudio LP Deck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left"/>
      <w:outlineLvl w:val="0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jc w:val="left"/>
      <w:outlineLvl w:val="1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160"/>
      <w:jc w:val="left"/>
      <w:outlineLvl w:val="2"/>
    </w:pPr>
    <w:rPr>
      <w:rFonts w:ascii="Times New Roman" w:cs="Times New Roman" w:eastAsia="Times New Roman" w:hAnsi="Times New Roman"/>
      <w:b/>
      <w:bCs/>
      <w:color w:val="0070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2026-04-16T07:14:24.637Z</dcterms:created>
  <dcterms:modified xsi:type="dcterms:W3CDTF">2026-04-16T07:14:24.637Z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