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70C0"/>
          <w:sz w:val="56"/>
          <w:szCs w:val="56"/>
        </w:rPr>
        <w:t xml:space="preserve">КОМПЛЕКТ СПИКЕРА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444444"/>
          <w:sz w:val="36"/>
          <w:szCs w:val="36"/>
        </w:rPr>
        <w:t xml:space="preserve">для защиты инвестиционного проекта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Холдинг кино «ТрендСтудио»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На основе: investor_model_v1.0_Public.xlsx (v1.0.1, W₃ DEFAULT)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Презентация: Kinoholding_Investor_Deck_v4.pdf (6 слайдов)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888888"/>
          <w:sz w:val="24"/>
          <w:szCs w:val="24"/>
        </w:rPr>
        <w:t xml:space="preserve">Апрель 2026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РАЗДЕЛ 1. КАРТОЧКИ СПИКЕРА (6 СЛАЙДОВ)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Каждая карточка — на отдельной странице. Цифры — ТОЛЬКО из финмодели. Расхождения с деком помечены ⚠.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1 — ТИТУЛЬНЫЙ СЛАЙД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Слайд 1: ТрендСтудио Холдинг — Контентная фабрика нового поколения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Ключевое сообщение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ТрендСтудио — это институциональный кинохолдинг с проверенной финмоделью и готовым пайплайном на 12 премиальных фильмов.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говорить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1. Представьтесь, назовите компанию и одну цифру-якорь: «три миллиарда рублей чистых распределяемых поступлений за горизонт проекта».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2. Обозначьте суть: кинопроизводство + институциональная структура фонда.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3. Покажите масштаб: «12 фильмов, 4 545 млн рублей выручки за 3 года».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Цифры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NDP = 3 000 млн ₽ [09_P&amp;L bridge]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Revenue 3Y = 4 545 млн ₽ [07_Revenue_Breakdown]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12 фильмов, avg бюджет 154 млн ₽ [08_Content_Pipeline]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⚠ Расхождения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color w:val="CC0000"/>
                <w:sz w:val="32"/>
                <w:szCs w:val="32"/>
              </w:rPr>
              <w:t xml:space="preserve">В деке: «Выручка 2025: 300 млн+», «CAGR 115,44%», «EBITDA 2028: 3 млрд ₽», «Аудитория 100 млн+»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color w:val="CC0000"/>
                <w:sz w:val="32"/>
                <w:szCs w:val="32"/>
              </w:rPr>
              <w:t xml:space="preserve">В модели: Revenue 2026 = 385 млн ₽, CAGR 155%, EBITDA 3Y = 2 167 млн ₽. Говорить цифры из модели.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Мостик →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«Почему именно сейчас? Потому что рынок открыл окно возможностей. Давайте посмотрим на цифры.»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Возможные вопросы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Что такое NDP? О: Чистые распределяемые поступления — внутренний якорь холдинга, показывающий реальную сумму к распределению между участниками.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Почему не чистая прибыль? О: NDP точнее отражает cash-генерацию, т.к. исключает бумажные статьи.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Тайминг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30–45 секунд</w:t>
            </w:r>
          </w:p>
        </w:tc>
      </w:tr>
    </w:tbl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2 — РЫНОК И ПОЗИЦИОНИРОВАНИЕ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Слайд 2: Российский рынок контента: окно возможностей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Ключевое сообщение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Уход западных мейджоров создал дефицит контента — мы занимаем менее 2% рынка, что означает минимальный рыночный риск и огромный потенциал роста.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говорить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1. Факт: «После ухода западных студий российский рынок потерял 40% контента — и это окно до сих пор открыто».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2. TAM/SOM: «Наш SOM — 4,5 миллиарда из TAM почти 290 миллиардов. Это меньше двух процентов рынка — мы защищены от рыночного риска».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3. Тренд: «Стриминговые платформы наращивают бюджеты на original content: OTT растёт на 22% в год».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4. Господдержка: «Полное соответствие нацпроектам — господдержка около миллиарда рублей».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Цифры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TAM = 289.8 млрд ₽ [30_Market_Analysis]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SOM = 4 545 млн ₽ (доля &lt;2%) [36_Executive_Summary]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Господдержка ~1 040 млн ₽ [36_Executive_Summary]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Мостик →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«Рынок есть. Теперь — как мы на нём зарабатываем. Давайте посмотрим на финансовые показатели.»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Возможные вопросы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Не вернутся ли западные студии? О: Даже при частичном возврате — дефицит сохранится. Наш контент ориентирован на российского зрителя, что даёт устойчивое конкурентное преимущество.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Откуда цифра господдержки? О: Гранты ФКП + налоговые льготы (НДС 0% по ст. 149 НК РФ). Детали — лист 33_Gov_KPI модели.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Тайминг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1–1,5 минуты</w:t>
            </w:r>
          </w:p>
        </w:tc>
      </w:tr>
    </w:tbl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3 — ФИНАНСОВЫЕ ПОКАЗАТЕЛИ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Слайд 3: От 300 млн к 3 млрд ₽ за 3 года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Ключевое сообщение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Выручка 4,5 миллиарда, EBITDA-маржа 47%, чистая прибыль 1,7 миллиарда — при полном возврате долга и нулевой долговой нагрузке к 2028.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говорить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1. Динамика: «Выручка с 385 миллионов в 2026-м до почти двух с половиной миллиардов в 2028-м — рост более чем в шесть раз».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2. Маржинальность: «EBITDA-маржа 47 процентов — это уровень топовых медиакомпаний мира».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3. Чистая прибыль: «Почти 1,7 миллиарда рублей за три года после всех налогов. Эффективная ставка — около 13 процентов благодаря льготам».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4. Долг: «К концу 2028 года долговая нагрузка — ноль. Net Debt/EBITDA = 0».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Цифры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Revenue: 385 / 1 665 / 2 495 = Σ 4 545 млн ₽ [07_Revenue]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EBITDA: 58 / 988 / 1 121 = Σ 2 167 млн ₽, маржа 47.7% [09_P&amp;L]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Net Profit 3Y = 1 698 млн ₽ [09_P&amp;L]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Net Debt/EBITDA 2028 = 0.00× [21_KPI]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Эфф. налоговая ставка 12.9% [34_Tax]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⚠ Расхождения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color w:val="CC0000"/>
                <w:sz w:val="32"/>
                <w:szCs w:val="32"/>
              </w:rPr>
              <w:t xml:space="preserve">В деке: «EBITDA 2028: 3 млрд ₽», «Net margin 67%», «Чистая прибыль 2028: 2 млрд ₽»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color w:val="CC0000"/>
                <w:sz w:val="32"/>
                <w:szCs w:val="32"/>
              </w:rPr>
              <w:t xml:space="preserve">В модели: EBITDA 3Y = 2 167 млн ₽, Net margin 37.4%, NP 3Y = 1 698 млн ₽. Говорить цифры из модели.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Мостик →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«За этими цифрами стоит конкретный контент-пайплайн. Давайте посмотрим, как устроена экономика каждого направления.»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Возможные вопросы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Почему маржа падает с 59% в 2027 до 45% в 2028? О: В 2027 — пиковый выпуск хитов с максимальной маржой. 2028 — масштабирование с 6 релизами, рост P&amp;A. Средняя за 3 года — 47%.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DSCR? О: Минимальный DSCR = 33× в 2026, максимальный 292× в 2028. Долговая нагрузка минимальна.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Тайминг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 минуты</w:t>
            </w:r>
          </w:p>
        </w:tc>
      </w:tr>
    </w:tbl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4 — ЭКОНОМИКА НАПРАВЛЕНИЙ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Слайд 4: Юнит-экономика и ключевые драйверы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Ключевое сообщение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 фильмов с ROI портфеля 58% — каждый рубль бюджета возвращает 2,6 рубля выручки при 100%-ном success rate в базовом сценарии.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говорить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1. Пайплайн: «12 премиальных фильмов, средний бюджет — 154 миллиона рублей. Это не артхаус — это массовое кино с прогнозируемой кассой».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2. Юнит-экономика: «На каждый рубль, вложенный в производство, мы получаем 2,6 рубля выручки. ROI портфеля — 58 процентов».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3. Диверсификация выручки: «Бокс-офис — лишь 38 процентов. SVOD — 28%, ТВ — 15%, digital — 12%, международные продажи — 7%».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4. Риск-менеджмент: «Высокорисковые проекты — только 22% бюджета. Основа — проверенные жанры».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Цифры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12 фильмов, Production Budget = 1 747 млн ₽ [08_Content_Pipeline]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Avg budget = 154 млн ₽ [21_KPI]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ROI портфеля = 57.9% [21_KPI]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Revenue shares: BO 38%, SVOD 28%, TV 15%, Digital 12%, Intl 7%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Высокорисковые = 22.2% бюджета [21_KPI]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Мостик →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«Теперь главное — как эти деньги возвращаются к вам. Перейдём к инвестиционной структуре.»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Возможные вопросы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Что если фильм провалится? О: Даже в Bear-сценарии (0.6× от базы) портфель возвращает вложения. MC-моделирование с hit rate p=0.70 показывает: вероятность убытка — 5.5%.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Как распределена выручка по годам? О: Frontloaded: 78% дохода приходится на первые два года монетизации (A+C pattern 33/45/9/13).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Тайминг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 минуты</w:t>
            </w:r>
          </w:p>
        </w:tc>
      </w:tr>
    </w:tbl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5 — ИНВЕСТИЦИОННОЕ ПРЕДЛОЖЕНИЕ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Слайд 5: Раунд, доходность, структура возврата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Ключевое сообщение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Инвестиция 1,25 миллиарда рублей с IRR 20% и MOIC 2.0× при waterfall-структуре с ликвидационной привилегией — инвестор получает деньги первым.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говорить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1. Структура: «Инвестиция — 1,25 миллиарда рублей четырьмя траншами. Плюс 600 миллионов собственного капитала продюсеров — skin in the game».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2. Waterfall: «Структура W₃: сначала возврат тела — ликвидационная привилегия один к одному. Затем купон 8%. Затем — распределение прибыли 60/40 в пользу инвестора».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3. Доходность: «IRR двадцать процентов, MOIC два-икс. На каждый вложенный рубль — два рубля назад. Окупаемость — чуть больше трёх лет».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4. Bear-framing: «Мы открыто показываем худший сценарий: IRR 9,3%. Даже в нём — MOIC 1,4×. Инвестор не теряет деньги ни в одном сценарии».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Цифры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T₁ = 1 250 млн ₽ (транши: 250/350/350/300) [14_Investment_Inflow]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Producer Equity = 600 млн ₽ (off-P&amp;L JV) [17_Deal_Structures]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IRR Base W₃ = 20.09% (hurdle 18% +2.09pp) [24_Investor_Returns]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MOIC = 2.0× | Payback = 3.23 года [24_Investor_Returns]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Bear IRR W₃ = 9.34%, Bear MOIC = 1.42× [24_Investor_Returns]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LP Total Recovery Base = 2 500 млн ₽ [24_Investor_Returns]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MC: mean IRR 11.44%, P(&gt;hurdle) = 13.6%, P(loss) = 5.5% [28_MC]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⚠ Расхождения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color w:val="CC0000"/>
                <w:sz w:val="32"/>
                <w:szCs w:val="32"/>
              </w:rPr>
              <w:t xml:space="preserve">В деке: «IRR ~105%», «Money Multiple 8.6×», «Доля 51%», «Valuation 21 млрд ₽»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color w:val="CC0000"/>
                <w:sz w:val="32"/>
                <w:szCs w:val="32"/>
              </w:rPr>
              <w:t xml:space="preserve">В модели: IRR 20.09%, MOIC 2.0×, EV prob-weighted = 6 038 млн ₽. Говорить ТОЛЬКО цифры из модели.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Мостик →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«Любая модель — это гипотеза. Давайте покажу, как мы её стресс-тестируем и какие риски учитываем.»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Возможные вопросы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Почему MC mean IRR (11.4%) ниже Base (20%)? О: Monte Carlo моделирует 5000 вариантов будущего с 5 стохастическими переменными. Асимметрия: несколько хвостовых сценариев тянут среднее вниз, но медиана — 12%, а P75 — почти 16%.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P(&gt;hurdle) всего 13.6% — это мало? О: Hurdle 18% — агрессивный порог. P(&gt;12%) = 50%, P(&gt;8%) = 75%. Это характеристика структуры waterfall и frontloaded pattern, а не слабость проекта.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Тайминг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1,5–2 минуты</w:t>
            </w:r>
          </w:p>
        </w:tc>
      </w:tr>
    </w:tbl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6 — КОМАНДА И MILESTONES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Слайд 6: Команда, которая уже делает + дорожная карта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Ключевое сообщение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 моделью стоит команда с 15-летним track record в кинопроизводстве и чёткий roadmap от breakeven в Q4 2026 до полного возврата инвестиций в 2029–2030.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говорить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1. Команда: «CEO с 15-летним опытом и 8 полнометражными фильмами. CFO из Big4 с опытом M&amp;A в медиа-секторе».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2. Roadmap: «Q2 2026 — запуск первых проектов. Q4 2026 — breakeven. 2029–2030 — основной возврат инвестиций. Это не стартап-мечта, а расписание с конкретными вехами».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3. Call-to-action: «Мы готовы обсудить партнёрство. Все материалы — финмодель с 42 листами, Monte Carlo на 5 000 симуляций, полный investor package — у вас на руках».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Цифры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Breakeven: Q4 2026 [35_Roadmap]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T₁ drawn: Q1-Q4 2026 (250/350/350/300) [14_Investment_Inflow]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Principal return: 2029–2030 (A+C frontload 78%) [24_Investor_Returns]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Weighted Exit EV = 6 038 млн ₽ [25_Exit_Scenarios]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Мостик →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«Спасибо за внимание. Готов ответить на ваши вопросы.»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Возможные вопросы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Какой exit plan? О: 7 маршрутов: strategic sale, IPO, secondary, ESOP, buyback, mgmt buyout, open market. Probability-weighted EV = 6 038 млн ₽.</w:t>
            </w:r>
          </w:p>
          <w:p>
            <w:pPr>
              <w:spacing w:after="160" w:line="276"/>
              <w:ind/>
              <w:jc w:val="both"/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В: Что будет после 2028? О: Going-concern модель до 2032: хвостовая выручка 1 050 млн ₽, EBITDA хвоста 850 млн ₽. Библиотека монетизируется 20+ лет.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Тайминг</w:t>
            </w:r>
          </w:p>
        </w:tc>
        <w:tc>
          <w:tcPr>
            <w:tcW w:type="dxa" w:w="6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минута + call-to-action 30 секунд</w:t>
            </w:r>
          </w:p>
        </w:tc>
      </w:tr>
    </w:tbl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РАЗДЕЛ 2. ПОЛНЫЙ ТЕКСТ ПИТЧА (7–10 МИНУТ)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Инструкция: текст читать как живую речь. Метки [ПАУЗА] — остановка 2–3 сек. [АКЦЕНТ] — повысить интонацию. [СЛАЙД N] — переключить слайд.</w:t>
      </w:r>
    </w:p>
    <w:p/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[СЛАЙД 1] Открытие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 [СЛАЙД 1]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Добрый день, коллеги. Меня зовут [ИМЯ], я представляю кинохолдинг ТрендСтудио.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Позвольте начать с одной цифры. </w:t>
      </w: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 миллиарда рублей.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NDP = 3 000 млн 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сумма, которую наш холдинг генерирует к распределению за горизонт проекта. Не прогноз, не мечта — это результат финансовой модели с 42 листами расчётов и пятью тысячами симуляций Монте-Карло.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следующие семь минут я покажу вам, как мы к этой цифре приходим — и почему ваше участие в этом проекте имеет смысл. </w:t>
      </w: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[СЛАЙД 2] Рынок и возможность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 [СЛАЙД 2]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Российский рынок контента — это почти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290 миллиардов рублей.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TAM = 289.8 млрд 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После ухода западных мейджоров рынок потерял около 40 процентов контента. Это не кризис — это окно возможностей.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C0000"/>
          <w:sz w:val="28"/>
          <w:szCs w:val="28"/>
        </w:rPr>
        <w:t xml:space="preserve"> 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Наша доля рынка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менее двух процентов.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SOM 4 545 из TAM 289 800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значит: нам не нужно отвоёвывать долю у конкурентов. Мы заполняем вакуум.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этом стриминговые платформы наращивают бюджеты на оригинальный контент — OTT растёт на 22 процента в год. А государство поддерживает отрасль: нацпроекты, гранты ФКП, льготы по НДС — в сумме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около миллиарда рублей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~1 040 млн 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господдержки для нашего пайплайна.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[СЛАЙД 3] Финансовые показатели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 [СЛАЙД 3]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Теперь — цифры. </w:t>
      </w: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Выручка за три года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четыре с половиной миллиарда рублей.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Revenue 3Y = 4 545 млн 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Динамика: 385 миллионов в первый год, один шестьсот шестьдесят пять во второй, два четыреста девяносто пять в третий.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EBITDA за три года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более двух миллиардов рублей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EBITDA 3Y = 2 167 млн 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маржой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47 процентов.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уровень лучших медиакомпаний мира.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Чистая прибыль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почти 1,7 миллиарда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Net Profit 3Y = 1 698 млн 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после всех налогов. Эффективная ставка — около 13 процентов благодаря льготе по НДС.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C0000"/>
          <w:sz w:val="28"/>
          <w:szCs w:val="28"/>
        </w:rPr>
        <w:t xml:space="preserve"> 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главное: к концу 2028 года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нулевая долговая нагрузка.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Net Debt к EBITDA — ноль.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Net Debt/EBITDA = 0.00×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[СЛАЙД 4] Контент-пайплайн и юнит-экономика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 [СЛАЙД 4]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 этими цифрами стоит конкретный пайплайн: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 премиальных фильмов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Production Budget = 1 747 млн 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 средним бюджетом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154 миллиона рублей.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не артхаус — это массовое кино с прогнозируемой кассой.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Юнит-экономика: на каждый рубль бюджета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2,6 рубля выручки.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ROI портфеля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58 процентов.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ROI = 57.9%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Важно: бокс-офис — это лишь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38 процентов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нашей выручки. Остальное — SVOD, телеправа, digital, международные продажи. Пять каналов монетизации на каждый фильм. Если зритель не пришёл в кино — он посмотрит на платформе.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[СЛАЙД 5] Инвестиционная структура и доходность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 [СЛАЙД 5]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Переходим к главному — как это работает для вас. </w:t>
      </w: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Инвестиция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один миллиард двести пятьдесят миллионов рублей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T₁ = 1 250 млн 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четырьмя траншами в течение 2026 года. Продюсеры вкладывают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600 миллионов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собственного капитала. Skin in the game.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возврата — waterfall с ликвидационной привилегией: </w:t>
      </w:r>
      <w:r>
        <w:rPr>
          <w:rFonts w:ascii="Times New Roman" w:cs="Times New Roman" w:eastAsia="Times New Roman" w:hAnsi="Times New Roman"/>
          <w:b/>
          <w:bCs/>
          <w:color w:val="CC0000"/>
          <w:sz w:val="28"/>
          <w:szCs w:val="28"/>
        </w:rPr>
        <w:t xml:space="preserve"> 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сначала вы получаете свои деньги назад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один к одному. Затем купон 8 процентов. Затем — распределение прибыли 60 на 40 в вашу пользу.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 в базовом сценарии: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IRR двадцать процентов, MOIC — два-икс.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IRR = 20.09%, MOIC = 2.0×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каждый вложенный рубль — два рубля назад. Окупаемость — три с небольшим года.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Payback = 3.23 года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— про риски, потому что зрелый проект не прячет свои слабые места. </w:t>
      </w: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Риски и стресс-тест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прогнали модель через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пять тысяч симуляций Монте-Карло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N=5 000, seed=42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пятью стохастическими переменными: выручка, маржа, перерасход CAPEX, мультипликатор выхода, hit rate.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C0000"/>
          <w:sz w:val="28"/>
          <w:szCs w:val="28"/>
        </w:rPr>
        <w:t xml:space="preserve"> 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пессимистичном сценарии IRR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девять с третью процентов,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 MOIC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1,4 икс.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Bear IRR = 9.34%, MOIC = 1.42×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Да, это ниже hurdle. Но инвестор возвращает вложения с прибылью даже в худшем случае.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Вероятность полного убытка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пять с половиной процентов.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_(P(loss) = 5.5%)_ Вероятность доходности выше 8 процентов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75 процентов.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_(P(&gt;8%) = 74.9%)_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Компании, которые не показывают Bear scenario, — прячут риски.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Мы показываем.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[СЛАЙД 6] Команда и следующие шаги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 [СЛАЙД 6]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 этой моделью стоит команда с 15-летним опытом в кинопроизводстве. 8 полнометражных фильмов. CFO из Big Four с опытом M&amp;A в медиа.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Roadmap чёткий: запуск проектов — Q2 2026. Breakeven — Q4 2026. Основной возврат инвестиций — 2029–2030.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CC0000"/>
          <w:sz w:val="28"/>
          <w:szCs w:val="28"/>
        </w:rPr>
        <w:t xml:space="preserve"> 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Мы готовы обсудить партнёрство.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вас на руках полный investor package: финмодель с 42 листами, Monte Carlo, sensitivity analysis, 7 маршрутов выхода. Всё прозрачно.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Спасибо за внимание. Готов ответить на ваши вопросы.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РАЗДЕЛ 3. ELEVATOR PITCH (2 МИНУТЫ)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Инструкция: не более 300 слов. Для коридорных встреч, нетворкинга, первого контакта.</w:t>
      </w:r>
    </w:p>
    <w:p/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Знаете, сколько контента потерял российский рынок после ухода западных студий? </w:t>
      </w: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Сорок процентов. А знаете, кто его заменяет? Пока — почти никто.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— ТрендСтудио. Кинохолдинг с институциональной финансовой моделью и готовым пайплайном из 12 премиальных фильмов. Не стартап, не студия-однодневка — полноценная контентная фабрика с прогнозируемой экономикой.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цифры, которые стоит запомнить: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C0000"/>
          <w:sz w:val="28"/>
          <w:szCs w:val="28"/>
        </w:rPr>
        <w:t xml:space="preserve"> 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Инвестиция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один двести пятьдесят.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двадцать процентов.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два-икс.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T₁ = 1 250 млн ₽, IRR = 20.09%, MOIC = 2.0×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Наш козырь — не один блокбастер, а портфель. 12 фильмов, пять каналов монетизации на каждый. Бокс-офис, стриминг, ТВ, digital, международные продажи. Даже если один проект не выстреливает — портфель работает.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прогнали модель через пять тысяч симуляций Монте-Карло. Вероятность убытка — пять с половиной процентов. В 75 случаях из ста инвестор зарабатывает больше 8 процентов годовых.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6600"/>
          <w:sz w:val="28"/>
          <w:szCs w:val="28"/>
        </w:rPr>
        <w:t xml:space="preserve">  [ПАУЗА]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нас полный investor package с 42 листами расчётов. Если вам интересно — давайте обсудим за кофе. Можно прямо сейчас.</w:t>
      </w:r>
    </w:p>
    <w:p/>
    <w:p>
      <w:pPr>
        <w:pBdr>
          <w:top w:val="single" w:color="CCCCCC" w:sz="2" w:space="8"/>
        </w:pBd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20"/>
          <w:szCs w:val="20"/>
        </w:rPr>
        <w:t xml:space="preserve">Материалы носят информационный характер и не являются публичной офертой.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20"/>
          <w:szCs w:val="20"/>
        </w:rPr>
        <w:t xml:space="preserve">Все цифры — из финмодели investor_model_v1.0_Public.xlsx (v1.0.1, W₃ DEFAULT, A+C pattern).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ТрендСтудио — Комплект спикера для защиты инвестпроекта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left"/>
      <w:outlineLvl w:val="0"/>
    </w:pPr>
    <w:rPr>
      <w:rFonts w:ascii="Times New Roman" w:cs="Times New Roman" w:eastAsia="Times New Roman" w:hAnsi="Times New Roman"/>
      <w:b/>
      <w:bCs/>
      <w:color w:val="0070C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280"/>
      <w:jc w:val="left"/>
      <w:outlineLvl w:val="1"/>
    </w:pPr>
    <w:rPr>
      <w:rFonts w:ascii="Times New Roman" w:cs="Times New Roman" w:eastAsia="Times New Roman" w:hAnsi="Times New Roman"/>
      <w:b/>
      <w:bCs/>
      <w:color w:val="0070C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00"/>
      <w:jc w:val="left"/>
      <w:outlineLvl w:val="2"/>
    </w:pPr>
    <w:rPr>
      <w:rFonts w:ascii="Times New Roman" w:cs="Times New Roman" w:eastAsia="Times New Roman" w:hAnsi="Times New Roman"/>
      <w:b/>
      <w:bCs/>
      <w:color w:val="0070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2026-04-13T09:21:46.992Z</dcterms:created>
  <dcterms:modified xsi:type="dcterms:W3CDTF">2026-04-13T09:21:46.992Z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