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color w:val="0070C0"/>
          <w:sz w:val="56"/>
        </w:rPr>
        <w:t>INVESTOR MEMORANDUM</w:t>
      </w:r>
    </w:p>
    <w:p>
      <w:pPr>
        <w:jc w:val="center"/>
      </w:pPr>
      <w:r>
        <w:rPr>
          <w:rFonts w:ascii="Times New Roman" w:hAnsi="Times New Roman"/>
          <w:b/>
          <w:sz w:val="48"/>
        </w:rPr>
        <w:t>ТрендСтудио Kinoholding</w:t>
      </w:r>
    </w:p>
    <w:p>
      <w:pPr>
        <w:jc w:val="center"/>
      </w:pPr>
      <w:r>
        <w:rPr>
          <w:rFonts w:ascii="Times New Roman" w:hAnsi="Times New Roman"/>
          <w:i/>
          <w:color w:val="595959"/>
          <w:sz w:val="32"/>
        </w:rPr>
        <w:t>12 кинопроектов · 2026–2028 · Якорный NDP 3 000 млн ₽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28"/>
        </w:rPr>
        <w:t>Waterfall W₃ (Public) · IRR 20.09% · WACC 19.05% · MoIC 2.0×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/>
          <w:i/>
          <w:color w:val="999999"/>
          <w:sz w:val="22"/>
        </w:rPr>
        <w:t>Версия v1.1.0 · 2026-04 · CONFIDENTIAL — для ограниченного круга LP</w:t>
      </w:r>
    </w:p>
    <w:p>
      <w:r>
        <w:br w:type="page"/>
      </w:r>
    </w:p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44"/>
        </w:rPr>
        <w:t>1. Executive Summary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ТрендСтудио Холдинг ("Холдинг") предлагает ограниченным партнёрам (LP) участие в портфеле из 12 кинопроектов, консолидированных под единой финансовой, производственной и правовой инфраструктурой. Горизонт инвестирования — 2026–2028 гг. (производство и релизы) с хвостовым периодом 2029–2032 гг. (sequel options, международная дистрибуция, TV/OTT лицензирование).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Якорный совокупный NDP (чистые распределяемые поступления) — 3 000 млн ₽ за 2026–2028 гг., подтверждённый в dual-metric режиме: GAAP EBITDA 2 152 млн ₽ + legacy NDP 3 000 млн ₽ с reconciliation bridge в листе 09_P&amp;L_Statement.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b/>
          <w:sz w:val="28"/>
        </w:rPr>
        <w:t>Ключевые метрики возврата для Public W₃ LP: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Источник (лист)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Детерминистический IRR (основная метрика)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20.09%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24_Investor_Returns H22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MoIC (множитель инвестированного капитала)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2.0×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24_Investor_Returns I22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Совокупная выручка 2026–2028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4 545 млн ₽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22_Valuation_DCF (строка Revenue)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Совокупная EBITDA 2026–2028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2 167 млн ₽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02_Assumptions D140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Инвестиционный транш T₁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1 250 млн ₽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02_Assumptions D134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WACC (CAPM build-up)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19.05%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22_Valuation_DCF D12–D16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Monte Carlo Mean IRR (стресс-метрика)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7.24%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Appendix C</w:t>
            </w:r>
          </w:p>
        </w:tc>
      </w:tr>
    </w:tbl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b/>
          <w:sz w:val="28"/>
        </w:rPr>
        <w:t>Методологический комментарий по MC IRR.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Детерминистический IRR 20.09% является основной метрикой ожидаемого возврата. MC Mean IRR 7.24% — стресс-метрика, учитывающая stochastic корректировку timing денежных потоков (front-loaded investments vs. tail-loaded revenue в exit years), blend-adjustment выручки (0.79 + 0.30 × hit_rate, E[blend] = 1.00 при hit_rate = 0.70) и вклад хвостовых сценариев (Worst с вероятностью 10%). LP рекомендуется интерпретировать обе метрики комплементарно: det IRR отражает центральный ожидаемый исход, MC IRR — устойчивость к совокупности стохастических рисков. Полный разбор — Appendix C.</w:t>
      </w:r>
    </w:p>
    <w:p>
      <w:r>
        <w:br w:type="page"/>
      </w:r>
    </w:p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44"/>
        </w:rPr>
        <w:t>2. Investment Thesis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b/>
          <w:sz w:val="28"/>
        </w:rPr>
        <w:t>Тезис 1. Структурное окно российской киноиндустрии 2026–2028.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Уход международных мейджоров (Disney, Warner, Universal) из российского проката создал устойчивый спрос на локальный контент. Доля отечественного кино в национальных сборах выросла с 27% (2021) до 78% (2025); прогноз 2026–2028 — стабилизация на уровне 80–85% при росте совокупных сборов на 12–15% г/г. Источник: Фонд кино, Росстат, Бюллетень кинопроката.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b/>
          <w:sz w:val="28"/>
        </w:rPr>
        <w:t>Тезис 2. Государственная инфраструктура поддержки.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Холдинг встроен в 6 национальных проектов ("Культура", "Семья", "Молодёжь и дети") и квалифицируется на 5 источников господдержки общим объёмом до 1 040 млн ₽ (Указ Президента РФ № 309 от 07.05.2024; Постановление Правительства РФ № 1215 от 20.12.2013). Налоговый режим — льгота НДС 0% на кинопродукцию (ст. 149 НК РФ), эффективная налоговая ставка Холдинга — 12.9%.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b/>
          <w:sz w:val="28"/>
        </w:rPr>
        <w:t>Тезис 3. Диверсификация портфеля и сегментов выручки.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12 проектов структурированы по трём риск-классам: 4 блокбастера (бюджет 200+ млн ₽), 6 мидл-бюджетных (150–180 млн ₽), 2 арт-проекта (80–110 млн ₽). Средний бюджет — 154 млн ₽. Выручка диверсифицирована по 5 сегментам: Box Office 55%, TV/OTT 25%, мерчандайзинг/лицензирование 8%, международный прокат 7%, sequel options 5%. Корреляция сегментов по историческим данным &lt; 0.45, что обеспечивает сглаживание cash flow.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b/>
          <w:sz w:val="28"/>
        </w:rPr>
        <w:t>Тезис 4. Многоуровневая waterfall-структура с защитой LP.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Public W₃ waterfall обеспечивает LP: (1) приоритет возврата капитала (return of capital); (2) preferred return 12% годовых; (3) catch-up GP 20% до hurdle; (4) 80/20 split распределения остатка. Подробно — раздел 6 настоящего меморандума.</w:t>
      </w:r>
    </w:p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44"/>
        </w:rPr>
        <w:t>3. Market Overview (TAM / SAM / SOM)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TAM (Total Addressable Market): российский рынок развлекательного контента — 452 млрд ₽ (2025), CAGR 2025–2030 = 9.4%. Включает кинотеатральный прокат, TV, стриминговые платформы, домашнее видео, игры, мерчандайзинг. Источник: Росстат, РБК, Vogel H. "Entertainment Industry Economics" (10th ed.).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SAM (Serviceable Available Market): сегмент художественного полнометражного кино в РФ — 84 млрд ₽ (2025). Box office 42 млрд ₽ + TV/OTT license fees 28 млрд ₽ + ancillary 14 млрд ₽. CAGR 11.2%. Источник: Фонд кино, Box Office Mojo, Бюллетень кинопроката.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SOM (Serviceable Obtainable Market): реалистично достижимая доля Холдинга — 2.5–3.5% SAM к 2028 г., что соответствует 2.1–2.9 млрд ₽ выручки. Модель консервативно закладывает 2.7%.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b/>
          <w:sz w:val="28"/>
        </w:rPr>
        <w:t>Ключевые KPI национальных проектов: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KPI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Цель 2028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Доля отечественного кино в сборах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≥ 85%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Паспорт НП "Культура"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Количество отечественных релизов/год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≥ 150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Минкультуры РФ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Зрители в кинотеатрах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≥ 220 млн/год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Фонд кино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Международный экспорт контента РФ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≥ 12 млрд ₽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Экспортный центр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Рабочие места в киноиндустрии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≥ 42 тыс.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Росстат</w:t>
            </w:r>
          </w:p>
        </w:tc>
      </w:tr>
    </w:tbl>
    <w:p>
      <w:r>
        <w:br w:type="page"/>
      </w:r>
    </w:p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44"/>
        </w:rPr>
        <w:t>4. Financial Metrics — Deep Dive</w:t>
      </w:r>
    </w:p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36"/>
        </w:rPr>
        <w:t>4.1. Структура дохода (Revenue Breakdown)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Год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Revenue (млн ₽)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EBITDA (млн ₽)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EBITDA margin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Net Profit (млн ₽)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2026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1 136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432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38.0%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305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2027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1 500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734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48.9%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527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2028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1 909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1 001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52.4%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738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ИТОГО 3Y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4 545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2 167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47.7%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1 570</w:t>
            </w:r>
          </w:p>
        </w:tc>
      </w:tr>
    </w:tbl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Ramp-up EBITDA margin обусловлен структурой затрат: высокие pre-production и P&amp;A расходы фронт-загружены на 2026, тогда как выручка хвостовая (TV/OTT окна открываются через 6–9 месяцев после theatrical релиза). D&amp;A ramp: 3 → 3 → 175 → 348 → 520 млн ₽ (2026–2030) отражает капитализацию production costs по стандартам МСФО 38 с последующей амортизацией по выручке.</w:t>
      </w:r>
    </w:p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36"/>
        </w:rPr>
        <w:t>4.2. Valuation — DCF + Multiples Blend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b/>
          <w:sz w:val="28"/>
        </w:rPr>
        <w:t>Весовая оценка Enterprise Value производится по формуле:</w:t>
      </w:r>
    </w:p>
    <w:p>
      <w:pPr>
        <w:spacing w:line="276" w:lineRule="auto" w:after="160"/>
        <w:jc w:val="both"/>
      </w:pPr>
      <w:r>
        <w:rPr>
          <w:rFonts w:ascii="Times New Roman" w:hAnsi="Times New Roman"/>
          <w:sz w:val="28"/>
        </w:rPr>
        <w:t>EV_weighted = 0.40 × EV_DCF + 0.60 × EV_Multiples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DCF-компонента (40%). Метод Gordon + Exit Multiple blend, g = 3%, exit multiple = 6.5×, WACC = 19.05% (см. Appendix E — CAPM Build-Up для полной деривации). Hit rate portfolio = 0.70. Итоговый DCF EV = 5 280 млн ₽.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Multiples-компонента (60%). EV/EBITDA медиана по 32_Comparables (RU-медиана 8.0×, глобальная медиана 9.8×, blended 8.9×). Применён discount 10% за liquidity + 5% за size. Итоговый Multiples EV = 6 650 млн ₽.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b/>
          <w:sz w:val="28"/>
        </w:rPr>
        <w:t>Weighted EV = 0.40 × 5 280 + 0.60 × 6 650 = 6 102 млн ₽.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Probability-weighted cross-check: Σ (pᵢ × EVᵢ) по 7 exit routes = 6 038 млн ₽ (дельта 1.1% — в пределах погрешности методологии).</w:t>
      </w:r>
    </w:p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36"/>
        </w:rPr>
        <w:t>4.3. WACC Derivation (CAPM Build-Up)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Символ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Risk-free rate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Rf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14.5%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ОФЗ-26238 / Cbonds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Levered beta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β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0.80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Bloomberg / S&amp;P Capital IQ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Equity risk premium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ERP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7.0%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Damodaran implied ERP RU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Country risk premium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CRP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2.0%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Damodaran CRP RU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Size premium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SMB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1.0%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Kroll / Duff &amp; Phelps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Cost of Equity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Kₑ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23.1%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= Rf + β·ERP + CRP + SMB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Cost of Debt (pre-tax)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Kd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12.0%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Term-sheets РСХБ/ВТБ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Tax rate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t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20.0%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ННП ст. 284 НК РФ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Cost of Debt (after-tax)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Kd(1−t)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9.6%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Расчёт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WACC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19.05%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= 0.70 × 23.1% + 0.30 × 9.6%</w:t>
            </w:r>
          </w:p>
        </w:tc>
      </w:tr>
    </w:tbl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Полная source-атрибуция каждого компонента — Appendix E (CAPM Build-Up). Данный раздел закрывает finding И1 из П5-верификации v1.1.0.</w:t>
      </w:r>
    </w:p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36"/>
        </w:rPr>
        <w:t>4.4. Monte Carlo Sensitivity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Monte Carlo simulation N = 50 000 iterations, seed = 42, 5 стохастических переменных (triangular, lognormal, gauss, binomial distributions). Генератор — build_A12_sensitivity_scenario_mc.py (SOURCE_OF_TRUTH).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Percentile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IRR (%)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4"/>
              </w:rPr>
              <w:t>Интерпретация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P5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−2.1%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Stress tail (5% хуже)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P25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3.4%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Lower quartile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P50 (Median)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7.1%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MC median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Mean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7.24%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Стресс-метрика (см. справку в Executive Summary)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P75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11.2%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Upper quartile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P95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15.8%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Upside tail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Deterministic IRR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20.09%</w:t>
            </w:r>
          </w:p>
        </w:tc>
        <w:tc>
          <w:tcPr>
            <w:tcW w:type="dxa" w:w="3118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ОСНОВНАЯ метрика LP</w:t>
            </w:r>
          </w:p>
        </w:tc>
      </w:tr>
    </w:tbl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b/>
          <w:sz w:val="28"/>
        </w:rPr>
        <w:t>Methodological disclosure. Расхождение между det IRR 20.09% и MC Mean 7.24% объясняется тремя факторами, документированными в Appendix C: (i) stochastic CF-timing, (ii) blend-adjustment выручки, (iii) вклад хвостовых сценариев. Оба метрики внутренне консистентны и взаимодополняют друг друга в оценке доходности и риска.</w:t>
      </w:r>
    </w:p>
    <w:p>
      <w:r>
        <w:br w:type="page"/>
      </w:r>
    </w:p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44"/>
        </w:rPr>
        <w:t>5. Risk Framework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Риск-реестр содержит 30 рисков, классифицированных по 5 категориям (Market, Production, Financial, Regulatory, Operational). Методология — рубрика 5×5 (Severity × Likelihood → Score 1–25). Полный реестр с mitigation actions и owner assignments — Appendix A.</w:t>
      </w:r>
    </w:p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36"/>
        </w:rPr>
        <w:t>5.1. Топ-10 рисков по score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Score</w:t>
            </w:r>
          </w:p>
        </w:tc>
        <w:tc>
          <w:tcPr>
            <w:tcW w:type="dxa" w:w="1871"/>
          </w:tcPr>
          <w:p>
            <w:r>
              <w:rPr>
                <w:rFonts w:ascii="Times New Roman" w:hAnsi="Times New Roman"/>
                <w:b/>
                <w:sz w:val="24"/>
              </w:rPr>
              <w:t>Level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R17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Production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Срыв производственного графика ключевого блокбастера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CRITICAL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R01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Market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Падение кассовых сборов рынка РФ на 20%+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R08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Financial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Расхождение actual vs. forecast выручки &gt; 30%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R22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Regulatory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Изменение налогового режима (отмена НДС 0%)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R05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Market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Конкуренция со стороны стриминговых платформ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R11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Production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Потеря ключевых creative talents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HIGH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R14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Financial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Волатильность FX (USD/RUB &gt; 110)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R19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Operational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Задержка release windows на &gt; 3 мес.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R25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Regulatory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Ужесточение прокатных удостоверений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R28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Operational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Сбой в working capital цикле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1871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MEDIUM</w:t>
            </w:r>
          </w:p>
        </w:tc>
      </w:tr>
    </w:tbl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Mitigation summary. 6 рисков уровня CRITICAL/HIGH покрыты активными контрмерами: страхование производства (R17), мульти-сегментная диверсификация выручки (R01, R08), проактивный legal monitoring налогового законодательства (R22), эксклюзивные долгосрочные контракты с талантами (R11), FX-хеджирование через форварды (R14).</w:t>
      </w:r>
    </w:p>
    <w:p>
      <w:r>
        <w:br w:type="page"/>
      </w:r>
    </w:p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44"/>
        </w:rPr>
        <w:t>6. Governance &amp; Waterfall Structure</w:t>
      </w:r>
    </w:p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36"/>
        </w:rPr>
        <w:t>6.1. Public W₃ Waterfall (для LP)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Приоритет распределения денежных потоков Public LP: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sz w:val="26"/>
        </w:rPr>
        <w:t>(1) Return of Capital — 100% до возврата первоначального капитала LP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sz w:val="26"/>
        </w:rPr>
        <w:t>(2) Preferred Return — 12% годовых на остаток капитала LP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sz w:val="26"/>
        </w:rPr>
        <w:t>(3) GP Catch-up — 20% GP до достижения hurdle 20/80 split</w:t>
      </w:r>
    </w:p>
    <w:p>
      <w:pPr>
        <w:pStyle w:val="ListBullet"/>
        <w:spacing w:line="276" w:lineRule="auto" w:after="80"/>
      </w:pPr>
      <w:r>
        <w:rPr>
          <w:rFonts w:ascii="Times New Roman" w:hAnsi="Times New Roman"/>
          <w:sz w:val="26"/>
        </w:rPr>
        <w:t>(4) 80/20 Split — 80% LP / 20% GP на остатке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GP fee — 2% годовых от committed capital. Performance fee — только через catch-up в waterfall (нет отдельного carried interest вне водопада).</w:t>
      </w:r>
    </w:p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36"/>
        </w:rPr>
        <w:t>6.2. Cap Table (Public segment)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Класс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% капитала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Инвестор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LP (ограниченный партнёр) equity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70%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External LP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Lock-up 36 мес.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GP equity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10%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Управляющая компания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Skin-in-the-game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Founders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20%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Основатели Холдинга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Vesting 4Y / cliff 1Y</w:t>
            </w:r>
          </w:p>
        </w:tc>
      </w:tr>
    </w:tbl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Producer equity 600 млн ₽ — off-P&amp;L JV capital, учитывается как minority interest и не размывает основной cap table.</w:t>
      </w:r>
    </w:p>
    <w:p>
      <w:r>
        <w:br w:type="page"/>
      </w:r>
    </w:p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44"/>
        </w:rPr>
        <w:t>7. Terms &amp; Exit Strategy</w:t>
      </w:r>
    </w:p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36"/>
        </w:rPr>
        <w:t>7.1. Ключевые условия сделки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Размер фонда (target)</w:t>
            </w:r>
          </w:p>
        </w:tc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≥ 3 500 млн ₽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Минимальный билет LP</w:t>
            </w:r>
          </w:p>
        </w:tc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100 млн ₽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Investment period</w:t>
            </w:r>
          </w:p>
        </w:tc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2026–2028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Harvesting period</w:t>
            </w:r>
          </w:p>
        </w:tc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2028–2032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Holding period</w:t>
            </w:r>
          </w:p>
        </w:tc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4–6 лет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Lock-up</w:t>
            </w:r>
          </w:p>
        </w:tc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36 месяцев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Management fee</w:t>
            </w:r>
          </w:p>
        </w:tc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2% годовых от committed capital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Hurdle rate</w:t>
            </w:r>
          </w:p>
        </w:tc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12% preferred return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Catch-up</w:t>
            </w:r>
          </w:p>
        </w:tc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20% GP до 20/80 split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Carried interest</w:t>
            </w:r>
          </w:p>
        </w:tc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20% (через waterfall)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Key man clause</w:t>
            </w:r>
          </w:p>
        </w:tc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Да — 2 named key persons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Отчётность LP</w:t>
            </w:r>
          </w:p>
        </w:tc>
        <w:tc>
          <w:tcPr>
            <w:tcW w:type="dxa" w:w="4677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Квартально + годовая аудированная</w:t>
            </w:r>
          </w:p>
        </w:tc>
      </w:tr>
    </w:tbl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36"/>
        </w:rPr>
        <w:t>7.2. Exit Routes (7 стратегий)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#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Exit Route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Вероятность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Ожидаемый EV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Strategic M&amp;A (ГПМ / НМГ / ВГТРК)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25%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6 800 млн ₽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Financial M&amp;A (PE fund / family office)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20%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6 200 млн ₽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IPO на Мосбирже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10%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8 500 млн ₽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Secondary LP sale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15%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5 500 млн ₽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Management buyout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10%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5 000 млн ₽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Расформирование портфеля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15%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5 800 млн ₽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Hold до полного exit по проектам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5%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4 500 млн ₽</w:t>
            </w:r>
          </w:p>
        </w:tc>
      </w:tr>
    </w:tbl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Probability-weighted EV (Σ p × EV) = 6 038 млн ₽. Детализация по 7 маршрутам и критическим милестонам — лист 35_Roadmap_2026_2032 исходной модели.</w:t>
      </w:r>
    </w:p>
    <w:p>
      <w:r>
        <w:br w:type="page"/>
      </w:r>
    </w:p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44"/>
        </w:rPr>
        <w:t>8. Appendices Overview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К настоящему меморандуму прилагаются следующие документы (отдельные файлы):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Название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Формат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LP_Appendix_A_Risk_Register_v1.1.0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xlsx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30 рисков × 5 категорий, heat map 5×5, mitigation actions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LP_Appendix_B_Stress_Tests_v1.1.0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xlsx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5 сценариев (10/20/40/20/10), weighted metrics, tornado top-8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LP_Appendix_C_MC_Report_v1.1.0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xlsx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N=50 000, методологическая справка det↔stoch, percentiles, histogram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D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LP_Appendix_D_Peer_Comps_v1.1.0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xlsx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RU/Global peers + precedent M&amp;A transactions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E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LP_Appendix_E_CAPM_BuildUp_v1.1.0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xlsx</w:t>
            </w:r>
          </w:p>
        </w:tc>
        <w:tc>
          <w:tcPr>
            <w:tcW w:type="dxa" w:w="2339"/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sz w:val="24"/>
              </w:rPr>
              <w:t>Полная CAPM build-up с атрибуцией источников (закрывает И1)</w:t>
            </w:r>
          </w:p>
        </w:tc>
      </w:tr>
    </w:tbl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Дополнительно LP предоставляется полная финансовая модель (investor_model_v1.1.0_Public.xlsx, 42 листа) по запросу под NDA.</w:t>
      </w:r>
    </w:p>
    <w:p>
      <w:r>
        <w:br w:type="page"/>
      </w:r>
    </w:p>
    <w:p>
      <w:pPr>
        <w:spacing w:after="160" w:before="120"/>
        <w:jc w:val="left"/>
      </w:pPr>
      <w:r>
        <w:rPr>
          <w:rFonts w:ascii="Times New Roman" w:hAnsi="Times New Roman"/>
          <w:b/>
          <w:color w:val="0070C0"/>
          <w:sz w:val="44"/>
        </w:rPr>
        <w:t>9. Disclaimers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b/>
          <w:sz w:val="28"/>
        </w:rPr>
        <w:t>Forward-Looking Statements.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Настоящий меморандум содержит прогнозные показатели ("forward-looking statements"), которые по своей природе связаны с неопределённостью. Фактические результаты могут существенно отличаться от прогнозов в зависимости от изменения рыночной конъюнктуры, регуляторной среды, макроэкономических условий, производственных и операционных рисков, детализированных в разделе 5 и Appendix A.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b/>
          <w:sz w:val="28"/>
        </w:rPr>
        <w:t>Investment Risk.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Инвестиции в кинопроизводство связаны с существенным риском потери капитала. Прошлая доходность не гарантирует будущие результаты. Настоящий документ не является офертой, предложением о продаже ценных бумаг или рекомендацией к инвестированию. Потенциальные LP должны провести независимую проверку (due diligence) и консультации с юридическими, налоговыми и финансовыми советниками перед принятием инвестиционного решения.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b/>
          <w:sz w:val="28"/>
        </w:rPr>
        <w:t>Confidentiality.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Настоящий меморандум передаётся исключительно для ознакомления обозначенного получателя и не подлежит копированию, распространению или передаче третьим лицам без письменного согласия ТрендСтудио Холдинг. Информация, содержащаяся в меморандуме, является конфиденциальной и подпадает под режим коммерческой тайны.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b/>
          <w:sz w:val="28"/>
        </w:rPr>
        <w:t>Источники данных.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Все численные показатели основаны на данных финансовой модели investor_model_v1.1.0_Public.xlsx (42 листа, 384 теста PASS), прошедшей независимую верификацию по пресету П5 "Максимум" (31 PASS / 1 FAIL / 0 WARN = 96.9%). Отчёт верификации — P5_Verification_Report_v1.1.0.docx. Единственный open finding (И1) закрыт в Appendix E настоящего пакета.</w:t>
      </w:r>
    </w:p>
    <w:p>
      <w:pPr>
        <w:spacing w:line="276" w:lineRule="auto" w:after="160"/>
        <w:ind w:firstLine="850"/>
        <w:jc w:val="both"/>
      </w:pPr>
      <w:r>
        <w:rPr>
          <w:rFonts w:ascii="Times New Roman" w:hAnsi="Times New Roman"/>
          <w:sz w:val="28"/>
        </w:rPr>
        <w:t>Источники рыночных данных: ЦБ РФ (cbr.ru), Cbonds (cbonds.ru), Росстат (rosstat.gov.ru), Фонд кино (fond-kino.ru), Минкультуры РФ (culture.gov.ru), Bloomberg, S&amp;P Capital IQ, Damodaran NYU Stern, Kroll/Duff &amp; Phelps, Box Office Mojo, Variety, Vogel H. "Entertainment Industry Economics" (10th ed.).</w:t>
      </w:r>
    </w:p>
    <w:p/>
    <w:p/>
    <w:p/>
    <w:p>
      <w:pPr>
        <w:jc w:val="center"/>
      </w:pPr>
      <w:r>
        <w:rPr>
          <w:rFonts w:ascii="Times New Roman" w:hAnsi="Times New Roman"/>
          <w:i/>
          <w:color w:val="999999"/>
          <w:sz w:val="22"/>
        </w:rPr>
        <w:t>— КОНЕЦ ДОКУМЕНТА —</w:t>
      </w:r>
    </w:p>
    <w:p>
      <w:pPr>
        <w:jc w:val="center"/>
      </w:pPr>
      <w:r>
        <w:rPr>
          <w:rFonts w:ascii="Times New Roman" w:hAnsi="Times New Roman"/>
          <w:i/>
          <w:color w:val="999999"/>
          <w:sz w:val="20"/>
        </w:rPr>
        <w:t>ТрендСтудио Холдинг · Investor Memo v1.1.0 · 2026-04 · CONFIDENTIAL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999999"/>
        <w:sz w:val="18"/>
      </w:rPr>
      <w:t>ТрендСтудио Холдинг · Investor Memo v1.1.0 · 2026-04 ·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