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44"/>
        </w:rPr>
        <w:t>Отчёт верификации П5 «Максимум» 32/32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b/>
          <w:sz w:val="28"/>
        </w:rPr>
        <w:t>ТрендСтудио Холдинг — Investor Public Model v1.1.0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>Дата: 2026-04-14  •  Пресет: П5 «Максимум» (32 механизма / 6 категорий)  •  Исполнитель: Cowork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1. Резюме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Итог верификации: PASS 31 / WARN 0 / FAIL 1 из 32 (успех 96.9%). Ключевые метрики модели подтверждены: якорь NDP = 3 000 млн ₽, накопленная выручка 4 545 млн ₽ (2026–2028), EBITDA 2 167 млн ₽, детерминистический IRR Public W₃ = 20.09%, WACC = 19.05% (CAPM build-up), Monte Carlo N = 50 000 (seed = 42). Waterfall W₅ / Internal IRR 24.75% в Public пакете отсутствуют — подтверждена LP DD-grade стерилизация. Workbook очищен от absPath, backup-артефактов, мета-лик (core.xml автор — TrendStudio).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2. Категории и результаты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>Распределение по категориям (6 блоков П5):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•  Factual: PASS 6 / WARN 0 / FAIL 0  (из 6)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•  Numerical: PASS 6 / WARN 0 / FAIL 0  (из 6)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•  Logical: PASS 6 / WARN 0 / FAIL 0  (из 6)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•  Source: PASS 5 / WARN 0 / FAIL 1  (из 6)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•  Document: PASS 6 / WARN 0 / FAIL 0  (из 6)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•  Audience: PASS 2 / WARN 0 / FAIL 0  (из 2)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3. Детальные результаты по механизмам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r>
              <w:rPr>
                <w:b/>
                <w:sz w:val="24"/>
              </w:rPr>
              <w:t>Категория</w:t>
            </w:r>
          </w:p>
        </w:tc>
        <w:tc>
          <w:tcPr>
            <w:tcW w:type="dxa" w:w="2339"/>
          </w:tcPr>
          <w:p>
            <w:r>
              <w:rPr>
                <w:b/>
                <w:sz w:val="24"/>
              </w:rPr>
              <w:t>Проверка</w:t>
            </w:r>
          </w:p>
        </w:tc>
        <w:tc>
          <w:tcPr>
            <w:tcW w:type="dxa" w:w="2339"/>
          </w:tcPr>
          <w:p>
            <w:r>
              <w:rPr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Ф1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Factual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NDP anchor = 3 000 млн ₽ (Assumptions D139)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Ф2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Factual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Revenue cumul 3Y ≈ 4 545 млн ₽ (22_DCF D22+E22+F22)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Ф3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Factual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EBITDA cumul = 2 167 млн ₽ (Assumptions D140)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Ф4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Factual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IRR Public W₃ = 20.09% (det., 24_Investor_Returns H22)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Ф5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Factual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WACC = 19.05% (22_DCF build-up + text)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Ф6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Factual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Investment T₁ = 1 250 млн ₽ (Assumptions D134)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Numerical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EBITDA формула даёт правдоподобную маржу (Rev−COGS−P&amp;A−OpEx)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Numerical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WACC = 0.70×23.1% + 0.30×9.6% = 19.05%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Numerical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MC N=50 000 (28_MC header + histogram bins sum=50000)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Numerical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D&amp;A ramp 3→3→175→348→520 (22_DCF R24)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Numerical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Revenue blend 0.79+0.30×hit_rate, E[blend]=1.00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Н6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Numerical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MoIC W₃ Base T1 ≈ 2.0× (24_IR I22)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Л1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Logical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Единый метод IRR (numpy_financial.irr в production)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Л2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Logical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PROB_VECTOR_BASE = [0.05, 0.15, 0.50, 0.20, 0.10] SSOT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Л3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Logical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Valuation range: DCF floor ≤ Weighted EV ≤ Comps ceiling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Л4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Logical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Risk rubric 5×5 калиброван (CRITICAL + score 15+)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Л5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Logical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Stress NDP снижается при шоках (27_Scenario)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Л6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Logical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Reverse stress / breakeven hit_rate analysis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И1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Source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CAPM источники (ОФЗ/Damodaran/Bloomberg/Duff&amp;Phelps) в модели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❌ FAIL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И2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Source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Peer comps (6+ peers)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И3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Source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Tax: ННП 20% + НДС 0% cinema (ст.149 НК РФ)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И4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Source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Comparable Transactions (20+)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И5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Source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MC seed=42, N=50 000 в build_A12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И6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Source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Requirements pinned (== format)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Д1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Document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0 occurrences 'Internal' (кроме 'Internal Rate of Return')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Д2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Document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0 absPath в workbook.xml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Д3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Document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Author=TrendStudio, no L3, no anchor в core.xml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Д4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Document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Cover Letter v1.1.0, дата апр 2026, без placeholders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Д5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Document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0 backup/bak/FUSE/lock файлов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Д6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Document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Print_Area на 42 листах (_xlnm.Print_Area в workbook.xml)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А1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Audience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LP DD-grade: нет W₅/V-D/L3 scenario leakage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А2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Audience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Нет Internal IRR 24.75% в Public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sz w:val="24"/>
              </w:rPr>
              <w:t>✅ PASS</w:t>
            </w:r>
          </w:p>
        </w:tc>
      </w:tr>
    </w:tbl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4. Единственная FAIL-находка: И1 (CAPM Sources)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Поверка И1 «CAPM источники» зафиксировала частичное отсутствие именованных бенчмарков в листе 38_Notes_and_Sources. Компоненты CAPM build-up в 22_Valuation_DCF присутствуют численно (Rf = 14.5%, β = 0.8, ERP = 7%, Country = 2%, Size = 1% → Ke = 23.1%; WACC = 19.05%), однако источники ERP / безрисковой ставки не атрибутированы явно к Damodaran, Bloomberg, Cbonds, Duff &amp; Phelps или аналогам. Источники Российской Федерации (kremlin.ru, government.ru, rosstat.gov.ru, ТАСС, РИА) перечислены полно; отраслевые (Vogel, Box Office Mojo, Variety, Фонд кино, Минкультуры) — также. Рекомендация к LP Memo: добавить подстрочник с атрибуцией ERP (Damodaran implied ERP для РФ) и Rf (ОФЗ-26238 / Cbonds) в Appendix E (CAPM Build-Up).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5. Внутренние несогласованности (мета-находки)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В ходе проверки обнаружены две мета-несогласованности, не затрагивающие численные выводы модели, но требующие правки перед финальной передачей LP: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(i) Лист 38_Notes_and_Sources, строка 22: «n = 1 000, seed = 42». Фактический Monte Carlo — N = 50 000 (см. 28_Monte_Carlo_Summary header + гистограмма bins sum = 50 000, build_A12 SOURCE_OF_TRUTH). Текст является унаследованным с v1.0 stub-версии, где MC реализовывался упрощённо. Рекомендация: заменить на «N = 50 000, seed = 42; 5 стохастических переменных; triangular / lognormal / gauss / binomial».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(ii) Legacy-артефакты /pipeline/artifacts/stress_matrix/mc_samples.json (N = 2 000, EBITDA VaR) и monte_carlo.json представляют более раннюю MC-методологию (EBITDA VaR), отличную от production-MC (IRR-driven, N = 50 000 в xlsx). На численные выводы Public-пакета не влияет, так как LP видит только xlsx; однако рекомендуется либо удалить legacy JSON из архива, либо добавить README с разъяснением области применения.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6. П13 «Аудитор» — повторная верификация 39 финдингов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CHANGELOG v1.1.0 фиксирует закрытие 18 R-items (R-001 … R-025) и 19 F-items (F-006 … F-039). Итого 37 из 39 задокументированных items закрыто по CHANGELOG. Два оставшихся items (R-005, R-006 или аналог по нумерации) в CHANGELOG явно не отмечены — требуется уточнение у команды ремедиации. Проверка закрытых items через файловую инспекцию: numpy_financial.irr используется в production-пути (Л1 ✅), Print_Area установлен на 42 листах (Д6 ✅), absPath отсутствует (Д2 ✅), Internal IRR / W₅ / L3-scenario leakage отсутствуют (А1, А2 ✅), requirements.txt pinned в формате «==» (И6 ✅).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7. Готовность к LP DD-передаче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Модель v1.1.0 готова к передаче LP при условии закрытия следующих двух правок: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1.  Обновить строку 22 листа 38_Notes_and_Sources с «n = 1 000» → «N = 50 000».</w:t>
      </w:r>
    </w:p>
    <w:p>
      <w:pPr>
        <w:spacing w:line="276" w:lineRule="auto" w:after="160"/>
        <w:ind w:firstLine="850"/>
        <w:jc w:val="left"/>
      </w:pPr>
      <w:r>
        <w:rPr>
          <w:rFonts w:ascii="Times New Roman" w:hAnsi="Times New Roman"/>
          <w:sz w:val="28"/>
        </w:rPr>
        <w:t xml:space="preserve">  2.  Добавить в Appendix E (CAPM Build-Up) явную атрибуцию ERP (Damodaran), Rf (ОФЗ / Cbonds), β (Bloomberg / Capital IQ), Size / Country premium (Duff &amp; Phelps / Pepperdine Private Capital).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После правок модель достигает П5 32/32 PASS. Текущий статус — 31 PASS / 1 FAIL / 0 WARN (96.9%), чего достаточно для внутреннего sign-off и старта Part 2 (LP Package assembly). Две мета-правки можно включить параллельно со сборкой LP Memo и Appendix E.</w:t>
      </w:r>
    </w:p>
    <w:p>
      <w:pPr>
        <w:spacing w:after="160"/>
        <w:jc w:val="left"/>
      </w:pPr>
      <w:r>
        <w:rPr>
          <w:rFonts w:ascii="Times New Roman" w:hAnsi="Times New Roman"/>
          <w:b/>
          <w:color w:val="0070C0"/>
          <w:sz w:val="36"/>
        </w:rPr>
        <w:t>8. Заключение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Independent верификация П5 «Максимум» 32/32 подтвердила: (a) численная корректность ключевых метрик (NDP, Revenue, EBITDA, IRR, WACC, MC); (b) чистоту стерилизации LP-пакета (нет Internal / W₅ / absPath / мета-лик); (c) полноту документной гигиены (Cover Letter, Print_Area, author, pinned deps). Единственная структурная находка — недостаточная source-attribution для CAPM-входов — устраняется в Appendix E на этапе сборки LP-пакета. Рекомендуется переход к Part 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