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color w:val="C00000"/>
          <w:sz w:val="52"/>
        </w:rPr>
        <w:t>RED FLAG MEMO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70C0"/>
          <w:sz w:val="36"/>
        </w:rPr>
        <w:t>Investor Model v1.0.2 Public</w:t>
      </w:r>
    </w:p>
    <w:p>
      <w:pPr>
        <w:spacing w:after="40"/>
        <w:jc w:val="center"/>
      </w:pPr>
      <w:r>
        <w:rPr>
          <w:rFonts w:ascii="Times New Roman" w:hAnsi="Times New Roman"/>
          <w:b/>
          <w:i/>
          <w:color w:val="C00000"/>
          <w:sz w:val="24"/>
        </w:rPr>
        <w:t>CONFIDENTIAL — DO NOT DISTRIBUTE WITHOUT REMEDIATION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sz w:val="24"/>
        </w:rPr>
        <w:t>April 13, 2026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20" w:after="80"/>
        <w:jc w:val="left"/>
      </w:pPr>
      <w:r>
        <w:rPr>
          <w:rFonts w:ascii="Times New Roman" w:hAnsi="Times New Roman"/>
          <w:b/>
          <w:color w:val="0070C0"/>
          <w:sz w:val="44"/>
        </w:rPr>
        <w:t>Critical Red Flags</w:t>
      </w:r>
    </w:p>
    <w:p>
      <w:pPr>
        <w:spacing w:after="120" w:before="40"/>
        <w:ind w:left="283"/>
      </w:pPr>
      <w:r>
        <w:rPr>
          <w:rFonts w:ascii="Times New Roman" w:hAnsi="Times New Roman"/>
          <w:b/>
          <w:i w:val="0"/>
          <w:sz w:val="26"/>
        </w:rPr>
        <w:t>1. INTERNAL DATA LEAKAGE</w:t>
      </w:r>
      <w:r>
        <w:rPr>
          <w:rFonts w:ascii="Times New Roman" w:hAnsi="Times New Roman"/>
          <w:b/>
          <w:i w:val="0"/>
          <w:color w:val="C00000"/>
          <w:sz w:val="26"/>
        </w:rPr>
        <w:t xml:space="preserve"> (CRITICAL P0)</w:t>
      </w:r>
      <w:r>
        <w:rPr>
          <w:rFonts w:ascii="Times New Roman" w:hAnsi="Times New Roman"/>
          <w:b w:val="0"/>
          <w:i w:val="0"/>
          <w:sz w:val="26"/>
        </w:rPr>
        <w:t xml:space="preserve"> — Cell 24_Investor_Returns!B49 explicitly references Internal W5 V‑D waterfall: "Margin to hurdle under W3 (2.09pp) is lower than under Internal W5 V‑D (6.75pp)". 8 additional "Internal" keyword occurrences in sharedStrings.xml. W₅ unicode subscript present. IMMEDIATE ACTION: Scrub all "Internal" references before any distribution.</w:t>
      </w:r>
    </w:p>
    <w:p>
      <w:pPr>
        <w:spacing w:after="120" w:before="40"/>
        <w:ind w:left="283"/>
      </w:pPr>
      <w:r>
        <w:rPr>
          <w:rFonts w:ascii="Times New Roman" w:hAnsi="Times New Roman"/>
          <w:b/>
          <w:i w:val="0"/>
          <w:sz w:val="26"/>
        </w:rPr>
        <w:t>2. DEVELOPER PATH LEAKED</w:t>
      </w:r>
      <w:r>
        <w:rPr>
          <w:rFonts w:ascii="Times New Roman" w:hAnsi="Times New Roman"/>
          <w:b/>
          <w:i w:val="0"/>
          <w:color w:val="C00000"/>
          <w:sz w:val="26"/>
        </w:rPr>
        <w:t xml:space="preserve"> (CRITICAL P0)</w:t>
      </w:r>
      <w:r>
        <w:rPr>
          <w:rFonts w:ascii="Times New Roman" w:hAnsi="Times New Roman"/>
          <w:b w:val="0"/>
          <w:i w:val="0"/>
          <w:sz w:val="26"/>
        </w:rPr>
        <w:t xml:space="preserve"> — xl/workbook.xml absPath reveals /Users/noldorwarrior/Documents/Claude/Projects/Holding/Investor_Package/ — exposes developer username, tool usage (Claude), and internal project structure. IMMEDIATE ACTION: Re-save xlsx from clean environment or strip x15ac:absPath element.</w:t>
      </w:r>
    </w:p>
    <w:p>
      <w:pPr>
        <w:spacing w:after="120" w:before="40"/>
        <w:ind w:left="283"/>
      </w:pPr>
      <w:r>
        <w:rPr>
          <w:rFonts w:ascii="Times New Roman" w:hAnsi="Times New Roman"/>
          <w:b/>
          <w:i w:val="0"/>
          <w:sz w:val="26"/>
        </w:rPr>
        <w:t>3. STATIC MODEL (97.5% constants)</w:t>
      </w:r>
      <w:r>
        <w:rPr>
          <w:rFonts w:ascii="Times New Roman" w:hAnsi="Times New Roman"/>
          <w:b/>
          <w:i w:val="0"/>
          <w:color w:val="E06C00"/>
          <w:sz w:val="26"/>
        </w:rPr>
        <w:t xml:space="preserve"> (HIGH P1)</w:t>
      </w:r>
      <w:r>
        <w:rPr>
          <w:rFonts w:ascii="Times New Roman" w:hAnsi="Times New Roman"/>
          <w:b w:val="0"/>
          <w:i w:val="0"/>
          <w:sz w:val="26"/>
        </w:rPr>
        <w:t xml:space="preserve"> — Only 226 formulas across 42 sheets (9,000+ value cells). Model is formatted spreadsheet report, not live financial model. Any analyst attempting sensitivity analysis will discover model doesn’t respond to input changes. IMMEDIATE ACTION: Convert top-5 critical sheets (P&amp;L, CF, Valuation, MC, Waterfall) to live formulas before DD.</w:t>
      </w:r>
    </w:p>
    <w:p>
      <w:pPr>
        <w:spacing w:after="120" w:before="40"/>
        <w:ind w:left="283"/>
      </w:pPr>
      <w:r>
        <w:rPr>
          <w:rFonts w:ascii="Times New Roman" w:hAnsi="Times New Roman"/>
          <w:b/>
          <w:i w:val="0"/>
          <w:sz w:val="26"/>
        </w:rPr>
        <w:t>4. ANCHOR-BASED BACK-SOLVING VISIBLE</w:t>
      </w:r>
      <w:r>
        <w:rPr>
          <w:rFonts w:ascii="Times New Roman" w:hAnsi="Times New Roman"/>
          <w:b/>
          <w:i w:val="0"/>
          <w:color w:val="E06C00"/>
          <w:sz w:val="26"/>
        </w:rPr>
        <w:t xml:space="preserve"> (HIGH P1)</w:t>
      </w:r>
      <w:r>
        <w:rPr>
          <w:rFonts w:ascii="Times New Roman" w:hAnsi="Times New Roman"/>
          <w:b w:val="0"/>
          <w:i w:val="0"/>
          <w:sz w:val="26"/>
        </w:rPr>
        <w:t xml:space="preserve"> — Revenue(4,545) = COGS(2,008.8) + OpEx(368.8) + EBITDA(2,167.4) to exact decimal. Decimal precision reveals fitting, not bottom-up derivation. Known as FIT-01 in self-audit. IMMEDIATE ACTION: Document as intentional architectural choice; prepare defense for DD.</w:t>
      </w:r>
    </w:p>
    <w:p>
      <w:pPr>
        <w:spacing w:after="120" w:before="40"/>
        <w:ind w:left="283"/>
      </w:pPr>
      <w:r>
        <w:rPr>
          <w:rFonts w:ascii="Times New Roman" w:hAnsi="Times New Roman"/>
          <w:b/>
          <w:i w:val="0"/>
          <w:sz w:val="26"/>
        </w:rPr>
        <w:t>5. VALUATION SPREAD 6×</w:t>
      </w:r>
      <w:r>
        <w:rPr>
          <w:rFonts w:ascii="Times New Roman" w:hAnsi="Times New Roman"/>
          <w:b/>
          <w:i w:val="0"/>
          <w:color w:val="E06C00"/>
          <w:sz w:val="26"/>
        </w:rPr>
        <w:t xml:space="preserve"> (HIGH P1)</w:t>
      </w:r>
      <w:r>
        <w:rPr>
          <w:rFonts w:ascii="Times New Roman" w:hAnsi="Times New Roman"/>
          <w:b w:val="0"/>
          <w:i w:val="0"/>
          <w:sz w:val="26"/>
        </w:rPr>
        <w:t xml:space="preserve"> — DCF EV = 1.8B, Comps Median EV = 7.5B, MC P50 EV = 11.2B. Gap is 6.2× between floor and ceiling. Industry norm ≤2×. IMMEDIATE ACTION: Reconcile methodologies to common horizon/WACC base or explicitly position as floor/fair/ceiling with formal justification.</w:t>
      </w:r>
    </w:p>
    <w:p>
      <w:pPr>
        <w:spacing w:after="120" w:before="40"/>
        <w:ind w:left="283"/>
      </w:pPr>
      <w:r>
        <w:rPr>
          <w:rFonts w:ascii="Times New Roman" w:hAnsi="Times New Roman"/>
          <w:b/>
          <w:i w:val="0"/>
          <w:sz w:val="26"/>
        </w:rPr>
        <w:t>6. MC P(IRR &gt; hurdle) = 13.6%</w:t>
      </w:r>
      <w:r>
        <w:rPr>
          <w:rFonts w:ascii="Times New Roman" w:hAnsi="Times New Roman"/>
          <w:b/>
          <w:i w:val="0"/>
          <w:color w:val="E06C00"/>
          <w:sz w:val="26"/>
        </w:rPr>
        <w:t xml:space="preserve"> (HIGH P1)</w:t>
      </w:r>
      <w:r>
        <w:rPr>
          <w:rFonts w:ascii="Times New Roman" w:hAnsi="Times New Roman"/>
          <w:b w:val="0"/>
          <w:i w:val="0"/>
          <w:sz w:val="26"/>
        </w:rPr>
        <w:t xml:space="preserve"> — Monte Carlo shows only 13.6% probability of beating 18% hurdle rate. Mean MC IRR = 11.44% vs deterministic Base 20.09% — gap of 8.65pp. P(Loss) = 5.5%. A sophisticated LP will focus on MC over deterministic. IMMEDIATE ACTION: Ensure prominent disclosure; prepare narrative explaining structural reasons (hit_rate, frontload pattern).</w:t>
      </w:r>
    </w:p>
    <w:p>
      <w:pPr>
        <w:spacing w:after="120" w:before="40"/>
        <w:ind w:left="283"/>
      </w:pPr>
      <w:r>
        <w:rPr>
          <w:rFonts w:ascii="Times New Roman" w:hAnsi="Times New Roman"/>
          <w:b/>
          <w:i w:val="0"/>
          <w:sz w:val="26"/>
        </w:rPr>
        <w:t>7. THREE INCONSISTENT IRR METHODS</w:t>
      </w:r>
      <w:r>
        <w:rPr>
          <w:rFonts w:ascii="Times New Roman" w:hAnsi="Times New Roman"/>
          <w:b/>
          <w:i w:val="0"/>
          <w:color w:val="E06C00"/>
          <w:sz w:val="26"/>
        </w:rPr>
        <w:t xml:space="preserve"> (HIGH P1)</w:t>
      </w:r>
      <w:r>
        <w:rPr>
          <w:rFonts w:ascii="Times New Roman" w:hAnsi="Times New Roman"/>
          <w:b w:val="0"/>
          <w:i w:val="0"/>
          <w:sz w:val="26"/>
        </w:rPr>
        <w:t xml:space="preserve"> — Newton’s method (build_A11), MOIC^(1/6.5)-1 approximation (build_A12), and numpy-based (v1.0.1 patches) produce different results for same inputs. Base IRR varies from ~7.7% to ~20.09% depending on method. IMMEDIATE ACTION: Standardize on one verified method (numpy_financial.irr); document methodology.</w:t>
      </w:r>
    </w:p>
    <w:p>
      <w:pPr>
        <w:spacing w:after="120" w:before="40"/>
        <w:ind w:left="283"/>
      </w:pPr>
      <w:r>
        <w:rPr>
          <w:rFonts w:ascii="Times New Roman" w:hAnsi="Times New Roman"/>
          <w:b/>
          <w:i w:val="0"/>
          <w:sz w:val="26"/>
        </w:rPr>
        <w:t>8. METADATA LEAKS</w:t>
      </w:r>
      <w:r>
        <w:rPr>
          <w:rFonts w:ascii="Times New Roman" w:hAnsi="Times New Roman"/>
          <w:b/>
          <w:i w:val="0"/>
          <w:color w:val="BF8F00"/>
          <w:sz w:val="26"/>
        </w:rPr>
        <w:t xml:space="preserve"> (MEDIUM P2)</w:t>
      </w:r>
      <w:r>
        <w:rPr>
          <w:rFonts w:ascii="Times New Roman" w:hAnsi="Times New Roman"/>
          <w:b w:val="0"/>
          <w:i w:val="0"/>
          <w:sz w:val="26"/>
        </w:rPr>
        <w:t xml:space="preserve"> — Description contains anchor "cumulative EBITDA 2026–2028 = 3,000 mln RUB", Keywords contain "L3" (internal classification), Last Modified By = "a" (truncated username), email team@trendstudio.ru in cells. IMMEDIATE ACTION: Clean metadata before distribution.</w:t>
      </w:r>
    </w:p>
    <w:p>
      <w:pPr>
        <w:spacing w:after="120" w:before="40"/>
        <w:ind w:left="283"/>
      </w:pPr>
      <w:r>
        <w:rPr>
          <w:rFonts w:ascii="Times New Roman" w:hAnsi="Times New Roman"/>
          <w:b/>
          <w:i w:val="0"/>
          <w:sz w:val="26"/>
        </w:rPr>
        <w:t>9. SCENARIO PROBABILITY INCONSISTENCY</w:t>
      </w:r>
      <w:r>
        <w:rPr>
          <w:rFonts w:ascii="Times New Roman" w:hAnsi="Times New Roman"/>
          <w:b/>
          <w:i w:val="0"/>
          <w:color w:val="BF8F00"/>
          <w:sz w:val="26"/>
        </w:rPr>
        <w:t xml:space="preserve"> (MEDIUM P2)</w:t>
      </w:r>
      <w:r>
        <w:rPr>
          <w:rFonts w:ascii="Times New Roman" w:hAnsi="Times New Roman"/>
          <w:b w:val="0"/>
          <w:i w:val="0"/>
          <w:sz w:val="26"/>
        </w:rPr>
        <w:t xml:space="preserve"> — build_A12 uses probabilities 5/15/50/20/10, manifest states 10/20/40/20/10. This affects expected NPV calculations. IMMEDIATE ACTION: Reconcile and use single probability set.</w:t>
      </w:r>
    </w:p>
    <w:p>
      <w:pPr>
        <w:spacing w:after="120" w:before="40"/>
        <w:ind w:left="283"/>
      </w:pPr>
      <w:r>
        <w:rPr>
          <w:rFonts w:ascii="Times New Roman" w:hAnsi="Times New Roman"/>
          <w:b/>
          <w:i w:val="0"/>
          <w:sz w:val="26"/>
        </w:rPr>
        <w:t>10. PEER COMPS FABRICATION RISK</w:t>
      </w:r>
      <w:r>
        <w:rPr>
          <w:rFonts w:ascii="Times New Roman" w:hAnsi="Times New Roman"/>
          <w:b/>
          <w:i w:val="0"/>
          <w:color w:val="BF8F00"/>
          <w:sz w:val="26"/>
        </w:rPr>
        <w:t xml:space="preserve"> (MEDIUM P2)</w:t>
      </w:r>
      <w:r>
        <w:rPr>
          <w:rFonts w:ascii="Times New Roman" w:hAnsi="Times New Roman"/>
          <w:b w:val="0"/>
          <w:i w:val="0"/>
          <w:sz w:val="26"/>
        </w:rPr>
        <w:t xml:space="preserve"> — 6 peer companies show suspiciously uniform EV/Revenue multiples (0.80–0.81 for 5 of 6). No source attribution. DD valuation team will request Pitchbook/Mergermarket verification. IMMEDIATE ACTION: Add source citations or flag as indicative.</w:t>
      </w:r>
    </w:p>
    <w:p>
      <w:pPr>
        <w:pStyle w:val="Heading1"/>
        <w:spacing w:before="120" w:after="80"/>
        <w:jc w:val="left"/>
      </w:pPr>
      <w:r>
        <w:rPr>
          <w:rFonts w:ascii="Times New Roman" w:hAnsi="Times New Roman"/>
          <w:b/>
          <w:color w:val="0070C0"/>
          <w:sz w:val="44"/>
        </w:rPr>
        <w:t>Verdict</w:t>
      </w:r>
    </w:p>
    <w:p>
      <w:pPr>
        <w:spacing w:after="80"/>
      </w:pPr>
      <w:r>
        <w:rPr>
          <w:rFonts w:ascii="Times New Roman" w:hAnsi="Times New Roman"/>
          <w:b/>
          <w:i w:val="0"/>
          <w:color w:val="C00000"/>
          <w:sz w:val="28"/>
        </w:rPr>
        <w:t>FAIL — DO NOT DISTRIBUTE</w:t>
      </w:r>
      <w:r>
        <w:rPr>
          <w:rFonts w:ascii="Times New Roman" w:hAnsi="Times New Roman"/>
          <w:b w:val="0"/>
          <w:i w:val="0"/>
          <w:sz w:val="26"/>
        </w:rPr>
        <w:t xml:space="preserve"> in current state. Minimum remediation: fix items 1–2 (leakage) before any sharing. Items 3–7 required before formal DD. Items 8–10 before CIM.</w:t>
      </w:r>
    </w:p>
    <w:p>
      <w:pPr>
        <w:pStyle w:val="Heading1"/>
        <w:spacing w:before="120" w:after="80"/>
        <w:jc w:val="left"/>
      </w:pPr>
      <w:r>
        <w:rPr>
          <w:rFonts w:ascii="Times New Roman" w:hAnsi="Times New Roman"/>
          <w:b/>
          <w:color w:val="0070C0"/>
          <w:sz w:val="44"/>
        </w:rPr>
        <w:t>Effort Estimate to CONDITIONAL PASS</w:t>
      </w:r>
    </w:p>
    <w:p>
      <w:pPr>
        <w:spacing w:after="40"/>
        <w:ind w:left="283"/>
      </w:pPr>
      <w:r>
        <w:rPr>
          <w:rFonts w:ascii="Times New Roman" w:hAnsi="Times New Roman"/>
          <w:b/>
          <w:i w:val="0"/>
          <w:sz w:val="26"/>
        </w:rPr>
        <w:t xml:space="preserve">•  Leakage scrub: </w:t>
      </w:r>
      <w:r>
        <w:rPr>
          <w:rFonts w:ascii="Times New Roman" w:hAnsi="Times New Roman"/>
          <w:b w:val="0"/>
          <w:i w:val="0"/>
          <w:sz w:val="26"/>
        </w:rPr>
        <w:t>2–4 hours</w:t>
      </w:r>
    </w:p>
    <w:p>
      <w:pPr>
        <w:spacing w:after="40"/>
        <w:ind w:left="283"/>
      </w:pPr>
      <w:r>
        <w:rPr>
          <w:rFonts w:ascii="Times New Roman" w:hAnsi="Times New Roman"/>
          <w:b/>
          <w:i w:val="0"/>
          <w:sz w:val="26"/>
        </w:rPr>
        <w:t xml:space="preserve">•  Live formulas conversion: </w:t>
      </w:r>
      <w:r>
        <w:rPr>
          <w:rFonts w:ascii="Times New Roman" w:hAnsi="Times New Roman"/>
          <w:b w:val="0"/>
          <w:i w:val="0"/>
          <w:sz w:val="26"/>
        </w:rPr>
        <w:t>2–3 weeks</w:t>
      </w:r>
    </w:p>
    <w:p>
      <w:pPr>
        <w:spacing w:after="40"/>
        <w:ind w:left="283"/>
      </w:pPr>
      <w:r>
        <w:rPr>
          <w:rFonts w:ascii="Times New Roman" w:hAnsi="Times New Roman"/>
          <w:b/>
          <w:i w:val="0"/>
          <w:sz w:val="26"/>
        </w:rPr>
        <w:t xml:space="preserve">•  IRR standardization: </w:t>
      </w:r>
      <w:r>
        <w:rPr>
          <w:rFonts w:ascii="Times New Roman" w:hAnsi="Times New Roman"/>
          <w:b w:val="0"/>
          <w:i w:val="0"/>
          <w:sz w:val="26"/>
        </w:rPr>
        <w:t>1–2 days</w:t>
      </w:r>
    </w:p>
    <w:p>
      <w:pPr>
        <w:spacing w:after="40"/>
        <w:ind w:left="283"/>
      </w:pPr>
      <w:r>
        <w:rPr>
          <w:rFonts w:ascii="Times New Roman" w:hAnsi="Times New Roman"/>
          <w:b/>
          <w:i w:val="0"/>
          <w:sz w:val="26"/>
        </w:rPr>
        <w:t xml:space="preserve">•  Metadata cleanup: </w:t>
      </w:r>
      <w:r>
        <w:rPr>
          <w:rFonts w:ascii="Times New Roman" w:hAnsi="Times New Roman"/>
          <w:b w:val="0"/>
          <w:i w:val="0"/>
          <w:sz w:val="26"/>
        </w:rPr>
        <w:t>1 hour</w:t>
      </w:r>
    </w:p>
    <w:p>
      <w:pPr>
        <w:spacing w:after="40"/>
        <w:ind w:left="283"/>
      </w:pPr>
      <w:r>
        <w:rPr>
          <w:rFonts w:ascii="Times New Roman" w:hAnsi="Times New Roman"/>
          <w:b/>
          <w:i w:val="0"/>
          <w:sz w:val="26"/>
        </w:rPr>
        <w:t xml:space="preserve">•  Full remediation to PASS: </w:t>
      </w:r>
      <w:r>
        <w:rPr>
          <w:rFonts w:ascii="Times New Roman" w:hAnsi="Times New Roman"/>
          <w:b w:val="0"/>
          <w:i w:val="0"/>
          <w:sz w:val="26"/>
        </w:rPr>
        <w:t>4–6 weeks</w:t>
      </w:r>
    </w:p>
    <w:sectPr w:rsidR="00FC693F" w:rsidRPr="0006063C" w:rsidSect="00034616">
      <w:pgSz w:w="11906" w:h="16838"/>
      <w:pgMar w:top="1701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