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Times New Roman" w:hAnsi="Times New Roman" w:eastAsia="Times New Roman"/>
          <w:color w:val="0070C0"/>
          <w:sz w:val="44"/>
        </w:rPr>
        <w:t>Audit Executive Summary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Investor Model v1.0.2 Public — DD-Grade Audit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8"/>
        </w:rPr>
        <w:t xml:space="preserve">Date: </w:t>
      </w:r>
      <w:r>
        <w:rPr>
          <w:rFonts w:ascii="Times New Roman" w:hAnsi="Times New Roman" w:eastAsia="Times New Roman"/>
          <w:b w:val="0"/>
          <w:i w:val="0"/>
          <w:sz w:val="28"/>
        </w:rPr>
        <w:t>April 13, 2026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|  </w:t>
      </w:r>
      <w:r>
        <w:rPr>
          <w:rFonts w:ascii="Times New Roman" w:hAnsi="Times New Roman" w:eastAsia="Times New Roman"/>
          <w:b/>
          <w:i w:val="0"/>
          <w:sz w:val="28"/>
        </w:rPr>
        <w:t xml:space="preserve">Auditor: </w:t>
      </w:r>
      <w:r>
        <w:rPr>
          <w:rFonts w:ascii="Times New Roman" w:hAnsi="Times New Roman" w:eastAsia="Times New Roman"/>
          <w:b w:val="0"/>
          <w:i w:val="0"/>
          <w:sz w:val="28"/>
        </w:rPr>
        <w:t>Independent (Claude Code)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|  </w:t>
      </w:r>
      <w:r>
        <w:rPr>
          <w:rFonts w:ascii="Times New Roman" w:hAnsi="Times New Roman" w:eastAsia="Times New Roman"/>
          <w:b/>
          <w:i w:val="0"/>
          <w:sz w:val="28"/>
        </w:rPr>
        <w:t xml:space="preserve">Scope: </w:t>
      </w:r>
      <w:r>
        <w:rPr>
          <w:rFonts w:ascii="Times New Roman" w:hAnsi="Times New Roman" w:eastAsia="Times New Roman"/>
          <w:b w:val="0"/>
          <w:i w:val="0"/>
          <w:sz w:val="28"/>
        </w:rPr>
        <w:t>7 blocks (A–G)</w:t>
      </w:r>
    </w:p>
    <w:p>
      <w:pPr>
        <w:spacing w:before="40" w:after="160"/>
        <w:pBdr>
          <w:bottom w:val="single" w:sz="6" w:space="1" w:color="0070C0"/>
        </w:pBdr>
      </w:pP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1. Overall Verdict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CC0000"/>
          <w:sz w:val="32"/>
        </w:rPr>
        <w:t>CONDITIONAL FAIL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Model requires remediation before investor distribution.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8"/>
        </w:rPr>
        <w:t>Traffic Light Summary: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A (xlsx Technical): </w:t>
      </w:r>
      <w:r>
        <w:rPr>
          <w:rFonts w:ascii="Times New Roman" w:hAnsi="Times New Roman" w:eastAsia="Times New Roman"/>
          <w:b/>
          <w:color w:val="FF8C00"/>
          <w:sz w:val="28"/>
        </w:rPr>
        <w:t>AMBER</w:t>
      </w:r>
      <w:r>
        <w:rPr>
          <w:rFonts w:ascii="Times New Roman" w:hAnsi="Times New Roman" w:eastAsia="Times New Roman"/>
          <w:sz w:val="28"/>
        </w:rPr>
        <w:t xml:space="preserve"> — structurally sound OOXML, but 97.5% static cells, metadata leaks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B (Financial Math): </w:t>
      </w:r>
      <w:r>
        <w:rPr>
          <w:rFonts w:ascii="Times New Roman" w:hAnsi="Times New Roman" w:eastAsia="Times New Roman"/>
          <w:b/>
          <w:color w:val="FF8C00"/>
          <w:sz w:val="28"/>
        </w:rPr>
        <w:t>AMBER</w:t>
      </w:r>
      <w:r>
        <w:rPr>
          <w:rFonts w:ascii="Times New Roman" w:hAnsi="Times New Roman" w:eastAsia="Times New Roman"/>
          <w:sz w:val="28"/>
        </w:rPr>
        <w:t xml:space="preserve"> — anchors verified (Revenue 4,545, NDP 3,000, IRR 20.09%), but back-solved architecture, 3 inconsistent IRR methods, MC mean IRR 11.44% (8.65pp below deterministic)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C (Public↔Internal): </w:t>
      </w:r>
      <w:r>
        <w:rPr>
          <w:rFonts w:ascii="Times New Roman" w:hAnsi="Times New Roman" w:eastAsia="Times New Roman"/>
          <w:b/>
          <w:color w:val="CC0000"/>
          <w:sz w:val="28"/>
        </w:rPr>
        <w:t>RED</w:t>
      </w:r>
      <w:r>
        <w:rPr>
          <w:rFonts w:ascii="Times New Roman" w:hAnsi="Times New Roman" w:eastAsia="Times New Roman"/>
          <w:sz w:val="28"/>
        </w:rPr>
        <w:t xml:space="preserve"> — Critical leakage of Internal waterfall W5 V‑D comparison, 8 “Internal” keyword occurrences, file path exposure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D (Investor Readiness): </w:t>
      </w:r>
      <w:r>
        <w:rPr>
          <w:rFonts w:ascii="Times New Roman" w:hAnsi="Times New Roman" w:eastAsia="Times New Roman"/>
          <w:b/>
          <w:color w:val="FF8C00"/>
          <w:sz w:val="28"/>
        </w:rPr>
        <w:t>AMBER</w:t>
      </w:r>
      <w:r>
        <w:rPr>
          <w:rFonts w:ascii="Times New Roman" w:hAnsi="Times New Roman" w:eastAsia="Times New Roman"/>
          <w:sz w:val="28"/>
        </w:rPr>
        <w:t xml:space="preserve"> — Stress tests show resilience (cash positive through 2032, BS balanced), but 6× valuation spread, P(IRR&gt;hurdle) = 13.6%, fabricated comps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E (Going Concern): </w:t>
      </w:r>
      <w:r>
        <w:rPr>
          <w:rFonts w:ascii="Times New Roman" w:hAnsi="Times New Roman" w:eastAsia="Times New Roman"/>
          <w:b/>
          <w:color w:val="228B22"/>
          <w:sz w:val="28"/>
        </w:rPr>
        <w:t>GREEN</w:t>
      </w:r>
      <w:r>
        <w:rPr>
          <w:rFonts w:ascii="Times New Roman" w:hAnsi="Times New Roman" w:eastAsia="Times New Roman"/>
          <w:sz w:val="28"/>
        </w:rPr>
        <w:t xml:space="preserve"> — Cash end 2032 = 891.75M, BS balanced all periods, no covenant breach in base case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F (Cover Docs): </w:t>
      </w:r>
      <w:r>
        <w:rPr>
          <w:rFonts w:ascii="Times New Roman" w:hAnsi="Times New Roman" w:eastAsia="Times New Roman"/>
          <w:b/>
          <w:color w:val="FF8C00"/>
          <w:sz w:val="28"/>
        </w:rPr>
        <w:t>AMBER</w:t>
      </w:r>
      <w:r>
        <w:rPr>
          <w:rFonts w:ascii="Times New Roman" w:hAnsi="Times New Roman" w:eastAsia="Times New Roman"/>
          <w:sz w:val="28"/>
        </w:rPr>
        <w:t xml:space="preserve"> — Comprehensive manifest and honest self-audit (34 known issues documented), but template placeholders remain, cover letter incomplete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/>
          <w:sz w:val="28"/>
        </w:rPr>
        <w:t xml:space="preserve">Block G (Pipeline): </w:t>
      </w:r>
      <w:r>
        <w:rPr>
          <w:rFonts w:ascii="Times New Roman" w:hAnsi="Times New Roman" w:eastAsia="Times New Roman"/>
          <w:b/>
          <w:color w:val="228B22"/>
          <w:sz w:val="28"/>
        </w:rPr>
        <w:t>GREEN</w:t>
      </w:r>
      <w:r>
        <w:rPr>
          <w:rFonts w:ascii="Times New Roman" w:hAnsi="Times New Roman" w:eastAsia="Times New Roman"/>
          <w:sz w:val="28"/>
        </w:rPr>
        <w:t xml:space="preserve"> — Impressive 16,621-line pipeline with 287 tests, Pydantic validation, seed-based determinism, 8 ADRs. Minor: unpinned requirements, 3 hardcoded paths.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2. Top 5 Critical Findings</w:t>
      </w:r>
    </w:p>
    <w:p>
      <w:pPr>
        <w:spacing w:after="80"/>
      </w:pPr>
      <w:r>
        <w:rPr>
          <w:rFonts w:ascii="Times New Roman" w:hAnsi="Times New Roman" w:eastAsia="Times New Roman"/>
          <w:b/>
          <w:color w:val="CC0000"/>
          <w:sz w:val="28"/>
        </w:rPr>
        <w:t xml:space="preserve">1. INTERNAL DATA LEAKAGE (P0): </w:t>
      </w:r>
      <w:r>
        <w:rPr>
          <w:rFonts w:ascii="Times New Roman" w:hAnsi="Times New Roman" w:eastAsia="Times New Roman"/>
          <w:sz w:val="28"/>
        </w:rPr>
        <w:t>24_Investor_Returns!B49 explicitly exposes W5 V‑D waterfall comparison text. 8 “Internal” references in sharedStrings. Developer path in workbook.xml.</w:t>
      </w:r>
    </w:p>
    <w:p>
      <w:pPr>
        <w:spacing w:after="80"/>
      </w:pPr>
      <w:r>
        <w:rPr>
          <w:rFonts w:ascii="Times New Roman" w:hAnsi="Times New Roman" w:eastAsia="Times New Roman"/>
          <w:b/>
          <w:color w:val="CC0000"/>
          <w:sz w:val="28"/>
        </w:rPr>
        <w:t xml:space="preserve">2. STATIC MODEL (P1): </w:t>
      </w:r>
      <w:r>
        <w:rPr>
          <w:rFonts w:ascii="Times New Roman" w:hAnsi="Times New Roman" w:eastAsia="Times New Roman"/>
          <w:sz w:val="28"/>
        </w:rPr>
        <w:t>226 formulas / 9,000+ values = 2.5%. Not a live financial model. Will fail DD instantly.</w:t>
      </w:r>
    </w:p>
    <w:p>
      <w:pPr>
        <w:spacing w:after="80"/>
      </w:pPr>
      <w:r>
        <w:rPr>
          <w:rFonts w:ascii="Times New Roman" w:hAnsi="Times New Roman" w:eastAsia="Times New Roman"/>
          <w:b/>
          <w:color w:val="CC0000"/>
          <w:sz w:val="28"/>
        </w:rPr>
        <w:t xml:space="preserve">3. VALUATION SPREAD 6× (P1): </w:t>
      </w:r>
      <w:r>
        <w:rPr>
          <w:rFonts w:ascii="Times New Roman" w:hAnsi="Times New Roman" w:eastAsia="Times New Roman"/>
          <w:sz w:val="28"/>
        </w:rPr>
        <w:t>DCF 1.8B vs Comps 7.5B vs MC 11.2B. Unexplained gap kills credibility.</w:t>
      </w:r>
    </w:p>
    <w:p>
      <w:pPr>
        <w:spacing w:after="80"/>
      </w:pPr>
      <w:r>
        <w:rPr>
          <w:rFonts w:ascii="Times New Roman" w:hAnsi="Times New Roman" w:eastAsia="Times New Roman"/>
          <w:b/>
          <w:color w:val="CC0000"/>
          <w:sz w:val="28"/>
        </w:rPr>
        <w:t xml:space="preserve">4. MC vs DETERMINISTIC GAP (P1): </w:t>
      </w:r>
      <w:r>
        <w:rPr>
          <w:rFonts w:ascii="Times New Roman" w:hAnsi="Times New Roman" w:eastAsia="Times New Roman"/>
          <w:sz w:val="28"/>
        </w:rPr>
        <w:t>Base IRR 20.09% vs MC Mean 11.44%. P(IRR&gt;18% hurdle) = 13.6%.</w:t>
      </w:r>
    </w:p>
    <w:p>
      <w:pPr>
        <w:spacing w:after="80"/>
      </w:pPr>
      <w:r>
        <w:rPr>
          <w:rFonts w:ascii="Times New Roman" w:hAnsi="Times New Roman" w:eastAsia="Times New Roman"/>
          <w:b/>
          <w:color w:val="CC0000"/>
          <w:sz w:val="28"/>
        </w:rPr>
        <w:t xml:space="preserve">5. THREE IRR METHODS (P1): </w:t>
      </w:r>
      <w:r>
        <w:rPr>
          <w:rFonts w:ascii="Times New Roman" w:hAnsi="Times New Roman" w:eastAsia="Times New Roman"/>
          <w:sz w:val="28"/>
        </w:rPr>
        <w:t>Newton’s, MOIC approximation, numpy — produce different results for same inputs.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3. Key Financial Verification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8"/>
        </w:rPr>
        <w:t>Anchor values verified from xlsx: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Metric</w:t>
            </w:r>
          </w:p>
        </w:tc>
        <w:tc>
          <w:tcPr>
            <w:tcW w:type="dxa" w:w="1984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Model Value</w:t>
            </w:r>
          </w:p>
        </w:tc>
        <w:tc>
          <w:tcPr>
            <w:tcW w:type="dxa" w:w="2268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Expected</w:t>
            </w:r>
          </w:p>
        </w:tc>
        <w:tc>
          <w:tcPr>
            <w:tcW w:type="dxa" w:w="2835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Revenue 3Y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4,545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4,545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EBITDA GAAP 3Y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2,167.4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2,076.1 (prompt)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MISMATCH — 91.3 delta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NDP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3,000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3,000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IRR W3 Base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20.09%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20.09%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MC Mean IRR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11.44%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11.44%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BS Balance</w:t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0.00 all periods</w:t>
            </w:r>
          </w:p>
        </w:tc>
        <w:tc>
          <w:tcPr>
            <w:tcW w:type="dxa" w:w="2268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0</w:t>
            </w:r>
          </w:p>
        </w:tc>
        <w:tc>
          <w:tcPr>
            <w:tcW w:type="dxa" w:w="2835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Cash End 2032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891.75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&gt;0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PASS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color w:val="FF8C00"/>
          <w:sz w:val="28"/>
        </w:rPr>
        <w:t xml:space="preserve">Note: </w:t>
      </w:r>
      <w:r>
        <w:rPr>
          <w:rFonts w:ascii="Times New Roman" w:hAnsi="Times New Roman" w:eastAsia="Times New Roman"/>
          <w:b w:val="0"/>
          <w:i/>
          <w:sz w:val="28"/>
        </w:rPr>
        <w:t>EBITDA discrepancy — prompt states 2,076.1 but actual model shows 2,167.4 (post-FOT A2 cascade v1.0.2).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4. Going Concern Assessment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228B22"/>
          <w:sz w:val="32"/>
        </w:rPr>
        <w:t>GREEN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No immediate going concern risk. 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8"/>
        </w:rPr>
        <w:t>Cash remains positive through 2032 (891.75M). Balance sheet balanced across all 16 periods. Revenue declines in 2031–2032 (220→150M) but sufficient cash reserves from 2026–2028 production phase.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5. DD Readiness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Category</w:t>
            </w:r>
          </w:p>
        </w:tc>
        <w:tc>
          <w:tcPr>
            <w:tcW w:type="dxa" w:w="1984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Status</w:t>
            </w:r>
          </w:p>
        </w:tc>
        <w:tc>
          <w:tcPr>
            <w:tcW w:type="dxa" w:w="5102"/>
            <w:shd w:fill="0070C0" w:val="clear"/>
          </w:tcPr>
          <w:p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Key Issue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Model Integrity</w:t>
            </w:r>
          </w:p>
        </w:tc>
        <w:tc>
          <w:tcPr>
            <w:tcW w:type="dxa" w:w="1984"/>
          </w:tcPr>
          <w:p>
            <w:r>
              <w:rPr>
                <w:b/>
                <w:color w:val="CC0000"/>
              </w:rPr>
            </w:r>
            <w:r>
              <w:rPr>
                <w:rFonts w:ascii="Times New Roman" w:hAnsi="Times New Roman" w:eastAsia="Times New Roman"/>
                <w:b/>
                <w:color w:val="CC0000"/>
                <w:sz w:val="22"/>
              </w:rPr>
              <w:t>FAIL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Static (97.5% constants)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Leakage Control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CC0000"/>
              </w:rPr>
            </w:r>
            <w:r>
              <w:rPr>
                <w:rFonts w:ascii="Times New Roman" w:hAnsi="Times New Roman" w:eastAsia="Times New Roman"/>
                <w:b/>
                <w:color w:val="CC0000"/>
                <w:sz w:val="22"/>
              </w:rPr>
              <w:t>FAIL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23 leakage findings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Financial Math</w:t>
            </w:r>
          </w:p>
        </w:tc>
        <w:tc>
          <w:tcPr>
            <w:tcW w:type="dxa" w:w="1984"/>
          </w:tcPr>
          <w:p>
            <w:r>
              <w:rPr>
                <w:b/>
                <w:color w:val="FF8C00"/>
              </w:rPr>
            </w:r>
            <w:r>
              <w:rPr>
                <w:rFonts w:ascii="Times New Roman" w:hAnsi="Times New Roman" w:eastAsia="Times New Roman"/>
                <w:b/>
                <w:color w:val="FF8C00"/>
                <w:sz w:val="22"/>
              </w:rPr>
              <w:t>CONDITIONAL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Anchors verified but back-solved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Valuation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CC0000"/>
              </w:rPr>
            </w:r>
            <w:r>
              <w:rPr>
                <w:rFonts w:ascii="Times New Roman" w:hAnsi="Times New Roman" w:eastAsia="Times New Roman"/>
                <w:b/>
                <w:color w:val="CC0000"/>
                <w:sz w:val="22"/>
              </w:rPr>
              <w:t>FAIL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6× spread, fabricated comps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MC Simulation</w:t>
            </w:r>
          </w:p>
        </w:tc>
        <w:tc>
          <w:tcPr>
            <w:tcW w:type="dxa" w:w="1984"/>
          </w:tcPr>
          <w:p>
            <w:r>
              <w:rPr>
                <w:b/>
                <w:color w:val="FF8C00"/>
              </w:rPr>
            </w:r>
            <w:r>
              <w:rPr>
                <w:rFonts w:ascii="Times New Roman" w:hAnsi="Times New Roman" w:eastAsia="Times New Roman"/>
                <w:b/>
                <w:color w:val="FF8C00"/>
                <w:sz w:val="22"/>
              </w:rPr>
              <w:t>CONDITIONAL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Results verified but underpowered at N=5000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Documentation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228B22"/>
              </w:rPr>
            </w:r>
            <w:r>
              <w:rPr>
                <w:rFonts w:ascii="Times New Roman" w:hAnsi="Times New Roman" w:eastAsia="Times New Roman"/>
                <w:b/>
                <w:color w:val="228B22"/>
                <w:sz w:val="22"/>
              </w:rPr>
              <w:t>PASS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34-item self-audit, 8 ADRs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Pipeline</w:t>
            </w:r>
          </w:p>
        </w:tc>
        <w:tc>
          <w:tcPr>
            <w:tcW w:type="dxa" w:w="1984"/>
          </w:tcPr>
          <w:p>
            <w:r>
              <w:rPr>
                <w:b/>
                <w:color w:val="228B22"/>
              </w:rPr>
            </w:r>
            <w:r>
              <w:rPr>
                <w:rFonts w:ascii="Times New Roman" w:hAnsi="Times New Roman" w:eastAsia="Times New Roman"/>
                <w:b/>
                <w:color w:val="228B22"/>
                <w:sz w:val="22"/>
              </w:rPr>
              <w:t>PASS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16K LOC, 287 tests, deterministic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Cover Docs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FF8C00"/>
              </w:rPr>
            </w:r>
            <w:r>
              <w:rPr>
                <w:rFonts w:ascii="Times New Roman" w:hAnsi="Times New Roman" w:eastAsia="Times New Roman"/>
                <w:b/>
                <w:color w:val="FF8C00"/>
                <w:sz w:val="22"/>
              </w:rPr>
              <w:t>CONDITIONAL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Honest but incomplete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Stress Testing</w:t>
            </w:r>
          </w:p>
        </w:tc>
        <w:tc>
          <w:tcPr>
            <w:tcW w:type="dxa" w:w="1984"/>
          </w:tcPr>
          <w:p>
            <w:r>
              <w:rPr>
                <w:b/>
                <w:color w:val="FF8C00"/>
              </w:rPr>
            </w:r>
            <w:r>
              <w:rPr>
                <w:rFonts w:ascii="Times New Roman" w:hAnsi="Times New Roman" w:eastAsia="Times New Roman"/>
                <w:b/>
                <w:color w:val="FF8C00"/>
                <w:sz w:val="22"/>
              </w:rPr>
              <w:t>CONDITIONAL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Base case passes, tails weak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Legal/Disclaimers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FF8C00"/>
              </w:rPr>
            </w:r>
            <w:r>
              <w:rPr>
                <w:rFonts w:ascii="Times New Roman" w:hAnsi="Times New Roman" w:eastAsia="Times New Roman"/>
                <w:b/>
                <w:color w:val="FF8C00"/>
                <w:sz w:val="22"/>
              </w:rPr>
              <w:t>CONDITIONAL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Present but template placeholders remain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Metadata</w:t>
            </w:r>
          </w:p>
        </w:tc>
        <w:tc>
          <w:tcPr>
            <w:tcW w:type="dxa" w:w="1984"/>
          </w:tcPr>
          <w:p>
            <w:r>
              <w:rPr>
                <w:b/>
                <w:color w:val="CC0000"/>
              </w:rPr>
            </w:r>
            <w:r>
              <w:rPr>
                <w:rFonts w:ascii="Times New Roman" w:hAnsi="Times New Roman" w:eastAsia="Times New Roman"/>
                <w:b/>
                <w:color w:val="CC0000"/>
                <w:sz w:val="22"/>
              </w:rPr>
              <w:t>FAIL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Developer path, internal classification</w:t>
            </w:r>
          </w:p>
        </w:tc>
      </w:tr>
      <w:tr>
        <w:tc>
          <w:tcPr>
            <w:tcW w:type="dxa" w:w="2551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Version Control</w:t>
            </w:r>
          </w:p>
        </w:tc>
        <w:tc>
          <w:tcPr>
            <w:tcW w:type="dxa" w:w="1984"/>
            <w:shd w:fill="E8F0FE" w:val="clear"/>
          </w:tcPr>
          <w:p>
            <w:r>
              <w:rPr>
                <w:b/>
                <w:color w:val="228B22"/>
              </w:rPr>
            </w:r>
            <w:r>
              <w:rPr>
                <w:rFonts w:ascii="Times New Roman" w:hAnsi="Times New Roman" w:eastAsia="Times New Roman"/>
                <w:b/>
                <w:color w:val="228B22"/>
                <w:sz w:val="22"/>
              </w:rPr>
              <w:t>PASS</w:t>
            </w:r>
          </w:p>
        </w:tc>
        <w:tc>
          <w:tcPr>
            <w:tcW w:type="dxa" w:w="5102"/>
            <w:shd w:fill="E8F0FE" w:val="clear"/>
          </w:tcPr>
          <w:p>
            <w:r/>
            <w:r>
              <w:rPr>
                <w:rFonts w:ascii="Times New Roman" w:hAnsi="Times New Roman" w:eastAsia="Times New Roman"/>
                <w:sz w:val="22"/>
              </w:rPr>
              <w:t>Manifest, SHA-256, 12 backup chain</w:t>
            </w:r>
          </w:p>
        </w:tc>
      </w:tr>
    </w:tbl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6. Roadmap to FULL PASS</w:t>
      </w:r>
    </w:p>
    <w:p>
      <w:pPr>
        <w:spacing w:after="120"/>
      </w:pPr>
      <w:r>
        <w:rPr>
          <w:rFonts w:ascii="Times New Roman" w:hAnsi="Times New Roman" w:eastAsia="Times New Roman"/>
          <w:b/>
          <w:color w:val="0070C0"/>
          <w:sz w:val="28"/>
        </w:rPr>
        <w:t xml:space="preserve">Quick Wins (0–2 days): </w:t>
      </w:r>
      <w:r>
        <w:rPr>
          <w:rFonts w:ascii="Times New Roman" w:hAnsi="Times New Roman" w:eastAsia="Times New Roman"/>
          <w:sz w:val="28"/>
        </w:rPr>
        <w:t>Scrub leakage (items 1–2), clean metadata, fix template placeholders, reconcile scenario probabilities.</w:t>
      </w:r>
    </w:p>
    <w:p>
      <w:pPr>
        <w:spacing w:after="120"/>
      </w:pPr>
      <w:r>
        <w:rPr>
          <w:rFonts w:ascii="Times New Roman" w:hAnsi="Times New Roman" w:eastAsia="Times New Roman"/>
          <w:b/>
          <w:color w:val="0070C0"/>
          <w:sz w:val="28"/>
        </w:rPr>
        <w:t xml:space="preserve">Structural (1–3 weeks): </w:t>
      </w:r>
      <w:r>
        <w:rPr>
          <w:rFonts w:ascii="Times New Roman" w:hAnsi="Times New Roman" w:eastAsia="Times New Roman"/>
          <w:sz w:val="28"/>
        </w:rPr>
        <w:t>Convert 5 key sheets to live formulas, standardize IRR method, reconcile valuation spread to ≤2×, add comp sources, fix D&amp;A jump.</w:t>
      </w:r>
    </w:p>
    <w:p>
      <w:pPr>
        <w:spacing w:after="120"/>
      </w:pPr>
      <w:r>
        <w:rPr>
          <w:rFonts w:ascii="Times New Roman" w:hAnsi="Times New Roman" w:eastAsia="Times New Roman"/>
          <w:b/>
          <w:color w:val="0070C0"/>
          <w:sz w:val="28"/>
        </w:rPr>
        <w:t xml:space="preserve">Architectural (4–6 weeks): </w:t>
      </w:r>
      <w:r>
        <w:rPr>
          <w:rFonts w:ascii="Times New Roman" w:hAnsi="Times New Roman" w:eastAsia="Times New Roman"/>
          <w:sz w:val="28"/>
        </w:rPr>
        <w:t>Full formula-based rebuild, independent verification by second engineer, MC engine upgrade with proper cashflow-based IRR, bottom-up cost derivation.</w:t>
      </w:r>
    </w:p>
    <w:p>
      <w:pPr>
        <w:pStyle w:val="Heading2"/>
        <w:spacing w:before="280" w:after="80"/>
      </w:pPr>
      <w:r>
        <w:rPr>
          <w:rFonts w:ascii="Times New Roman" w:hAnsi="Times New Roman" w:eastAsia="Times New Roman"/>
          <w:color w:val="0070C0"/>
          <w:sz w:val="32"/>
        </w:rPr>
        <w:t>7. П5 Verification Results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8"/>
        </w:rPr>
        <w:t>32/32 mechanisms applied across 7 blocks. Confidence level: HIGH for data extraction and structural checks; MEDIUM for financial logic verification (limited by static nature of model); HIGH for pipeline assessment.</w:t>
      </w:r>
    </w:p>
    <w:p/>
    <w:p>
      <w:pPr>
        <w:pBdr>
          <w:bottom w:val="single" w:sz="4" w:space="1" w:color="999999"/>
        </w:pBdr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666666"/>
          <w:sz w:val="20"/>
        </w:rPr>
        <w:t>This document was generated as part of a DD-grade independent audit. All findings are based on structural analysis of the xlsx artifact, pipeline code review, and Monte Carlo simulation verification. This summary does not constitute investment advice.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666666"/>
          <w:sz w:val="20"/>
        </w:rPr>
        <w:t>Audit Executive Summary v1.0 | April 13, 2026 | Claude Code Auditor | Confidential — For Investor Due Diligence Use Only</w:t>
      </w:r>
    </w:p>
    <w:sectPr w:rsidR="00FC693F" w:rsidRPr="0006063C" w:rsidSect="00034616">
      <w:pgSz w:w="11906" w:h="16838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