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56"/>
          <w:szCs w:val="56"/>
        </w:rPr>
        <w:t xml:space="preserve">БЕЗЖАЛОСТНЫЙ АУДИТ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70C0"/>
          <w:sz w:val="48"/>
          <w:szCs w:val="48"/>
        </w:rPr>
        <w:t xml:space="preserve">ФИНАНСОВОЙ МОДЕЛИ КИНОХОЛДИНГА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44"/>
          <w:szCs w:val="44"/>
        </w:rPr>
        <w:t xml:space="preserve">"ТрендСтудио"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32"/>
          <w:szCs w:val="32"/>
        </w:rPr>
        <w:t xml:space="preserve">Независимый инвестиционный аудит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333333"/>
          <w:sz w:val="32"/>
          <w:szCs w:val="32"/>
        </w:rPr>
        <w:t xml:space="preserve">Сумма инвестиций: 1 250 000 000 руб.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333333"/>
          <w:sz w:val="32"/>
          <w:szCs w:val="32"/>
        </w:rPr>
        <w:t xml:space="preserve">Доля: 50% акционерного капитала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999999"/>
          <w:sz w:val="28"/>
          <w:szCs w:val="28"/>
        </w:rPr>
        <w:t xml:space="preserve">Апрель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6"/>
          <w:szCs w:val="36"/>
        </w:rPr>
        <w:t xml:space="preserve">КОНФИДЕНЦИАЛЬНО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1. Резюме для принятия решения (Executive Summary)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ИТОГОВАЯ ОЦЕНКА: КАТЕГОРИЧЕСКИ НЕ РЕКОМЕНДУЕТСЯ К ИНВЕСТИРОВАНИЮ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аудит проведён в отношении финансовой модели кинохолдинга «ТрендСтудио», предлагающего инвестору вложить 1 250 млн руб. в обмен на 50% доли. По результатам анализа 11 блоков выявлено 7 критических стоп-факторов, 5 существенных проблем и множество менее значимых несоответствий.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Ключевые выводы: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финансовая модель содержит внутренние противоречия (срок окупаемости: 24 мес. на листе PnL vs 36–48 мес. на листе Модель), полностью отсутствует маркетинговый бюджет (375–625 млн руб. по отраслевым стандартам), не учтены налоги (~400 млн руб.), а реальные совокупные расходы превышают заявленные в 1,8–2,1 раза. При скорректированном базовом сценарии (доходы −30%, + маркетинг, + налоги) проект едва выходит в ноль (+24 млн, ROI = 1,9% за 3 года). При пессимистичном сценарии инвестор теряет 85% вложений (−1 066 млн).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Доходность скорректированного базового сценария (CAGR ~0,6%)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компенсирует даже инфляцию, не говоря о рисках кинопроизводства, где 70–80% проектов убыточны. Безрисковая альтернатива (ОФЗ) приносит 16–18% годовых при нулевом риске потери капитала.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Отдельную тревогу вызывает профиль команды: основатель позиционируется как инфлюенсер и организатор мероприятий, компания зарегистрирована в 2023 году, текущая выручка 260 млн руб. — при этом модель предполагает рост в 12 раз за 3 года, что не имеет прецедентов в российской киноиндустрии.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2. Методология аудита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проведён по 11 аналитическим блокам, сгруппированным в три приоритета: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P0 (критические):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Блок 1 — внутренняя согласованность, Блок 4 — пропущенные расходы, Блок 5 — структура сделки.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ED7D31"/>
          <w:sz w:val="28"/>
          <w:szCs w:val="28"/>
        </w:rPr>
        <w:t xml:space="preserve">P1 (рыночная проверка):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Блок 2 — бенчмаркинг по рынку, Блок 3 — доходные допущения, Блок 7 — стресс-тест и сценарии.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P2 (углублённый анализ):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Блок 6 — юридическая экспертиза, Блоки 8–11 — красные флаги, due diligence, метрики, конкуренты, Блок 12 — адвокат дьявола.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расчёты выполнены программно (Python) с двойной перекрёстной проверкой. Рыночные данные получены из открытых источников (КиноПоиск, КиноМетро, Ведомости, РБК, Коммерсантъ, ТАСС).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3. Внутренняя согласованность модели (Блок 1)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3.1. Арифметическая проверка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Арифметика операционных расходов в целом корректна: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1200"/>
        <w:gridCol w:w="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Статья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Пересчёт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✔/✘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Аренда/год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275 м² × 2 500 × 12 / 1 000 000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ФОТ с взносами/год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4,74 × 1,30 ×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73,944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73,944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Прочие (8% ФОТ)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73,944 × 0,08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5,916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5,916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Коммунальные/год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 OPEX/год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Сумма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88,506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88,506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арифметика OPEX сходится с точностью до 0,02%. Однако это единственная часть модели, которая не содержит ошибок.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3.2. Критическое противоречие №1: Срок окупаемости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 PnL: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окупаемость = конец 8-го квартала = 24 месяца.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 Модель: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окупаемость = 36–48 месяцев. Разрыв — 12–24 месяца.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 расхождения: лист PnL считает только денежные инвестиции инвестора (1 250 млн), а лист Модель — общий бюджет (1 850 млн, включая 600 млн оценки прав). Это не разброс оценок — это два разных проекта в одном документе. Если верен второй расчёт (36–48 мес.), то окупаемость выходит за горизонт модели (12 кварталов = 36 мес.), и инвестор в рамках модели не окупается.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Два взаимоисключающих срока окупаемости в одном документе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3.3. Критическое противоречие №2: Сумма инвестиций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50% доли за инвестиции ~1 млрд руб.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инвестиции инвестора = 1 250 млн руб. Разрыв: 250 млн (25%). Это не «reкомендуемое округление» — это скрытое увеличение суммы на четверть.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Противоречие в сумме инвестиций между справкой и моделью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3.4. Противоречие №3: Доходы на проект vs общие доходы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 Доходы показывает ~1 515 млн на один проект. Общие доходы по модели — 4 550 млн. Это подразумевает 3,0 проекта (4 550 / 1 515). Но портфель заявлен как 10+ фильмов. Возникает вопрос: если только 3 из 10+ генерируют доход, что происходит с остальными семью? Или расчёт «на проект» не согласован с расчётом «общий»?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4. Пропущенные расходы (Блок 4)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учитывает только прямые инвестиции и операционные расходы. Целый ряд существенных статей полностью отсутствует: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Статья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Стандарт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Оценка, млн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В модели?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P&amp;A (маркетинг и продвижение)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30–50% от бюджета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375–625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Непредвиденные расходы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10% от бюджета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Налог на прибыль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Страхование съёмок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1–3% от бюджета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12,5–37,5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Лицензии (музыка, IP)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проекту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20–50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Командировки/экспедиции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проекту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30–80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Юридическое сопровождение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Фикс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5–15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 неучтённого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967–1 333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реальные расходы = 1 250 + 967 = 2 217–2 582 млн (×1,8–2,1 от заявленного). При таких расходах модель убыточна даже в оптимистичном сценарии.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4.1. Маркетинг — критический пробел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российской киноиндустрии бюджет на продвижение (P&amp;A) составляет 30–50% от производственного бюджета. Для сравнения: «Волшебник Изумрудного города» при бюджете 978 млн руб. собрал 3,3 млрд — но в эту сумму входили значительные затраты на маркетинг. Фильм без рекламного бюджета в современном прокате физически не способен собрать заявленные суммы.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Маркетинговый бюджет = 0 руб. при заявленных сборах 2 950 млн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4.2. Визуализация: от заявленной прибыли к реальной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chart1_waterfall.png" descr="chart1_waterfall.png" title="chart1_waterf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5. Структура сделки (Блок 5)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5.1. Диспропорция вкладов и доходов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Инвестор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Продюсеры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Вклад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1 250 млн (деньги) = 68%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600 млн (права) = 32%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Доход (по модели)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2 215 млн (60%)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785 млн (40%)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Прибыль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+965 млн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+785 млн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Риск потери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 вложений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 (нет живых денег)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Инвестор вносит 68% бюджета деньгами, но получает лишь 60% — недополучая 8 процентных пунктов. При этом продюсеры рискуют нулём (права не являются «живыми» деньгами), а инвестор рискует 100% вложений. ROI продюсеров (131%) значительно выше ROI инвестора (77%) — при нулевом риске для первых.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5.2. Оценка прав в 600 млн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Продюсеры вносят «права на фильмы», оценённые в 600 млн руб. Кто провёл оценку? Заключение по ФЗ-135 «Об оценочной деятельности» не представлено. Без независимой оценки это произвольная цифра, завышение которой напрямую уменьшает долю инвестора.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Оценка прав в 600 млн без независимого заключения по ФЗ-135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5.3. Сравнение с безрисковыми альтернативами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Доходность, % год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Риск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Ликвидность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ОФЗ (2024–2025)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16–18%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Минимальный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Банковский депозит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18–20%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Минимальный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Венчур (медиана)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20–30%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Высокий, диверсиф.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Данный проект (скорр.)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~0,6%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ЭКСТРЕМАЛЬНЫЙ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Нулевая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Премия за риск =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0,6% − 17% = −16,4%. Инвестор получает доходность ниже безрисковой ставки при экстремальном уровне риска. Для кинопроизводства адекватная премия составляет минимум 15–20% сверх ОФЗ, что требует CAGR 31–38% годовых.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Доходность базового сценария (0,6% годовых) ниже безрисковой ставки (16–18%)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6. Промежуточный вердикт P0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Обнаружено 6 стоп-факторов уровня 🔴: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 Два взаимоисключающих срока окупаемости (24 vs 36–48 мес.)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 Маркетинговый бюджет = 0 при заявленных сборах 2 950 млн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3. Пропущенные расходы: 967–1 333 млн (×1,8–2,1 от заявленного)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4. Оценка прав в 600 млн без независимого заключения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5. Противоречие суммы инвестиций: ~1 млрд (справка) vs 1 250 млн (модель)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6. Доходность базового сценария (0,6%) ниже безрисковой ставки (16–18%)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ДОСРОЧНАЯ РЕКОМЕНДАЦИЯ: НЕ ИНВЕСТИРОВАТЬ без устранения стоп-факторов. Продолжаем анализ P1/P2 для полноты картины.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hart5_timeline.png" descr="chart5_timeline.png" title="chart5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7. Бенчмаркинг по рынку (Блок 2)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7.1. Критический вопрос: 2 950 млн — это касса или доля продюсера?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продюсера в России составляет 35–42% от кассовых сборов (после вычета доли кинотеатров ~50% и дистрибьютора ~10–15%). Это принципиально меняет интерпретацию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2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Интерпретация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Продюсеру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Касса, млн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Уровень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2 950 = касса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1 030–1 475 млн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2 950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Уровень «По щучьему велению»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2 950 = доля продюсера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2 950 млн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5 900–8 430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Уровень «Чебурашки» (аномалия)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любой интерпретации модель закладывает уровень кассовых сборов, достижимый только для абсолютных хитов, коих за всю историю российского проката можно пересчитать по пальцам.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7.2. Рыночные бенчмарки (по данным открытых источников)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Объём российского кинорынка в 2024 году: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46,4 млрд руб. (100% проката). 78% сборов — отечественные фильмы. 8 российских фильмов преодолели отметку 1 млрд руб. В 2024 году в прокат вышло 214 российских фильмов. Это значит, что менее 4% российских фильмов собирают более 1 млрд руб.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Рекордсмены: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«Чебурашка» (2023) — 6,7 млрд руб., «Чебурашка 2» (2026) — 6+ млрд руб., «Холоп» — 3,1 млрд руб., «По щучьему велению» — 2 млрд руб. Эти суммы — касса, а не доля продюсера. Доля продюсера в «Чебурашке» = ~2,3–2,8 млрд (35–42%). Это ЕДИНСТВЕННЫЙ фильм, близкий к заявленным доходам модели.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Средний бюджет крупного российского проекта: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700–1 000 млн руб. Бюджеты выросли на 51% за 5 лет. Пример: «Волшебник Изумрудного города» — 978 млн руб. (из них 630 млн — грант Фонда кино).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7.3. Международные продажи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закладывает 600 млн руб. от международных продаж.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Реальность: общие сборы всех российских фильмов за рубежом в 2024 году = $16,6 млн (≈ 1 500 млн руб.). Модель одной компании претендует на 40% всего российского киноэкспорта. В условиях санкций и стагнации экспорта это фантазия.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🛑 СТОП-ФАКТОР: Международные продажи 600 млн = 40% всего российского киноэкспорта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7.4. Гранты ИРИ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указывает 700 млн руб. от грантов ИРИ. Субсидия ИРИ в 2024 году — 18 млрд руб., в 2025 — 25,4 млрд. Максимальный грант Фонда кино на один проект — 100–125 млн руб. (пример: «Королевство кривых зеркал» получило 125 млн). Грант 700 млн для одного холдинга — беспрецедентная сумма, подтверждение (письма, договоры) не представлено.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8. Реалистичность доходных допущений (Блок 3)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8.1. Требуемые доходы по кварталам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Кварталы 5–8: необходимый доход 356,75 млн/кв. = 1 427 млн/год. Кварталы 9–12: 522,13 млн/кв. = 2 089 млн/год (рост +46%). Модель не детализирует, какие проекты генерируют этот поток.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2 фильма в год — 714 млн на фильм = касса ~1 428 млн (выше среднего, но возможно). Если 1 фильм — 1 427 млн = касса ~2 850 млн (топ-5 за всю историю). При штате 50 человек реалистично производство 1–2 фильмов одновременно, но не 4–5.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8.2. Структурная проблема: равномерность доходов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раскладывает доходы равномерно по кварталам. В реальности 70–80% кассовых сборов приходятся на первые 4 недели проката. Равномерный квартальный поток возможен только при конвейере релизов (минимум 1 фильм в квартал = 4 фильма в год). При штате 50 человек это физически невозможно без масштабного аутсорса, расходы на который в модели отсутствуют.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8.3. Временная структура поступлений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Кинотеатральный прокат: месяцы 0–3. SVOD-платформы: месяцы 6–9. ТВ-права: месяцы 12–18. Международные: 6–36 месяцев (непредсказуемо). Модель не учитывает эту структуру, что завышает доходы ранних кварталов.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9. Стресс-тест и сценарный анализ (Блок 7)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9.1. Три сценария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А (оптимист.)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Б (базовый)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В (пессимист.)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Корректировка доходов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0% (как в модели)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−50%, задержка 2 кв.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Маркетинг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 млн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 млн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Непредвиденные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125 млн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125 млн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Налог на прибыль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(кв. 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+2 000 млн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+24 млн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−1 066 млн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ROI за 3 года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+1,9%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−85%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2,60×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1,02×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0,15×</w:t>
            </w:r>
          </w:p>
        </w:tc>
      </w:tr>
    </w:tbl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9.2. Визуализация сценариев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chart3_scenarios.png" descr="chart3_scenarios.png" title="chart3_scena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9.3. Стресс-тесты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Эффект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Доходы, млн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Δ от базы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из 5 фильмов провалились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−40% проката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3 370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−1 180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Международные = 0 (санкции)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−600 млн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−600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Стриминги −40%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−240 млн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 + S2 + S3 одновременно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Комбинация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2 530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−2 020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 комбинированном стрессе S4: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доходы 2 530 млн, с учётом маркетинга и непредвиденных: 2 530 − 1 850 − 500 − 125 = 55 млн (на грани нуля). Доля инвестора: ~33 млн. Инвестор теряет ~97% вложений.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9.4. Точка невозврата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маркетингом и непредвиденными: если общие доходы &lt; 2 083 млн (менее 46% от плана) — инвестор теряет &gt; 50% вложений. Для портфеля это менее 350 млн/год — при 2–3 фильмах = менее 175 млн на фильм, что ниже среднего для отечественного кинопроката.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10. Юридическая экспертиза (Блок 6)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Защита при провале.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Залог, поручительство, личные гарантии учредителей — не предусмотрены. При банкротстве инвестор теряет 100% вложений.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Anti-dilution.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защиты от размывания доли при допэмиссии или дополнительных инвестициях не прописан.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Условия выхода (exit).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Drag-along, tag-along, put-option — не прописаны. Без них инвестор заперт в неликвидном активе с нулевой возможностью выхода.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Deadlock risk.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паритете 50/50 любое решение требует согласия обеих сторон. Механизм разрешения тупиков не определён.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Юридическая чистота группы.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группы (Клеппер, Культ, Оракул) — когда зарегистрированы? Перекрёстное владение? Аффилированность? Рекомендуется полный due diligence через СПАРК/Контур.Фокус.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Неясная формулировка.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«Устав новым советом учредителей» (лист Модель, п. 3.2) — совет директоров? Общее собрание участников? Полномочия неопределены.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IP-права.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Кому принадлежат права на фильмы — холдингу или отдельным юрлицам группы? Если права у Клеппер/Культ/Оракул — инвестор в холдинг их не контролирует.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11. Красные флаги и Due Diligence команды (Блоки 8–9)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11.1. Сводный реестр красных флагов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00"/>
        <w:gridCol w:w="4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Красный флаг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⚠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Возраст компании (2023) vs запрос 1+ млрд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Компании 2–3 года — ноль track record в кино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Рост выручки 260 → 3 000+ = ×12 за 3 года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имеет прецедентов в РФ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NPV/IRR/WACC в модели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Базовые метрики — отраслевой стандарт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сценарного анализа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Единственный сценарий = оптимистичный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маркетингового бюджета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375–625 млн — обязательная статья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Противоречие: 24 vs 36–48 мес.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разных проекта в одном документе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Оценка прав 600 млн без обоснования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заключения по ФЗ-135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детализации по проектам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Невозможно оценить риск портфеля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Инвестиции ~1 млрд vs 1 250 млн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Скрытое увеличение на 25%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Равномерность квартальных доходов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соответствует реалиям проката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налогов в модели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~400 млн неучтённых расходов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Доходность ниже безрисковой ставки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0,6% vs 16–18% ОФЗ</w:t>
            </w:r>
          </w:p>
        </w:tc>
      </w:tr>
    </w:tbl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11.2. Due Diligence команды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Удай Абу-Зарук (основатель):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позиционируется как инфлюенсер («Шейх Удай»), блогер и организатор мероприятий. Опыт в кинопроизводстве — не подтверждён открытыми источниками. TrendStudio специализируется на контенте и управлении талантами, а не на производстве полнометражного кино.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Фильмы из портфеля: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«Моя собака — космонавт» (премьера 09.04.2026, режиссёр Михаил Морсков, продюсер — в т.ч. Филипп Нестеров) — подтверждён. «Заповедник 2.0» (2026) — подтверждён. Однако кассовые сборы неизвестны, фильмы ещё не вышли или только выходят.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Разрыв масштаба: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текущая выручка 260 млн/год → целевая 3+ млрд/год = рост в 12× за 3 года. Крупнейшие российские компании (Yellow Black &amp; White, Централ Партнершип, СТВ, Базелевс) наращивали масштаб десятилетиями. Ни одна команда в мировой киноиндустрии не совершала такого рывка без мейджор-студии за спиной.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Операционная мощность: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50 человек штата. Один фильм на пике = 50–150 человек (включая фрилансеров). Для 3–5 одновременных проектов нужен штат 200–500+. Расходы на аутсорс в модели отсутствуют.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12. Инвестиционные метрики (Блок 10)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12.1. WACC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CAPM = Rf + β × (Rm − Rf) = 16% + 2,0 × 10% = 36%. Премии: неликвидность +4%, малый размер +4%, отраслевой риск кинопроизводства +7%. Итого WACC = 51%.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12.2. NPV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Ставка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548235"/>
                <w:sz w:val="24"/>
                <w:szCs w:val="24"/>
              </w:rPr>
              <w:t xml:space="preserve">+882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−407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−1 096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548235"/>
                <w:sz w:val="24"/>
                <w:szCs w:val="24"/>
              </w:rPr>
              <w:t xml:space="preserve">+624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−495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−1 085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548235"/>
                <w:sz w:val="24"/>
                <w:szCs w:val="24"/>
              </w:rPr>
              <w:t xml:space="preserve">+519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−528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−1 077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51% (WACC)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548235"/>
                <w:sz w:val="24"/>
                <w:szCs w:val="24"/>
              </w:rPr>
              <w:t xml:space="preserve">+345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−580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−1 058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NPV сценария Б при WACC = −580 млн. Это означает, что даже скорректированный базовый сценарий уничтожает стоимость. Положительный NPV только у оптимистичного сценария (А), вероятность которого оценивается как НИЗКАЯ.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12.3. IRR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Сценарий 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82,1%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vs WACC (51%)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 &gt; WACC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WACC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WACC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vs ОФЗ (16%)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 &gt; ОФЗ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ОФЗ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ОФЗ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vs Депозит (18%)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✔ &gt; Деп.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Деп.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✘ &lt; Деп.</w:t>
            </w:r>
          </w:p>
        </w:tc>
      </w:tr>
    </w:tbl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IRR базового сценария (0,9%)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покрывает даже инфляцию. IRR &lt; WACC = проект разрушает стоимость.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13. Конкурентный анализ (Блок 11)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Фонда кино, в список лидеров отечественного кинопроизводства на 2024 год входят: Централ Партнершип (6 проектов в топ-10, совокупный бокс-офис 10,4+ млрд руб.), СТВ, Yellow Black &amp; White, и другие. ТрендСтудио в этом списке отсутствует.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120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ТрендСтудио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Базелевс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СТВ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Art Pictures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Yellow B&amp;W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Год основания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Выручка, млн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~2 000+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~1 500+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~1 000+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~5 000+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10+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Хиты (&gt;1 млрд)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Штат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~500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chart4_radar.png" descr="chart4_radar.png" title="chart4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новичок рынка, пытающийся за 3 года достичь масштаба компаний, строивших бизнес 15–30 лет. Ни один параметр (выручка, опыт, портфель, хиты, штат) не приближается к уровню лидеров.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14. Адвокат дьявола (Блок 12)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защиты от confirmation bias рассмотрим аргументы В ПОЛЬЗУ инвестиции:</w:t>
      </w:r>
    </w:p>
    <w:p>
      <w:pPr>
        <w:pStyle w:val="Heading3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Аргумент 1: Гранты ИРИ 700 млн снижают риск инвестора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гранты подтвердятся, чистые инвестиции инвестора снижаются с 1 250 до ~550 млн.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Контр-аргумент: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Подтверждение грантов не представлено. Максимальный грант Фонда кино на один проект = 100–125 млн. Грант 700 млн для компании без track record — беспрецедентен.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Сила: СЛАБЫЙ.</w:t>
      </w:r>
    </w:p>
    <w:p>
      <w:pPr>
        <w:pStyle w:val="Heading3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Аргумент 2: Рынок российского кино растёт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Объём рынка вырос до 46,4 млрд руб. в 2024. 78% — отечественные фильмы (до 2022 доля была ~25%).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Контр-аргумент: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Рост рынка ≠ рост конкретной компании. В начале 2025 г. рынок снизился на 33%. Кроме того, расширение рынка привлекает конкуренцию, а не гарантирует долю.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Сила: УМЕРЕННЫЙ.</w:t>
      </w:r>
    </w:p>
    <w:p>
      <w:pPr>
        <w:pStyle w:val="Heading3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Аргумент 3: Портфель 10+ проектов = диверсификация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Диверсификация снижает зависимость от одного фильма.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Контр-аргумент: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Без индивидуальных P&amp;L невозможно оценить, снижает ли портфель риск или увеличивает его (убыточные проекты тянут прибыльные). При штате 50 человек производство 10+ фильмов параллельно физически нереалистично.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Сила: СЛАБЫЙ.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Даже при максимально благоприятной интерпретации всех аргументов «за», их совокупный вес НЕ ПЕРЕВЕШИВАЕТ 7 выявленных стоп-факторов.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15. Матрица рисков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714750"/>
            <wp:effectExtent t="0" r="0" b="0" l="0"/>
            <wp:docPr id="1" name="chart2_risk_matrix.png" descr="chart2_risk_matrix.png" title="chart2_risk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500"/>
        <w:gridCol w:w="3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Риск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Вероятн.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⚠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Провал 2+ фильмов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Поэтапное финансирование с KPI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Перерасход бюджета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 на бюджет каждого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Deadlock 50/50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Арбитражная оговорка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Международные =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🟠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включать в base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Задержка производства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🟠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Штрафные санкции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Изменение грантов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🟠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включать гранты в base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Уход ключевых лиц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🟠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Key-man clause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16. Рекомендации инвестору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16.1. Документы, которые потребовать ДО решения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Штатное расписание с разбивкой по должностям и окладам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Независимая оценка прав/IP по ФЗ-135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Маркетинговый бюджет по каждому проекту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Индивидуальные P&amp;L по каждому фильму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Юридическая структура группы (СПАРК/Контур.Фокус)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Проект корпоративного договора с условиями exit/anti-dilution/deadlock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Подтверждение грантов ИРИ (письма, договоры)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Track record: документально подтверждённые кассовые сборы предыдущих проектов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16.2. Условия, при которых инвестиция МОЖЕТ быть оправдана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Снижение суммы инвестиций до 400–600 млн (на уровне подтверждённого маркетингового бюджета и грантов).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Изменение распределения на 70/30 или 80/20 до окупаемости (соразмерно вкладу и риску).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Жёсткие KPI для каждого транша с правом полного отказа от последующих.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Личные гарантии / залог активов учредителей.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Put-option через 36 месяцев по фиксированной цене.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Независимый наблюдательный совет с правом вето на расходы &gt; 10 млн.</w:t>
      </w:r>
    </w:p>
    <w:p>
      <w:pPr>
        <w:pStyle w:val="Heading2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16.3. Альтернативные структуры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Конвертируемый заём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equity — гарантирует возврат + процент при провале, конвертируется в долю при успехе.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Продюсерский fee + revenue share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доли — минимизирует downside, участие в upside через процент от сборов.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Со-инвестирование с Фондом кино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разделение риска с государством, подтверждение качества проекта.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17. Финальный вердикт</w:t>
      </w:r>
    </w:p>
    <w:p>
      <w:pPr>
        <w:pBdr>
          <w:left w:val="single" w:color="C00000" w:sz="12"/>
        </w:pBdr>
        <w:spacing w:after="200" w:before="200"/>
        <w:ind w:left="567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ИТОГОВАЯ ОЦЕНКА: КАТЕГОРИЧЕСКИ НЕ РЕКОМЕНДУЕТСЯ К ИНВЕСТИРОВАНИЮ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результатам полного аудита 11 блоков обнаружено </w:t>
      </w: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7 критических (🔴)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ED7D31"/>
          <w:sz w:val="28"/>
          <w:szCs w:val="28"/>
        </w:rPr>
        <w:t xml:space="preserve">5 существенных (🟡)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проблем.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Инвестиционные метрики: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NPV при базовом сценарии и WACC = −580 млн (отрицательный). IRR базового сценария = 0,9% &lt; WACC 51% (разрушает стоимость). MOIC базового сценария = 1,02× (возврат на грани вложенного). При скорректированных предпосылках проект генерирует доходность 0,6% годовых при экстремальном риске.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«Адвокат дьявола»: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выявлены 3 аргумента в пользу инвестиции (рост рынка, портфельная диверсификация, гранты), но они НЕ ПЕРЕВЕШИВАЮТ стоп-факторы. Один сильный контр-аргумент (рост рынка) нейтрализуется отсутствием track record и профилем команды.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текущем виде финансовая модель не выдерживает проверки ни по одному из 11 блоков аудита. Инвестору рекомендуется: (а) запросить полный пакет документов из раздела 16.1, (б) рассмотреть альтернативные структуры из раздела 16.3, (в) при сохранении интереса — привлечь независимого финансового аудитора для повторной оценки после устранения стоп-факторов.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КОНФИДЕНЦИАЛЬНО | Аудит финансовой модели ТрендСтудио | Апрель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9c6d18829c5f1e2ca6851413ec55e13b30e052.png"/><Relationship Id="rId10" Type="http://schemas.openxmlformats.org/officeDocument/2006/relationships/image" Target="media/f25c6f1a573f4e096964224cd69ec07599d832e1.png"/><Relationship Id="rId11" Type="http://schemas.openxmlformats.org/officeDocument/2006/relationships/image" Target="media/5e7402c942ac87ab28ad4a19b89a6f6b6ba5cf57.png"/><Relationship Id="rId12" Type="http://schemas.openxmlformats.org/officeDocument/2006/relationships/image" Target="media/684a1ed44788f0da54eb7c51447df0250309ec83.png"/><Relationship Id="rId13" Type="http://schemas.openxmlformats.org/officeDocument/2006/relationships/image" Target="media/3f10dff5982319be21c81d5450996722453a057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2026-04-02T09:46:10.284Z</dcterms:created>
  <dcterms:modified xsi:type="dcterms:W3CDTF">2026-04-02T09:46:10.284Z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