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СОПРОВОДИТЕЛЬНАЯ СПРАВКА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8"/>
          <w:szCs w:val="28"/>
        </w:rPr>
        <w:t xml:space="preserve">к финансовой модели холдинга кино «ТрендСтудио» v1.0.1 Public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2"/>
          <w:szCs w:val="22"/>
        </w:rPr>
        <w:t xml:space="preserve">Приложение к инвестиционному пакету  |  Апрель 2026  |  Конфиденциально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1. Резюме проекта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Холдинг кино «ТрендСтудио» — российская кинопродакционная компания, формирующая диверсифицированный портфель из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12 премиальных фильмов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с совокупным производственным бюджетом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1 850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(средний бюджет ~154 млн ₽ на проект). Горизонт основной модели — 2026–2028, с going-concern проекцией до 2032 года. Жанровая палитра охватывает семейную драму, боевик, исторический эпос, фэнтези, фантастику, триллер, комедию и мелодраму — обеспечивая портфельный эффект снижения проектного риска.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Монетизация осуществляется через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 каналов выручки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: кассовые сборы (48%), SVOD/стриминг (20%), ТВ-вещание (8%), международные продажи (10%), digital/VOD (4%), а также спонсорство (5%), мерчандайзинг (2%) и государственная поддержка (3%).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Объём привлекаемых инвестиций: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[СУММА РАУНДА]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Минимальный тикет: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[МИН. ТИКЕТ]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Инвестиция T₁ = 1 250 млн ₽ структурирована в 4 транша с привязкой к milestone-ам (Dev gate Q1’2026 — 250, Prod gate Q3’2026 — 350, Post-prod Q1’2027 — 350, Release Q3’2027 — 300 млн ₽). Producer equity = 600 млн ₽ (off-P&amp;L JV капитал).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2. Инвестиционный тезис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Доходность и защита.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Базовый сценарий модели (Waterfall W₃) показывает IRR 20,09% при MOIC 2,0× и сроке окупаемости 3,23 года. Совокупная выручка за 2026–2028 составляет 4 545 млн ₽, EBITDA (GAAP) — 2 167 млн ₽ при марже 47,3%. NDP (legacy-якорь холдинга) = 3 000 млн ₽. Структура waterfall обеспечивает приоритет возврата LP: 1× ликвидационная привилегия + 8% купон + каскад 60/40. Эффективная налоговая нагрузка составляет ~12,9% благодаря льготе НДС 0% (ст. 149 НК РФ).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Масштаб и диверсификация.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Портфель из 12 проектов с релизами на протяжении 2026–2028 годов обеспечивает естественную диверсификацию: провал одного фильма компенсируется портфельным эффектом остальных. Пять каналов монетизации снижают зависимость от единственного источника выручки. Доля рынка составляет менее 2% от TAM 289,8 млрд ₽ — модель не зависит от захвата рыночной доли.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Прозрачность модели.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Инвестор получает полную верифицированную финансовую модель: 42 листа, Monte Carlo на 5 000 итераций, 3 сценария (Base/Bear/Bull), DCF, сравнительный анализ, risk register из 30 рисков. Модель прошла верификацию по 32 механизмам П5 «Максимум». Все допущения раскрыты в листе 02_Assumptions.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3. Обзор контент-пайплайна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Портфель включает 12 фильмов четырёх тиров: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(«Ночной патруль», «Время героев» — бюджет 220–250 млн ₽, прогноз выручки 500–620 млн ₽),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(«Родные стены», «Красная заря», «Сказка наяву», «Северный ветер», «Горизонт событий» — бюджет 150–180 млн ₽, выручка 310–480 млн ₽),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B+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(«Неизвестный герой», «Полдень» — бюджет 130–140 млн ₽, выручка 330–350 млн ₽)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B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(«Два сердца», «Последний экзамен», «Моё дело» — бюджет 80–100 млн ₽, выручка 200–250 млн ₽).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Расписание релизов: Q4’2026 — 1 фильм; 2027 — 5 фильмов (Q1–Q4); 2028 — 6 фильмов (Q1–Q4). Revenue pattern A+C (33/45/9/13): 78% совокупной выручки проекта приходится на первые два года после релиза. Средний ROI по портфелю — 2,46× (Revenue/Budget).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4. Ключевые финансовые показатели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4.1. Детерминированный базовый сценарий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1590"/>
        <w:gridCol w:w="1590"/>
        <w:gridCol w:w="1590"/>
        <w:gridCol w:w="1590"/>
      </w:tblGrid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2026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2027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Σ 2026–2028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Revenue,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310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1 990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2 245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4 545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EBITDA GAAP,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988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1 121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2 167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Net Profit,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783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893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1 698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NDP (legacy),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3 000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EBITDA margin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47,3%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IRR (W₃ Base)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20,09%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MOIC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2,0×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Payback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3,23 г.</w:t>
            </w:r>
          </w:p>
        </w:tc>
      </w:tr>
    </w:tbl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4.2. Monte Carlo (N = 5 000, seed = 42)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Стохастическая модель учитывает 5 переменных: revenue multiplier (Triangle 0,6/1,0/1,4), EBITDA margin shock (Normal μ=0, σ=4 п.п.), CAPEX overrun (LogNormal σ=10%), exit multiple (Triangle 3/5/7) и film hit rate (Binomial p=0,70, n=12).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5"/>
        <w:gridCol w:w="4209"/>
      </w:tblGrid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Метрика MC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Mean IRR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11,44%</w:t>
            </w:r>
          </w:p>
        </w:tc>
      </w:tr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Median IRR (P50)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12,00%</w:t>
            </w:r>
          </w:p>
        </w:tc>
      </w:tr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18% hurdle)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13,6%</w:t>
            </w:r>
          </w:p>
        </w:tc>
      </w:tr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12% target)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50,0%</w:t>
            </w:r>
          </w:p>
        </w:tc>
      </w:tr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P(Loss — IRR &lt; 0)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5,5%</w:t>
            </w:r>
          </w:p>
        </w:tc>
      </w:tr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VaR 95% (NDP shortfall vs base)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1 771 млн ₽</w:t>
            </w:r>
          </w:p>
        </w:tc>
      </w:tr>
      <w:tr>
        <w:tc>
          <w:tcPr>
            <w:tcW w:type="dxa" w:w="51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Mean MOIC</w:t>
            </w:r>
          </w:p>
        </w:tc>
        <w:tc>
          <w:tcPr>
            <w:tcW w:type="dxa" w:w="42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1,54×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Важное пояснение: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MC mean IRR (11,44%) существенно ниже детерминированного Base IRR (20,09%). Это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не является ошибкой модели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это характеристика стохастического downside. Симуляция учитывает вероятность одновременной реализации нескольких негативных факторов (снижение выручки, рост затрат, падение мультипликатора выхода), что смещает распределение влево. Bear scenario IRR составляет 9,34% — ниже hurdle 18%. Инвестору рекомендуется рассматривать MC-распределение как стресс-тест полного пространства исходов, а детерминированный Base — как якорный ориентир при реализации бизнес-плана.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5. Диапазон оценки стоимости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Оценка ТрендСтудио имеет три точки опоры, отражающие структурные различия подходов: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2058"/>
        <w:gridCol w:w="3555"/>
      </w:tblGrid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Метод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EV 2030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Роль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DCF (blend Gordon 40% + Exit 60%)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1 815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Floor valuation (intrinsic, WACC 19%)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Comps (EV/EBITDA 8,9× median)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7 550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Market valuation (реальные сделки)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Weighted Exit EV (prob-weighted)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6 038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Expected value (ожидаемая стоимость)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Разрыв DCF vs Comps = 5 735 млн ₽ — это не ошибка, а сумма 5 структурных компонентов: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Горизонт обрезан на 2030.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Gordon Growth TV сжимает 30-летнюю библиотеку в константу g=3%. При WACC 19% cash flow из хвостового окна практически обнуляется.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WACC 19% vs buyer WACC 7–9%.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Страновой premium РФ сжимает DCF. Стратегический покупатель дисконтирует тот же поток под 7–9%, получая принципиально другой NPV. Comps отражают цены buyer-side.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Real options не моделируются.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Франшизы, кросс-медиа (игры, мерч, театр), международная копродукция — опционные payoffs с асимметричным upside. DCF считает их = 0.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Execution risk — двойное начисление.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DCF уже содержит execution risk через вероятностно-взвешенные CF. Comps оценивают компанию «как будто всё реализовано» — разница = премия за снятие execution risk.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Капитальная цикличность после 2028.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Going-concern проекция (2029–2032) показывает снижение EBITDA до отрицательных значений без нового пайплайна. Comps не учитывают эту деградацию.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Практический вывод: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справедливая оценка находится внутри диапазона [1 815; 7 550], ближе к Weighted Exit EV ≈ 6 038 млн ₽ при условии реализации base-сценария. Листы модели: 22_Valuation_DCF, 23_Valuation_Multiples, 24_Investor_Returns, 25_Exit_Scenarios.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6. Ключевые риски (топ-5 из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3180"/>
        <w:gridCol w:w="1310"/>
        <w:gridCol w:w="748"/>
        <w:gridCol w:w="3555"/>
      </w:tblGrid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Score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Митигация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R17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NDP shortfall (Base IRR = hurdle + 2 п.п.)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Финансовый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W₃ floor (1× Liq Pref + 8% coupon + 60/40), опция W₄ premium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R03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Срыв production-графика ≥ 6 мес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Производство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Reserve 10%, страхование, 2 трека post-prod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R08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Отказ ФКП в грантовой поддержке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Регуляторный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Двойной трек заявок (ФКП + регионы + РФК)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R12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Девальвация рубля &gt; 25%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Рынок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VFX/post-prod в РФ, FX hedge для платформ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R22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Потеря ключевого режиссёра/продюсера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Операционный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Long-term contracts, ESOP vesting 4 года</w:t>
            </w:r>
          </w:p>
        </w:tc>
      </w:tr>
    </w:tbl>
    <w:p>
      <w:pPr>
        <w:spacing w:after="20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Полный реестр 30 рисков с heat map 5×5 — см. лист 29_Risk_Register финансовой модели.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Disclaimer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Настоящий документ и прилагаемая финансовая модель предназначены исключительно для квалифицированных инвесторов и не являются публичной офертой, рекомендацией к инвестированию или предложением о совершении сделки в смысле ст. 435 ГК РФ.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Прошлая доходность не гарантирует будущих результатов. Все прогнозные показатели являются forward-looking statements, основанными на допущениях, раскрытых в листе 02_Assumptions финансовой модели. Фактические результаты могут существенно отличаться от прогнозных в силу рыночных, регуляторных, операционных и иных факторов.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Стохастическая модель (Monte Carlo, N=5 000) отражает диапазон возможных исходов при заданных распределениях параметров, а не прогноз. Ограничения модели включают: стационарность параметров, отсутствие макрошоков (санкции, пандемии), корреляции вне заданной матрицы, отсутствие моделирования ВКЛ-процентов в Public-версии.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Инвестиционное решение принимается инвестором самостоятельно на основании собственного анализа, включая привлечение независимых финансовых, юридических и налоговых консультантов. Холдинг «ТрендСтудио» не несёт ответственности за убытки, понесённые в результате использования данной информации.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999999"/>
        <w:sz w:val="18"/>
        <w:szCs w:val="18"/>
      </w:rPr>
      <w:t xml:space="preserve">ТрендСтудио | Сопроводительная справка |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2026-04-12T22:22:43.084Z</dcterms:created>
  <dcterms:modified xsi:type="dcterms:W3CDTF">2026-04-12T22:22:43.084Z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