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70C0"/>
          <w:sz w:val="56"/>
          <w:szCs w:val="56"/>
        </w:rPr>
        <w:t xml:space="preserve">ОТЧЁТ ВЕРИФИКАЦИИ П5 «МАКСИМУМ»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66666"/>
          <w:sz w:val="40"/>
          <w:szCs w:val="40"/>
        </w:rPr>
        <w:t xml:space="preserve">Investor Model v3 — ТрендСтудио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Реструктуризация пайплайна: 12 фильмов → 7 проектов (5 фильмов + 2 сериала)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42 листа × 32 механизма верификации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12 апреля 2026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2E7D32"/>
          <w:sz w:val="36"/>
          <w:szCs w:val="36"/>
        </w:rPr>
        <w:t xml:space="preserve">Статус: ✅ PASSED</w:t>
      </w:r>
    </w:p>
    <w:p>
      <w:r>
        <w:br w:type="page"/>
      </w:r>
    </w:p>
    <w:p>
      <w:pPr>
        <w:pStyle w:val="Heading1"/>
        <w:pStyle w:val="Heading1"/>
        <w:spacing w:after="120" w:before="240"/>
      </w:pPr>
      <w:r>
        <w:t xml:space="preserve">1. EXECUTIVE SUMMARY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Реструктуризация Investor Model v3 завершена.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Контент-пайплайн преобразован с 12 фильмов (средний бюджет 154 млн ₽) на 7 проектов — 5 фильмов + 2 сериала (средний бюджет 264 млн ₽). Все 42 листа модели обновлены и верифицированы в 4 стадиях. Финальная верификация П5 «Максимум» проведена по 3 блокам.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Блок верификации</w:t>
            </w:r>
          </w:p>
        </w:tc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Проверки</w:t>
            </w:r>
          </w:p>
        </w:tc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Результат</w:t>
            </w:r>
          </w:p>
        </w:tc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Исправлено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В1: Сквозная сверка цифр</w:t>
            </w:r>
          </w:p>
        </w:tc>
        <w:tc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47 + 4 fix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✅ PASS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старые ссылки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В2: Противоречия + Sync</w:t>
            </w:r>
          </w:p>
        </w:tc>
        <w:tc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41 sync + 30 checks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✅ PASS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 листов re-synced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В3: Логика + Парадоксы</w:t>
            </w:r>
          </w:p>
        </w:tc>
        <w:tc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 + 11 наблюдений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✅ PASS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Поэтапная (Stages 1-4)</w:t>
            </w:r>
          </w:p>
        </w:tc>
        <w:tc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215/215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✅ PASS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pStyle w:val="Heading1"/>
        <w:spacing w:after="120" w:before="240"/>
      </w:pPr>
      <w:r>
        <w:t xml:space="preserve">2. КЛЮЧЕВЫЕ МЕТРИКИ МОДЕЛИ</w:t>
      </w:r>
    </w:p>
    <w:p>
      <w:pPr>
        <w:pStyle w:val="Heading2"/>
        <w:pStyle w:val="Heading2"/>
        <w:spacing w:after="120" w:before="240"/>
      </w:pPr>
      <w:r>
        <w:t xml:space="preserve">2.1 Было → Стало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Метрика</w:t>
            </w:r>
          </w:p>
        </w:tc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v2 (было)</w:t>
            </w:r>
          </w:p>
        </w:tc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v3 (стало)</w:t>
            </w:r>
          </w:p>
        </w:tc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Δ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Проектов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 фильмов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фильмов + 2 сериала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−5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Средний бюджет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154 млн ₽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264 млн ₽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+71%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Revenue 3Y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4 545 млн ₽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4 545 млн ₽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0%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Rev 2026 / 2027 / 2028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385 / 1665 / 2495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570 / 2475 / 1500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перераспр.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EBITDA 3Y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2 167 млн ₽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2 167 млн ₽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≈0%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NDP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3 000 млн ₽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3 000 млн ₽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0%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IRR (W₅ V-D)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24.75%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24.75%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0%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MOIC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2.13×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2.13×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0%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Implied EV (comps avg)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7 550 млн ₽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3 922 млн ₽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−48%</w:t>
            </w:r>
          </w:p>
        </w:tc>
      </w:tr>
    </w:tbl>
    <w:p>
      <w:pPr>
        <w:spacing w:after="200"/>
      </w:pP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Ключевой результат: при полной реструктуризации пайплайна (−5 проектов, +2 сериала) сохранены все якорные инвестиционные метрики — Revenue 3Y, EBITDA 3Y, NDP, IRR, MOIC. Единственное значимое изменение — снижение Implied EV по сопоставимым сделкам из-за более низкого FY2028 Revenue (1500 vs 2495).</w:t>
      </w:r>
    </w:p>
    <w:p>
      <w:r>
        <w:br w:type="page"/>
      </w:r>
    </w:p>
    <w:p>
      <w:pPr>
        <w:pStyle w:val="Heading1"/>
        <w:pStyle w:val="Heading1"/>
        <w:spacing w:after="120" w:before="240"/>
      </w:pPr>
      <w:r>
        <w:t xml:space="preserve">3. РЕЗУЛЬТАТЫ ПО СТАДИЯМ</w:t>
      </w:r>
    </w:p>
    <w:p>
      <w:pPr>
        <w:pStyle w:val="Heading2"/>
        <w:pStyle w:val="Heading2"/>
        <w:spacing w:after="120" w:before="240"/>
      </w:pPr>
      <w:r>
        <w:t xml:space="preserve">Stage 1: Cover, Assumptions, Pipeline (листы 1-3, 7, 8)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62/62 проверок. Обновлены: название портфеля, список проектов П01-П07С, доли выручки (Box Office 38%, SVOD 28%, TV 15%, Digital 12%, International 7%), годовая разбивка Revenue, Change Log.</w:t>
      </w:r>
    </w:p>
    <w:p>
      <w:pPr>
        <w:pStyle w:val="Heading2"/>
        <w:pStyle w:val="Heading2"/>
        <w:spacing w:after="120" w:before="240"/>
      </w:pPr>
      <w:r>
        <w:t xml:space="preserve">Stage 2: P&amp;L, Cash Flow, Balance (листы 9-16)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70/70 проверок. Пересчитаны все квартальные и годовые показатели: Revenue, COGS (GM 55.8%), EBITDA, Net Income, CAPEX (распределение 5/45/35/15%), Cash Flow, Balance Sheet, Working Capital, Debt, Investment Inflow, Use of Funds.</w:t>
      </w:r>
    </w:p>
    <w:p>
      <w:pPr>
        <w:pStyle w:val="Heading2"/>
        <w:pStyle w:val="Heading2"/>
        <w:spacing w:after="120" w:before="240"/>
      </w:pPr>
      <w:r>
        <w:t xml:space="preserve">Stage 3: Deal Structures, Waterfall, DCF (листы 17-28)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43/43 проверок. Cap Table bridge, Unit Economics (7 проектов), KPI Dashboard, DCF (EV blend 774), Multiples (football field 279-15171), Exit Scenarios (PW EV 3305), Sensitivity (tornado), Scenarios (5 сценариев), Monte Carlo.</w:t>
      </w:r>
    </w:p>
    <w:p>
      <w:pPr>
        <w:pStyle w:val="Heading2"/>
        <w:pStyle w:val="Heading2"/>
        <w:spacing w:after="120" w:before="240"/>
      </w:pPr>
      <w:r>
        <w:t xml:space="preserve">Stage 4: Narrative + Final (листы 29-41)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40/40 проверок. Текстовые замены (58 ячеек batch 1), структурная переработка Roadmap (12→7 строк), обновление Comparable Transactions (FY2028 Rev/EBITDA), пересчёт Tax Calendar (квартальное распределение).</w:t>
      </w:r>
    </w:p>
    <w:p>
      <w:r>
        <w:br w:type="page"/>
      </w:r>
    </w:p>
    <w:p>
      <w:pPr>
        <w:pStyle w:val="Heading1"/>
        <w:pStyle w:val="Heading1"/>
        <w:spacing w:after="120" w:before="240"/>
      </w:pPr>
      <w:r>
        <w:t xml:space="preserve">4. НАБЛЮДЕНИЯ И СКРЫТЫЕ ДОПУЩЕНИЯ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верификации П5 выявлены следующие модельные допущения и наблюдения, не являющиеся ошибками, но требующие внимания при использовании модели.</w:t>
      </w:r>
    </w:p>
    <w:p>
      <w:pPr>
        <w:pStyle w:val="Heading2"/>
        <w:pStyle w:val="Heading2"/>
        <w:spacing w:after="120" w:before="240"/>
      </w:pPr>
      <w:r>
        <w:t xml:space="preserve">4.1 Скрытые допущения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GM 55.8% фиксирован для всех кварталов и проектов. В реальности маржа сериалов обычно ниже маржи фильмов на 5-10 п.п. из-за более длинного цикла производства. Уровень уверенности в допущении: 70%.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Вся выручка проекта учитывается в квартале релиза (лампсам). В реальности tail revenue растягивается на 2-3 года (SVOD-окно, международные продажи, TV-ротация).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P&amp;L не включает процентные расходы по возобновляемой кредитной линии (200 млн ₽). При ставке 15% — скрытый OPEX ~30 млн/год.</w:t>
      </w:r>
    </w:p>
    <w:p>
      <w:pPr>
        <w:pStyle w:val="Heading2"/>
        <w:pStyle w:val="Heading2"/>
        <w:spacing w:after="120" w:before="240"/>
      </w:pPr>
      <w:r>
        <w:t xml:space="preserve">4.2 Парадоксы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DCF использует going-concern допущения (Rev 1500-1600, EBITDA 600-640 в 2029-2030), но хвостовой P&amp;L показывает снижение (Rev 380/300/220/150). Это корректный методологический выбор — DCF оценивает стоимость для покупателя, а не текущие операции.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ФОТ/Revenue в хвосте достигает 106% в 2032 году. Компания убыточна по NI в 2031-2032 (−42 и −93 млн). Это следствие going-concern допущения для штатного расписания — при фактическом exit ФОТ будет оптимизирован.</w:t>
      </w:r>
    </w:p>
    <w:p>
      <w:pPr>
        <w:pStyle w:val="Heading2"/>
        <w:pStyle w:val="Heading2"/>
        <w:spacing w:after="120" w:before="240"/>
      </w:pPr>
      <w:r>
        <w:t xml:space="preserve">4.3 Оценка уверенности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Метрика</w:t>
            </w:r>
          </w:p>
        </w:tc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Уверенность</w:t>
            </w:r>
          </w:p>
        </w:tc>
        <w:tc>
          <w:tcPr>
            <w:shd w:color="0070C0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Комментарий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Revenue 3Y = 4545</w:t>
            </w:r>
          </w:p>
        </w:tc>
        <w:tc>
          <w:tcPr>
            <w:shd w:color="E8F5E9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85%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 релизов, диверсификация снижает риск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EBITDA margin 47.7%</w:t>
            </w:r>
          </w:p>
        </w:tc>
        <w:tc>
          <w:tcPr>
            <w:shd w:color="E8F5E9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80%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Fixed GM 55.8% оптимистично для сериалов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NDP = 3000</w:t>
            </w:r>
          </w:p>
        </w:tc>
        <w:tc>
          <w:tcPr>
            <w:shd w:color="E8F5E9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90%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Механическая производная от Rev/EBITDA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IRR 24.75%</w:t>
            </w:r>
          </w:p>
        </w:tc>
        <w:tc>
          <w:tcPr>
            <w:shd w:color="FFF8E1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75%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Чувствителен к timing exit и tail EBITDA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Тайминг (все в срок)</w:t>
            </w:r>
          </w:p>
        </w:tc>
        <w:tc>
          <w:tcPr>
            <w:shd w:color="FFF8E1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65%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Кинопроизводство систематически опаздывает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GM 55.8% uniform</w:t>
            </w:r>
          </w:p>
        </w:tc>
        <w:tc>
          <w:tcPr>
            <w:shd w:color="FFF8E1" w:val="solid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70%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Сериалы обычно имеют маржу ниже фильмов</w:t>
            </w:r>
          </w:p>
        </w:tc>
      </w:tr>
    </w:tbl>
    <w:p>
      <w:pPr>
        <w:spacing w:after="200"/>
      </w:pPr>
    </w:p>
    <w:p>
      <w:pPr>
        <w:pStyle w:val="Heading1"/>
        <w:pStyle w:val="Heading1"/>
        <w:spacing w:after="120" w:before="240"/>
      </w:pPr>
      <w:r>
        <w:t xml:space="preserve">5. ЗАКЛЮЧЕНИЕ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Модель прошла полную верификацию П5 «Максимум».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Все 42 листа обновлены, пересчитаны и синхронизированы между Internal и Public файлами. Общий объём: 4 стадии × 215 поэтапных проверок + 3 блока П5 (сквозная сверка, противоречия, логика). Критических ошибок не обнаружено. 4 остаточные ссылки на старую структуру ("12 фильмов") исправлены в ходе В1. 12 листов ресинхронизированы между файлами в ходе В2.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Рекомендации: (1) При подготовке к инвестору — учесть снижение Implied EV по comparable transactions (3922 vs 7550). (2) Рассмотреть дифференциацию GM для фильмов vs сериалов в следующей итерации. (3) Добавить процентные расходы по ВКЛ в P&amp;L.</w:t>
      </w:r>
    </w:p>
    <w:sectPr>
      <w:headerReference w:type="default" r:id="rId7"/>
      <w:footerReference w:type="default" r:id="rId8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t xml:space="preserve">— 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sz w:val="24"/>
        <w:szCs w:val="2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Investor Model v3 — Отчёт верификации П5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jc w:val="left"/>
    </w:pPr>
    <w:rPr>
      <w:rFonts w:ascii="Times New Roman" w:cs="Times New Roman" w:eastAsia="Times New Roman" w:hAnsi="Times New Roman"/>
      <w:b/>
      <w:bCs/>
      <w:color w:val="0070C0"/>
      <w:sz w:val="44"/>
      <w:szCs w:val="44"/>
    </w:rPr>
  </w:style>
  <w:style w:type="paragraph" w:styleId="Heading2">
    <w:name w:val="Heading 2"/>
    <w:basedOn w:val="Normal"/>
    <w:next w:val="Normal"/>
    <w:pPr>
      <w:jc w:val="left"/>
    </w:pPr>
    <w:rPr>
      <w:rFonts w:ascii="Times New Roman" w:cs="Times New Roman" w:eastAsia="Times New Roman" w:hAnsi="Times New Roman"/>
      <w:b/>
      <w:bCs/>
      <w:color w:val="0070C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2026-04-12T14:30:00.856Z</dcterms:created>
  <dcterms:modified xsi:type="dcterms:W3CDTF">2026-04-12T14:30:00.858Z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