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070C0"/>
          <w:sz w:val="52"/>
          <w:szCs w:val="52"/>
        </w:rPr>
        <w:t xml:space="preserve">ЛИСТ-ПАМЯТКА СПИКЕРА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444444"/>
          <w:sz w:val="36"/>
          <w:szCs w:val="36"/>
        </w:rPr>
        <w:t xml:space="preserve">к инвестиционной презентации «Тренд Студио Холдинг»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Расчёты • Глоссарий • FAQ для инвесторов</w:t>
      </w:r>
    </w:p>
    <w:p>
      <w:r>
        <w:br w:type="page"/>
      </w:r>
    </w:p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ЧАСТЬ 1. РАЗБОР ПО СЛАЙДАМ</w:t>
      </w:r>
    </w:p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Слайд 1. Титульный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1123"/>
        <w:gridCol w:w="2432"/>
        <w:gridCol w:w="1871"/>
        <w:gridCol w:w="2432"/>
      </w:tblGrid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Формула / расчёт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 инвестору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 2025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300 млн+ ₽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Целевой показатель первого года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Слайд 3, PnL модель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Триста миллионов — это сумма доходов по 4 направлениям в первый год работы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CAGR выручки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115,44%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(3000/300)^(1/3) − 1 = 1,1544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Расчёт: выручка 2025 и 2028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Среднегодовой темп роста от 300 млн до 3 млрд за 3 года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EBITDA 2028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млрд ₽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Целевой показатель (опексы ~3% от выручки)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PnL модель, лист Расходы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Операционная прибыль до налогов и амортизации на третий год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Аудитория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 млн+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Совокупный охват 4 направлений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Экспертная оценка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Кино + блогеры + фестивали + обучение = суммарный охват</w:t>
            </w:r>
          </w:p>
        </w:tc>
      </w:tr>
    </w:tbl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Слайд 2. Рынок и позиционирование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1123"/>
        <w:gridCol w:w="2432"/>
        <w:gridCol w:w="1871"/>
        <w:gridCol w:w="2432"/>
      </w:tblGrid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Формула / расчёт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 инвестору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TAM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$3,2 млрд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Общий рынок контента РФ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Рыночные данные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Российский рынок контента оценивается в $3,2 млрд по данным отраслевых обзоров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SAM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$980 млн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Кросс-платформенный сегмент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Рыночные данные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Сегмент, доступный нам с учётом нашей модели — кино, реклама, фестивали, обучение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SOM 2028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$40 млн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$40 млн ≈ 3 млрд ₽ по курсу ~75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 от выручки 2028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Наша целевая доля — ~4% от SAM, что соответствует выручке 3 млрд ₽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Рост рынка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+12% CAGR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Отраслевой прогноз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Рыночные данные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Рынок растёт на 12% в год за счёт ухода западных мейджоров и роста OTT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OTT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+22% г/г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Рост онлайн-платформ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Рыночные данные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Стриминговые платформы растут на 22% ежегодно, наращивая бюджеты на original content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Доля внутр. контента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+52%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Доля локального производства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Рыночные данные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 ухода западных студий доля российского контента выросла до 52%</w:t>
            </w:r>
          </w:p>
        </w:tc>
      </w:tr>
    </w:tbl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Слайд 3. Финансовые показатели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1123"/>
        <w:gridCol w:w="2432"/>
        <w:gridCol w:w="1871"/>
        <w:gridCol w:w="2432"/>
      </w:tblGrid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Формула / расчёт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 инвестору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 2028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млрд ₽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4 направлений: 1200+900+540+360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PnL модель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Складывается из 4 направлений: кино 40%, реклама 30%, фестивали 18%, обучение 12%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EBITDA 2028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млрд ₽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Выручка − опексы (~88,5 млн/год)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PnL + лист Расходы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Опексы менее 3% от выручки, поэтому EBITDA практически равна выручке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Net margin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67%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млрд / 3 млрд = 66,7% ≈ 67%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Чистая прибыль 2 млрд при выручке 3 млрд даёт рентабельность 67%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млрд ₽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Целевой показатель на 3-й год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PnL модель, Q9–Q12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Чистый доход за третий год после окупаемости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CAGR выручки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115%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(3000/300)^(1/3) − 1 = 115,44%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Среднегодовой рост от 300 млн до 3 млрд за 3 года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Breakeven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Q4 2026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Конец 8-го квартала от старта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PnL, строка 52 (F52=0)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Кумулятивный поток выходит в ноль в конце Q8</w:t>
            </w:r>
          </w:p>
        </w:tc>
      </w:tr>
    </w:tbl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Слайд 4. Экономика направлений</w:t>
      </w:r>
    </w:p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Кино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1123"/>
        <w:gridCol w:w="2432"/>
        <w:gridCol w:w="1871"/>
        <w:gridCol w:w="2432"/>
      </w:tblGrid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Формула / расчёт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 инвестору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ROI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89%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(3,5 − 1,85) / 1,85 = 89,2%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 от бюджета и выручки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Каждый вложенный рубль приносит 89 копеек прибыли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Бюджет проектов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1,85 млрд ₽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Инвестор 1,25 + продюсеры 0,6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Excel лист модель, C3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Полный бюджет: 1,25 млрд деньгами инвестора + 600 млн правами продюсеров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 проекта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3,5 млрд ₽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Суммарные доходы за 3 года из PnL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PnL модель, сумма D49:D56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Прокат, стриминг, ТВ-права, международные продажи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Pipeline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п/м, 2 сериала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 производства на 3 года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 компании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Пять полных метров и два сериала в продакшн пайплайне</w:t>
            </w:r>
          </w:p>
        </w:tc>
      </w:tr>
    </w:tbl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Реклама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1123"/>
        <w:gridCol w:w="2432"/>
        <w:gridCol w:w="1871"/>
        <w:gridCol w:w="2432"/>
      </w:tblGrid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Формула / расчёт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 инвестору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50%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Комиссия с оборота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Целевой показатель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Мы забираем 50% от суммы контракта на продакт-плейсмент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Продакт-плейсмент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500 млн+ ₽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Целевой оборот направления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Целевой показатель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Интеграция брендов в контент холдинга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ARPU на бренд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 млн ₽/год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500 млн / ~11 брендов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 чек на одного бренда-партнёра в год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Бренды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5+ ежегодно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Минимальное кол-во партнёров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Целевой показатель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Минимум 5 брендов-партнёров в год</w:t>
            </w:r>
          </w:p>
        </w:tc>
      </w:tr>
    </w:tbl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Фестивали и Обучение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1123"/>
        <w:gridCol w:w="2432"/>
        <w:gridCol w:w="1871"/>
        <w:gridCol w:w="2432"/>
      </w:tblGrid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Формула / расчёт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 инвестору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NPS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Индекс лояльности участников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Экспертная оценка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 из 100 участников готовы рекомендовать наши мероприятия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Посещаемость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млн+ чел.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Суммарно за 3 года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Целевой показатель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Миллион участников фестивалей за 3 года в 300 городах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LTV учащегося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15 000 ₽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 доход на ученика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Целевой показатель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 доход от одного учащегося за всё время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GROW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85%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Рост базы учащихся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Целевой показатель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Ежегодный рост количества учащихся 85%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Охват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70+ тыс.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База учащихся за 3 года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Целевой показатель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РФ + СНГ + BRICS</w:t>
            </w:r>
          </w:p>
        </w:tc>
      </w:tr>
    </w:tbl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Слайд 5. Инвестиционное предложение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1123"/>
        <w:gridCol w:w="2432"/>
        <w:gridCol w:w="1871"/>
        <w:gridCol w:w="2432"/>
      </w:tblGrid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Формула / расчёт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 инвестору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1,25 млрд ₽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Раунд A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Excel лист модель, C4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Стратегический раунд с поэтапным финансированием в 4 транша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Доля инвестора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51%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Контрольный пакет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Условия сделки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Контрольный пакет с Board seat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Pre-money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 млрд ₽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1,25 / 0,51 − 1,25 = 1,201 млрд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Оценка до входа инвестора: инвестиция / долю − инвестиция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Целевая оценка 2028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 млрд ₽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EBITDA 3 млрд × 7 = 21 млрд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 EV/EBITDA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Мультипликатор 7x применён к EBITDA 3 млрд — медиана отрасли 6–9x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Money Multiple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8,6x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51% × 21 млрд / 1,25 = 8,57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каждый вложенный рубль инвестор получает 8,6 рублей при exit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Возврат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×8,6 за 3 года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Следствие из MM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Возврат инвестиций в 8,6 раза при exit-сценарии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IRR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~105%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8,57^(1/3) − 1 = 105%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 от MM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Внутренняя норма доходности — топ-квартиль медиа РФ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EV/EBITDA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7,0x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Медиана отрасли 6–9x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Рыночные данные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Середина коридора оценки медиакомпаний в РФ</w:t>
            </w:r>
          </w:p>
        </w:tc>
      </w:tr>
    </w:tbl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Слайд 6. Команда и Milestones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Слайд содержит фактологические данные о команде и дорожную карту. Ключевые цифры: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1123"/>
        <w:gridCol w:w="2432"/>
        <w:gridCol w:w="1871"/>
        <w:gridCol w:w="2432"/>
      </w:tblGrid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Формула / расчёт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 инвестору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Опыт CEO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лет, 8 фильмов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Фактологические данные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Компания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лет в кинопроизводстве, 8 полных метров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Охват фестивалей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1300+ городов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Исторический охват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Компания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Фестивали проходили в 1300+ городах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Блогеры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150+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Пул блогеров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Компания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Более 150 блогеров в пуле Head of Talent</w:t>
            </w:r>
          </w:p>
        </w:tc>
      </w:tr>
      <w:tr>
        <w:tc>
          <w:tcPr>
            <w:tcW w:type="dxa" w:w="1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CFO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Ex-Big4, M&amp;A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Опыт в медиа-секторе</w:t>
            </w:r>
          </w:p>
        </w:tc>
        <w:tc>
          <w:tcPr>
            <w:tcW w:type="dxa" w:w="1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Компания</w:t>
            </w:r>
          </w:p>
        </w:tc>
        <w:tc>
          <w:tcPr>
            <w:tcW w:type="dxa" w:w="24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Финдиректор из Big4 с опытом M&amp;A в медиа</w:t>
            </w:r>
          </w:p>
        </w:tc>
      </w:tr>
    </w:tbl>
    <w:p>
      <w:r>
        <w:br w:type="page"/>
      </w:r>
    </w:p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ЧАСТЬ 2. ГЛОССАРИЙ ТЕРМИНОВ И АББРЕВИАТУР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058"/>
        <w:gridCol w:w="3181"/>
        <w:gridCol w:w="2806"/>
      </w:tblGrid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Термин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Расшифровка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Определение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 нашем случае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TAM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 Addressable Market — общий адресуемый рынок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Весь рынок, если бы 100% клиентов купили ваш продукт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$3,2 млрд — весь рынок контента РФ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SAM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Serviceable Addressable Market — доступный сегмент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Часть TAM, которую вы реально можете обслужить своим продуктом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$980 млн — кросс-платформенный контент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SOM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Serviceable Obtainable Market — реалистичная доля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вы реально захватите за плановый период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$40 млн ≈ 3 млрд ₽ к 2028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CAGR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Compound Annual Growth Rate — среднегодовой темп роста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Показывает, на сколько процентов росли каждый год в среднем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115% — от 300 млн до 3 млрд за 3 года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EBITDA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Earnings Before Interest, Taxes, Depreciation, Amortization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Прибыль до налогов, процентов и амортизации. Показывает операционную эффективность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млрд ₽ к 2028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Net margin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Чистая рентабельность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Доля чистой прибыли в выручке. Чем выше, тем эффективнее бизнес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67% = 2 млрд чистой прибыли / 3 млрд выручки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ROI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Return on Investment — возврат на инвестиции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прибыли принёс каждый вложенный рубль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89% — кинопроекты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LTV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Lifetime Value — пожизненная ценность клиента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денег приносит один клиент за всё время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15 000 ₽ — средний доход от учащегося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ARPU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Average Revenue Per User — средний доход на пользователя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в среднем платит один клиент за период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 млн ₽/год на бренд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NPS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Net Promoter Score — индекс лояльности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 −1 00 до +100. Выше 50 — отлично, выше 70 — мировой класс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 — фестивали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Commission — комиссия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Доля от сделки, которую компания забирает себе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50% от контракта на продакт-плейсмент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EV/EBITDA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Enterprise Value / EBITDA — мультипликатор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EBITDA стоит компания. Ниже = дешевле, выше = дороже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7,0x — середина коридора 6–9x для медиа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MM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Money Multiple — мультипликатор возврата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 сколько раз инвестор умножил свои деньги при выходе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8,6x — на каждый рубль вернётся 8,6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IRR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Internal Rate of Return — внутренняя норма доходности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Годовая доходность с учётом временной стоимости денег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~105% в год — топ-квартиль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Pre-money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Pre-money valuation — оценка до инвестиций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стоит компания ДО того, как инвестор вложил деньги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 млрд ₽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Breakeven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Точка безубыточности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Момент, когда доходы покрыли все расходы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Q4 2026 — конец 2-го года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Pipeline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Продакшн пайплайн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Очередь проектов на разных стадиях производства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п/м + 2 сериала + 6 фестивалей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OTT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Over-the-Top — онлайн-платформы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Стриминговые сервисы (ИВИ, Okko, Кинопоиск)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+22% рост в год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Board seat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Место в совете директоров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Право участвовать в управлении компанией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Инвестор получает с 51% долей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DCF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Discounted Cash Flow — дисконтированные потоки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Метод оценки: будущие доходы пересчитывают в сегодняшние деньги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Использован для pre-money 1,2 млрд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SVOD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Subscription Video on Demand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Подписной видеосервис (ИВИ, Okko)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Канал продажи прав на контент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AVOD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Ad-supported Video on Demand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Бесплатный с рекламой (YouTube, Рутуб)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Доп. канал монетизации</w:t>
            </w:r>
          </w:p>
        </w:tc>
      </w:tr>
      <w:tr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TVOD</w:t>
            </w:r>
          </w:p>
        </w:tc>
        <w:tc>
          <w:tcPr>
            <w:tcW w:type="dxa" w:w="20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Transactional Video on Demand</w:t>
            </w:r>
          </w:p>
        </w:tc>
        <w:tc>
          <w:tcPr>
            <w:tcW w:type="dxa" w:w="31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Платный показ/скачивание за разовый платёж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Доп. канал после прокатного окна</w:t>
            </w:r>
          </w:p>
        </w:tc>
      </w:tr>
    </w:tbl>
    <w:p>
      <w:r>
        <w:br w:type="page"/>
      </w:r>
    </w:p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ЧАСТЬ 3. FAQ — КАВЕРЗНЫЕ ВОПРОСЫ ИНВЕСТОРОВ</w:t>
      </w:r>
    </w:p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1. «Почему EBITDA почти равна выручке? Где расходы?»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Ключевой тезис: Опексы составляют менее 3% от выручки.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Операционные расходы холдинга — 88,5 млн ₽ в год (аренда, ФОТ 50 человек, коммунальные, прочие). При выручке 3 млрд это менее 3%. Это характерно для asset-light модели: мы не владеем студиями и оборудованием — производственные затраты учтены в бюджете проектов, не в опексах.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Подкрепление: Слайд 3, лист Расходы (D47: 265,5 млн за 3 года)</w:t>
      </w:r>
    </w:p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2. «Откуда мультипликатор 7x? Не завышен ли?»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Ключевой тезис: 7x — середина отраслевого коридора.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Медиана EV/EBITDA для российских медиакомпаний — 6–9x. Мы взяли 7x, что ниже середины коридора. Для сравнения: ГПМ (Газпром-Медиа) торгуется на 8–10x, а быстрорастущие контент-студии могут оцениваться выше. Наша оценка консервативна.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Подкрепление: Слайд 5, EV/EBITDA 7,0x</w:t>
      </w:r>
    </w:p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3. «MM 8,6x — это при exit. А если exit не состоится?»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Ключевой тезис: Даже без exit операционный возврат 2,8x.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8,6x — это exit-сценарий при продаже доли. Но даже без exit, только на операционных доходах от проектов, мультипликатор составляет 2,8x. Это означает, что инвестор возвращает свои деньги и зарабатывает +180% даже в консервативном сценарии.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Подкрепление: Слайд 5, Excel лист модель</w:t>
      </w:r>
    </w:p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4. «CAGR 115% — это реалистично?»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Ключевой тезис: Да, для стартапа с низкой базы.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115% CAGR выглядит агрессивно, но мы стартуем с 300 млн — это низкая база. Для сравнения: IVI рос на 80–100% CAGR в первые годы. Наш рост обеспечен 4 направлениями одновременно и уходом западных конкурентов.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Подкрепление: Слайд 1, 3</w:t>
      </w:r>
    </w:p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5. «Почему 51% за 1,25 млрд? Как считали pre-money?»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Ключевой тезис: DCF + сравнительный анализ.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Pre-money = 1,25 / 0,51 − 1,25 = 1,2 млрд ₽. Оценка основана на DCF-модели и сравнительном анализе российских медиакомпаний. Контрольный пакет 51% обеспечивает инвестору полный контроль и Board seat.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Подкрепление: Слайд 5</w:t>
      </w:r>
    </w:p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6. «Какие риски? Что если фильм провалится?»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Ключевой тезис: Поэтапное финансирование + портфельный подход.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Риски минимизированы тремя способами. Первое: поэтапное финансирование в 4 транша с аудитом после каждого. Второе: портфель из 5 фильмов и 2 сериалов — провал одного не убивает всю модель. Третье: предварительные договорённости с прокатчиками и стримингами.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Подкрепление: Слайд 5, Excel лист модель (D25–D29)</w:t>
      </w:r>
    </w:p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7. «Кто конкуренты? Чем вы лучше?»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Ключевой тезис: Уникальная 4-в-1 экосистема.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Конкуренты работают в отдельных нишах: киностудии, рекламные агентства, фестивальные операторы, онлайн-школы. Никто не объединяет все 4 направления. Наша синергия: кинопроект даёт контент для рекламы, аудиторию для фестивалей и спикеров для обучения.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Подкрепление: Слайд 2 (позиционирование)</w:t>
      </w:r>
    </w:p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8. «Какая exit-стратегия?»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Ключевой тезис: IPO или продажа стратегу.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Два сценария: (1) IPO на МосБирже при оценке 21+ млрд ₽ (EV/EBITDA 7x), (2) продажа стратегическому покупателю (стриминговая платформа или телеком-группа). Dorожная карта предусматривает Series B или выход в Q4 2028.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Подкрепление: Слайд 6 (Milestones: Q4 2028)</w:t>
      </w:r>
    </w:p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9. «Как распределяются средства 1,25 млрд?»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Ключевой тезис: Пропорционально структуре выручки.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Кино 40% (500 млн), реклама 30% (375 млн), фестивали 18% (225 млн), обучение 12% (150 млн). Финансирование поэтапное в 4 транша с аудитом после каждого.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Подкрепление: Слайд 5 (диаграмма использования средств)</w:t>
      </w:r>
    </w:p>
    <w:p>
      <w:pPr>
        <w:spacing w:after="2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10. «Почему именно 4 направления? Не лучше сфокусироваться?»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Ключевой тезис: Кросс-синергия множит эффект.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Это не диверсификация ради диверсификации — все 4 направления питают друг друга. Кино создаёт IP и звёзд, реклама монетизирует аудиторию, фестивали дают охват и бренд, обучение строит комьюнити и LTV.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Подкрепление: Слайд 2 (4-в-1 экосистема)</w:t>
      </w:r>
    </w:p>
    <w:sectPr>
      <w:headerReference w:type="default" r:id="rId7"/>
      <w:footerReference w:type="default" r:id="rId8"/>
      <w:pgSz w:w="11907" w:h="16840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8"/>
        <w:szCs w:val="18"/>
      </w:rPr>
      <w:t xml:space="preserve">Лист-памятка спикера | Тренд Студио Холдинг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2026-04-05T11:18:47.981Z</dcterms:created>
  <dcterms:modified xsi:type="dcterms:W3CDTF">2026-04-05T11:18:47.981Z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