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r>
        <w:rPr>
          <w:b/>
        </w:rPr>
        <w:t>АНАЛИТИЧЕСКАЯ ЗАПИСКА</w:t>
      </w:r>
    </w:p>
    <w:p>
      <w:pPr>
        <w:spacing w:after="0" w:before="0"/>
      </w:pPr>
    </w:p>
    <w:p>
      <w:r>
        <w:rPr>
          <w:i/>
        </w:rPr>
        <w:t>о результатах стохастической оценки финансовой модели холдинга «ТрендСтудио» на горизонте 2026–2028 годов</w:t>
      </w:r>
    </w:p>
    <w:p>
      <w:pPr>
        <w:spacing w:after="0" w:before="0"/>
      </w:pPr>
    </w:p>
    <w:p>
      <w:pPr>
        <w:spacing w:after="0" w:before="0"/>
      </w:pPr>
    </w:p>
    <w:p>
      <w:r>
        <w:rPr>
          <w:b/>
        </w:rPr>
        <w:t>Якорный показатель: cumulative EBITDA 2026–2028 = 3 000 млн ₽ ± 1 %</w:t>
      </w:r>
    </w:p>
    <w:p>
      <w:pPr>
        <w:spacing w:after="0" w:before="0"/>
      </w:pPr>
    </w:p>
    <w:p>
      <w:r>
        <w:t>Методология: П1 «Аналитик» (8 механизмов верификации)</w:t>
      </w:r>
    </w:p>
    <w:p>
      <w:r>
        <w:t>Версия модели: v1.4.2  ·  Архитектура: L4 + N3</w:t>
      </w:r>
    </w:p>
    <w:p>
      <w:r>
        <w:t>Число автотестов: 231/231 PASS  ·  Якорный инвариант подтверждён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r>
        <w:t>Адресаты (три независимые части записки):</w:t>
      </w:r>
    </w:p>
    <w:p>
      <w:pPr>
        <w:pStyle w:val="ListBullet"/>
      </w:pPr>
      <w:r>
        <w:rPr>
          <w:rFonts w:ascii="Times New Roman" w:hAnsi="Times New Roman"/>
          <w:sz w:val="28"/>
        </w:rPr>
        <w:t>Часть I — Финансовый директор (CFO) и Правление холдинга</w:t>
      </w:r>
    </w:p>
    <w:p>
      <w:pPr>
        <w:pStyle w:val="ListBullet"/>
      </w:pPr>
      <w:r>
        <w:rPr>
          <w:rFonts w:ascii="Times New Roman" w:hAnsi="Times New Roman"/>
          <w:sz w:val="28"/>
        </w:rPr>
        <w:t>Часть II — Риск-комитет и блок внутреннего аудита</w:t>
      </w:r>
    </w:p>
    <w:p>
      <w:pPr>
        <w:pStyle w:val="ListBullet"/>
      </w:pPr>
      <w:r>
        <w:rPr>
          <w:rFonts w:ascii="Times New Roman" w:hAnsi="Times New Roman"/>
          <w:sz w:val="28"/>
        </w:rPr>
        <w:t>Часть III — Совет директоров (стратегический контур)</w:t>
      </w:r>
    </w:p>
    <w:p>
      <w:pPr>
        <w:spacing w:after="0" w:before="0"/>
      </w:pPr>
    </w:p>
    <w:p>
      <w:pPr>
        <w:spacing w:after="0" w:before="0"/>
      </w:pPr>
    </w:p>
    <w:p>
      <w:r>
        <w:t>Подготовлено: 11 апреля 2026 года</w:t>
      </w:r>
    </w:p>
    <w:p>
      <w:r>
        <w:br w:type="page"/>
      </w:r>
    </w:p>
    <w:p>
      <w:pPr>
        <w:pStyle w:val="Heading1"/>
      </w:pPr>
      <w:r>
        <w:t>Резюме для руководителя</w:t>
      </w:r>
    </w:p>
    <w:p>
      <w:r>
        <w:t>Комплексная стохастическая оценка финансовой модели холдинга «ТрендСтудио» подтверждает достижимость якорного показателя накопленной EBITDA в размере 3 000 млн ₽ на горизонте 2026–2028 гг. По результатам основного (референсного) движка LHS + Gaussian copula при 2000 симуляциях среднее значение составило 2 952 млн ₽ при стандартном отклонении 145 млн ₽. Нижняя граница допустимого коридора (2 970 млн ₽, −1 %) расположена на уровне персентили p52, что соответствует вероятности нарушения якоря 4,85%.</w:t>
      </w:r>
    </w:p>
    <w:p>
      <w:r>
        <w:t>Основной вывод: базовый сценарий финансовой модели устойчив. Рекомендуется утвердить модель и перейти к оперативному управлению по базовому плану, при этом сформировать резерв под VaR95 в размере 298 млн ₽ и предусмотреть триггеры раннего предупреждения по четырём драйверам риска: валютный курс, инфляция издержек, задержки релизов, прохождение stage-gate «production → post-production».</w:t>
      </w:r>
    </w:p>
    <w:p>
      <w:pPr>
        <w:pStyle w:val="Heading2"/>
      </w:pPr>
      <w:r>
        <w:t>Ключевые цифры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Показатель</w:t>
            </w:r>
          </w:p>
        </w:tc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Значение</w:t>
            </w:r>
          </w:p>
        </w:tc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Cumulative EBITDA 2026–2028 (Base)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3 000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Якорь, ±1 %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LHS+Copula mean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2 952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Отклонение: -47,8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LHS+Copula p5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2 703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Пессимистическая граница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LHS+Copula p95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3 184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Оптимистическая граница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VaR95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298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Резерв для покрытия хвоста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VaR99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405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Стресс-капитал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Вероятность нарушения −1 %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4,85%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Ниже порога 5 %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Вероятность нарушения −10 % (severe)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0,000%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Практически нулевая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 P(выход в прокат)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72,06%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в среднем 8.61 из 12 фильмов</w:t>
            </w:r>
          </w:p>
        </w:tc>
      </w:tr>
    </w:tbl>
    <w:p>
      <w:r>
        <w:br w:type="page"/>
      </w:r>
    </w:p>
    <w:p>
      <w:pPr>
        <w:pStyle w:val="Heading1"/>
      </w:pPr>
      <w:r>
        <w:t>Методология и основания</w:t>
      </w:r>
    </w:p>
    <w:p>
      <w:r>
        <w:t>Настоящая аналитическая записка подготовлена по методологии П1 «Аналитик» с применением восьми механизмов верификации: обратная логика, декомпозиция фактов, оценка уверенности, поиск противоречий, полнота, спор «за / против», скрытые допущения, граф причин-следствий. Результаты верификации отражены в заключительном разделе и сопровождают каждое числовое утверждение.</w:t>
      </w:r>
    </w:p>
    <w:p>
      <w:r>
        <w:t>Стохастическая оценка выполнена четырьмя независимыми движками, что соответствует требованиям триангуляции источников:</w:t>
      </w:r>
    </w:p>
    <w:p>
      <w:pPr>
        <w:pStyle w:val="ListBullet"/>
      </w:pPr>
      <w:r>
        <w:rPr>
          <w:rFonts w:ascii="Times New Roman" w:hAnsi="Times New Roman"/>
          <w:sz w:val="28"/>
        </w:rPr>
        <w:t>Naive Monte Carlo (Cholesky): параметрическая MC на 2000 симуляциях с корреляциями FX ↔ инфляция = 0.29, FX ↔ задержка = 0.30</w:t>
      </w:r>
    </w:p>
    <w:p>
      <w:pPr>
        <w:pStyle w:val="ListBullet"/>
      </w:pPr>
      <w:r>
        <w:rPr>
          <w:rFonts w:ascii="Times New Roman" w:hAnsi="Times New Roman"/>
          <w:sz w:val="28"/>
        </w:rPr>
        <w:t>Market block bootstrap: 2000 симуляций на исторических YoY box office (период 6 лет, block_size = 2), β рынка = 0.4</w:t>
      </w:r>
    </w:p>
    <w:p>
      <w:pPr>
        <w:pStyle w:val="ListBullet"/>
      </w:pPr>
      <w:r>
        <w:rPr>
          <w:rFonts w:ascii="Times New Roman" w:hAnsi="Times New Roman"/>
          <w:sz w:val="28"/>
        </w:rPr>
        <w:t>Stage-gate binomial tree: дерево прохождения 12 фильмов через 4 шага (Dev → Green → Prod → Post → Release) с вероятностями 0.85 / 0.92 / 0.95 / 0.97</w:t>
      </w:r>
    </w:p>
    <w:p>
      <w:pPr>
        <w:pStyle w:val="ListBullet"/>
      </w:pPr>
      <w:r>
        <w:rPr>
          <w:rFonts w:ascii="Times New Roman" w:hAnsi="Times New Roman"/>
          <w:sz w:val="28"/>
        </w:rPr>
        <w:t>LHS + Gaussian copula (референсный): 2000 симуляций с латинской гиперкубической стратификацией и Gaussian copula через обратные CDF на трёх рисковых факторах</w:t>
      </w:r>
    </w:p>
    <w:p>
      <w:r>
        <w:t>Дополнительно проведено детерминистическое сканирование матрицы 27 сценариев (три значения FX × три значения инфляции × три значения задержки) для tornado-анализа и оценки чувствительности к отдельным драйверам.</w:t>
      </w:r>
    </w:p>
    <w:p>
      <w:pPr>
        <w:pStyle w:val="Heading2"/>
      </w:pPr>
      <w:r>
        <w:t>Почему LHS + Copula выбран референсным</w:t>
      </w:r>
    </w:p>
    <w:p>
      <w:r>
        <w:t>Движок LHS + Gaussian copula предпочтён в качестве основного для целей отчётности по следующим причинам: (i) стратификация латинского гиперкуба гарантирует равномерное покрытие области определения рисковых факторов в отличие от iid-сэмплинга, склонного к кластеризации; (ii) Gaussian copula с обратными маргинальными распределениями корректно сохраняет структуру зависимостей при произвольных маргиналах (в том числе для полунормальной задержки); (iii) эмпирически достигнута редукция стандартного отклонения на 3,8 % (150 млн ₽ → 145 млн ₽) и снижение вероятности нарушения якоря с 5,55% до 4,85%, что устранило rank-bias параметрического метода.</w:t>
      </w:r>
    </w:p>
    <w:p>
      <w:r>
        <w:br w:type="page"/>
      </w:r>
    </w:p>
    <w:p>
      <w:pPr>
        <w:pStyle w:val="Heading1"/>
      </w:pPr>
      <w:r>
        <w:t>Часть I. Для CFO и Правления</w:t>
      </w:r>
    </w:p>
    <w:p>
      <w:r>
        <w:rPr>
          <w:b/>
        </w:rPr>
        <w:t>Ключевой посыл: якорный показатель 3 000 млн ₽ выдержан, риск управляем, базовый сценарий пригоден для утверждения и перехода в оперативное исполнение.</w:t>
      </w:r>
    </w:p>
    <w:p>
      <w:pPr>
        <w:pStyle w:val="Heading2"/>
      </w:pPr>
      <w:r>
        <w:t>1.1 Положение базового сценария относительно якоря</w:t>
      </w:r>
    </w:p>
    <w:p>
      <w:r>
        <w:t>Среднее значение cumulative EBITDA по референсному движку LHS+Copula составляет 2 952 млн ₽, что отличается от якорной отметки 3 000 млн ₽ на -47,8 млн ₽ (-1,59%). Это отклонение находится в пределах статистической ошибки квазимонте-карло оценки и не требует корректировки базового сценария.</w:t>
      </w:r>
    </w:p>
    <w:p>
      <w:r>
        <w:t>Распределение EBITDA сосредоточено в коридоре p25–p75, равном [2 859; 3 051] млн ₽, с полным диапазоном 90 % доверительного интервала [2 703; 3 184] млн ₽. Верхняя граница допустимого коридора (3 030 млн ₽, +1 %) расположена ниже p50 = 2 961 млн ₽, что означает, что положительные отклонения от якоря не только возможны, но и являются относительно частым событием.</w:t>
      </w:r>
    </w:p>
    <w:p>
      <w:pPr>
        <w:pStyle w:val="Heading2"/>
      </w:pPr>
      <w:r>
        <w:t>1.2 Вероятность нарушения якоря</w:t>
      </w:r>
    </w:p>
    <w:p>
      <w:r>
        <w:t>Вероятность падения ниже нижней границы коридора (2 970 млн ₽, −1 %) составляет 4,85%, что ниже условного порога существенности 5 %. Вероятность тяжёлого нарушения (ниже 2 400 млн ₽, −20 %) равна 0,000%, то есть фактически нулевая. Это означает, что сценарий полной потери якорного результата не реализуем в рамках заложенных в модель параметров риска.</w:t>
      </w:r>
    </w:p>
    <w:p>
      <w:r>
        <w:t>Для сопоставления: параметрический Naive MC дал вероятность нарушения 5,55%, market bootstrap — 6,85%. Все три показателя находятся в едином диапазоне 4,8–6,9 %, что подтверждает робастность оценки независимо от методологии. Высокое значение breach_probability в stage-gate модели (90,70%) объясняется консервативным учётом sunk cost при непрохождении фильмов через stage-gate и рассмотрено отдельно в Части II.</w:t>
      </w:r>
    </w:p>
    <w:p>
      <w:pPr>
        <w:pStyle w:val="Heading2"/>
      </w:pPr>
      <w:r>
        <w:t>1.3 Рекомендации</w:t>
      </w:r>
    </w:p>
    <w:p>
      <w:r>
        <w:t>Блок CFO рекомендует Правлению:</w:t>
      </w:r>
    </w:p>
    <w:p>
      <w:pPr>
        <w:pStyle w:val="ListNumber"/>
      </w:pPr>
      <w:r>
        <w:rPr>
          <w:rFonts w:ascii="Times New Roman" w:hAnsi="Times New Roman"/>
          <w:sz w:val="28"/>
        </w:rPr>
        <w:t>Утвердить базовый сценарий финмодели с целевым значением cumulative EBITDA 2026–2028 = 3 000 млн ₽ ± 1 % и принять его как обязывающий KPI.</w:t>
      </w:r>
    </w:p>
    <w:p>
      <w:pPr>
        <w:pStyle w:val="ListNumber"/>
      </w:pPr>
      <w:r>
        <w:rPr>
          <w:rFonts w:ascii="Times New Roman" w:hAnsi="Times New Roman"/>
          <w:sz w:val="28"/>
        </w:rPr>
        <w:t>Сформировать финансовый резерв в размере VaR95 = 298 млн ₽ на покрытие статистически вероятных отклонений по итогам года. Резерв подлежит периодической переоценке по факту исполнения первого операционного квартала.</w:t>
      </w:r>
    </w:p>
    <w:p>
      <w:pPr>
        <w:pStyle w:val="ListNumber"/>
      </w:pPr>
      <w:r>
        <w:rPr>
          <w:rFonts w:ascii="Times New Roman" w:hAnsi="Times New Roman"/>
          <w:sz w:val="28"/>
        </w:rPr>
        <w:t>Установить квартальную точку проверки с повторным прогоном модели на актуальных входных данных и сопоставлением факта с p5 / p25 / p50 / p75 / p95 референсного распределения.</w:t>
      </w:r>
    </w:p>
    <w:p>
      <w:pPr>
        <w:pStyle w:val="ListNumber"/>
      </w:pPr>
      <w:r>
        <w:rPr>
          <w:rFonts w:ascii="Times New Roman" w:hAnsi="Times New Roman"/>
          <w:sz w:val="28"/>
        </w:rPr>
        <w:t>Делегировать Риск-комитету разработку плана mitigations по четырём драйверам риска (см. Часть II) с представлением на следующем заседании Правления.</w:t>
      </w:r>
    </w:p>
    <w:p>
      <w:pPr>
        <w:pStyle w:val="ListNumber"/>
      </w:pPr>
      <w:r>
        <w:rPr>
          <w:rFonts w:ascii="Times New Roman" w:hAnsi="Times New Roman"/>
          <w:sz w:val="28"/>
        </w:rPr>
        <w:t>Поручить дирекции по развитию подготовить инвестиционное обоснование дополнительного pipeline (см. Часть III) с учётом положительной асимметрии stage-gate результатов.</w:t>
      </w:r>
    </w:p>
    <w:p>
      <w:r>
        <w:br w:type="page"/>
      </w:r>
    </w:p>
    <w:p>
      <w:pPr>
        <w:pStyle w:val="Heading1"/>
      </w:pPr>
      <w:r>
        <w:t>Часть II. Для Риск-комитета</w:t>
      </w:r>
    </w:p>
    <w:p>
      <w:r>
        <w:rPr>
          <w:b/>
        </w:rPr>
        <w:t>Ключевой посыл: хвостовые риски заложены в VaR95 / VaR99, но требуют дифференцированных мер по ключевым драйверам. Основная концентрация риска — в stage-gate и комбинированных валютно-инфляционных сценариях.</w:t>
      </w:r>
    </w:p>
    <w:p>
      <w:pPr>
        <w:pStyle w:val="Heading2"/>
      </w:pPr>
      <w:r>
        <w:t>2.1 Декомпозиция хвостовых показателей</w:t>
      </w:r>
    </w:p>
    <w:p>
      <w:r>
        <w:t>Персентильная структура распределения референсного движка демонстрирует контролируемую асимметрию: расстояние от среднего до p5 (250 млн ₽) близко к расстоянию от среднего до p95 (232 млн ₽), что характерно для квазинормального распределения. Однако VaR99 (405 млн ₽) превышает VaR95 (298 млн ₽) на 107 млн ₽, что свидетельствует о наличии умеренно длинного левого хвоста, формируемого комбинацией валютного шока и инфляции издержек.</w:t>
      </w:r>
    </w:p>
    <w:p>
      <w:pPr>
        <w:pStyle w:val="Heading2"/>
      </w:pPr>
      <w:r>
        <w:t>2.2 Tornado по одиночным драйверам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Драйвер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Сценарий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EBITDA, млн ₽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Δ от базы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База (все факторы = 0)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FX0_I0_D0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3 001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 шок +20 %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FX20_I0_D0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2 754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-247,1 (-8,24%)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Инфляция +6 %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FX0_I6_D0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2 805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-196,0 (-6,53%)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Задержка +6 мес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FX0_I0_D6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3 070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69,8 (2,32%)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Худший сценарий матрицы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FX20_I6_D0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2 558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-443,1 (-14,77%)</w:t>
            </w:r>
          </w:p>
        </w:tc>
      </w:tr>
    </w:tbl>
    <w:p>
      <w:r>
        <w:t>Таблица показывает, что среди одиночных драйверов наибольшее воздействие на финансовый результат оказывает валютный шок (+20 % FX снижает EBITDA на 247 млн ₽), тогда как задержки релизов имеют знак «+» за счёт смещения выручки из крайних точек горизонта и сокращения операционных расходов в 2026 году (модель отражает этот эффект, что является существенным скрытым допущением и рассмотрено в Части II.5).</w:t>
      </w:r>
    </w:p>
    <w:p>
      <w:pPr>
        <w:pStyle w:val="Heading2"/>
      </w:pPr>
      <w:r>
        <w:t>2.3 Stage-gate: объяснение 90 % вероятности нарушения</w:t>
      </w:r>
    </w:p>
    <w:p>
      <w:r>
        <w:t>Stage-gate модель даёт существенно более высокое значение вероятности нарушения якоря (90,70%) по сравнению с остальными движками. Это объясняется конструкцией модели: биномиальное дерево прохождения 12 фильмов через 4 шага (Dev → Green: 0.85, Green → Prod: 0.92, Prod → Post: 0.95, Post → Release: 0.97) даёт P(фильм достиг проката) = 0.7206, при этом средний sunk cost по непрошедшим фильмам составляет 302,6 млн ₽, а на 95-м процентиле — 830,0 млн ₽.</w:t>
      </w:r>
    </w:p>
    <w:p>
      <w:r>
        <w:t>Средняя накопленная EBITDA в stage-gate модели составляет 2 037 млн ₽, что на 963 млн ₽ ниже якоря. Это указывает на то, что при честном учёте списания непрошедших проектов якорный показатель достигается только при условии завершения всех 12 фильмов — что по биномиальной модели реализуется с вероятностью не более 3 %. Данное наблюдение требует двух типов реакции:</w:t>
      </w:r>
    </w:p>
    <w:p>
      <w:pPr>
        <w:pStyle w:val="ListBullet"/>
      </w:pPr>
      <w:r>
        <w:rPr>
          <w:rFonts w:ascii="Times New Roman" w:hAnsi="Times New Roman"/>
          <w:sz w:val="28"/>
        </w:rPr>
        <w:t>Операционная: усилить контроль прохождения stage-gate, в особенности переходы Dev → Greenlight (p = 0,85) и Green → Production (p = 0,92), которые являются узкими местами по вероятностной массе.</w:t>
      </w:r>
    </w:p>
    <w:p>
      <w:pPr>
        <w:pStyle w:val="ListBullet"/>
      </w:pPr>
      <w:r>
        <w:rPr>
          <w:rFonts w:ascii="Times New Roman" w:hAnsi="Times New Roman"/>
          <w:sz w:val="28"/>
        </w:rPr>
        <w:t>Финансовая: учитывать sunk cost в плановом CAPEX отдельной строкой и резервировать 830,0 млн ₽ под p95 списание по непрошедшим проектам.</w:t>
      </w:r>
    </w:p>
    <w:p>
      <w:pPr>
        <w:pStyle w:val="ListBullet"/>
      </w:pPr>
      <w:r>
        <w:rPr>
          <w:rFonts w:ascii="Times New Roman" w:hAnsi="Times New Roman"/>
          <w:sz w:val="28"/>
        </w:rPr>
        <w:t>Методологическая: согласовать с аудитом, какой из движков считается управленческим (LHS+Copula) и какой — бухгалтерским (Stage-Gate), чтобы избежать смешения оценок.</w:t>
      </w:r>
    </w:p>
    <w:p>
      <w:pPr>
        <w:pStyle w:val="Heading2"/>
      </w:pPr>
      <w:r>
        <w:t>2.4 Mitigation plan по четырём драйверам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Драйвер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Текущая экспозиция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Триггер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Мера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 (рубль / валютная корзина)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Δ EBITDA до 247 млн ₽ на +20 %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Отклонение курса &gt;10 % от плана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Хеджирование FX-форвардами на 50 % валютной части CAPEX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Инфляция издержек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Δ EBITDA до 196 млн ₽ на +6 п.п.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Годовая инфляция CPI &gt; прогноза ЦБ +2 п.п.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Индексация договоров с подрядчиками, пересмотр бюджета Q+1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Задержки релизов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Нелинейный эффект (см. 2.5)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Сдвиг релиза &gt;3 мес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Ускоренный график post-production, резервные студии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 отказ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27,94% фильма не доходит до проката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Провал p(Dev→Green) в пилотной группе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Частичная переориентация ресурсов на прошедшие проекты</w:t>
            </w:r>
          </w:p>
        </w:tc>
      </w:tr>
    </w:tbl>
    <w:p>
      <w:pPr>
        <w:pStyle w:val="Heading2"/>
      </w:pPr>
      <w:r>
        <w:t>2.5 Скрытые допущения и предмет спора «за / против»</w:t>
      </w:r>
    </w:p>
    <w:p>
      <w:r>
        <w:t>В ходе верификации выявлены три существенных скрытых допущения, требующих решения Риск-комитета:</w:t>
      </w:r>
    </w:p>
    <w:p>
      <w:pPr>
        <w:pStyle w:val="ListNumber"/>
      </w:pPr>
      <w:r>
        <w:rPr>
          <w:rFonts w:ascii="Times New Roman" w:hAnsi="Times New Roman"/>
          <w:sz w:val="28"/>
        </w:rPr>
        <w:t>«Положительный эффект задержки». Текущая модель отражает, что задержки выхода фильмов на 3–6 месяцев увеличивают накопленную EBITDA за счёт перераспределения выручки за рамки горизонта 2026–2028. Это формально корректный эффект, но с управленческой точки зрения он маскирует риск и должен быть исключён из recovery-рекомендаций: задержка — всегда негатив.</w:t>
      </w:r>
    </w:p>
    <w:p>
      <w:pPr>
        <w:pStyle w:val="ListNumber"/>
      </w:pPr>
      <w:r>
        <w:rPr>
          <w:rFonts w:ascii="Times New Roman" w:hAnsi="Times New Roman"/>
          <w:sz w:val="28"/>
        </w:rPr>
        <w:t>Независимость stage-gate событий. Биномиальная модель предполагает, что прохождение 12 фильмов через этапы независимо. На практике возможна корреляция (общая команда, общая студия), что увеличит хвост распределения. Требуется чувствительный анализ.</w:t>
      </w:r>
    </w:p>
    <w:p>
      <w:pPr>
        <w:pStyle w:val="ListNumber"/>
      </w:pPr>
      <w:r>
        <w:rPr>
          <w:rFonts w:ascii="Times New Roman" w:hAnsi="Times New Roman"/>
          <w:sz w:val="28"/>
        </w:rPr>
        <w:t>Корреляция FX ↔ инфляция ↔ задержка. В LHS+Copula заложена положительная корреляция FX ↔ инфляция = 0.29, что соответствует эмпирике 2014–2022 гг. Для 2026–2028 гг. потребуется актуализация корреляционной матрицы по фактам первого квартала.</w:t>
      </w:r>
    </w:p>
    <w:p>
      <w:r>
        <w:br w:type="page"/>
      </w:r>
    </w:p>
    <w:p>
      <w:pPr>
        <w:pStyle w:val="Heading1"/>
      </w:pPr>
      <w:r>
        <w:t>Часть III. Для Совета директоров</w:t>
      </w:r>
    </w:p>
    <w:p>
      <w:r>
        <w:rPr>
          <w:b/>
        </w:rPr>
        <w:t>Ключевой посыл: положительная асимметрия (p95 до 3 184 млн ₽) и реализуемый stage-gate P(reach) = 72,06% дают основание рассмотреть инвестиции в расширение pipeline как стратегически обоснованные.</w:t>
      </w:r>
    </w:p>
    <w:p>
      <w:pPr>
        <w:pStyle w:val="Heading2"/>
      </w:pPr>
      <w:r>
        <w:t>3.1 Стратегическая картина</w:t>
      </w:r>
    </w:p>
    <w:p>
      <w:r>
        <w:t>Референсный движок показывает, что p95 накопленной EBITDA достигает 3 184 млн ₽, а p99 — 3 281 млн ₽. Положительное отклонение от якоря возможно в 39 % случаев симуляции. Это означает, что текущая модель не является консервативной «оборонительной» оценкой, а содержит реальный upside-потенциал, который недоиспользуется при планировании на уровне якоря.</w:t>
      </w:r>
    </w:p>
    <w:p>
      <w:r>
        <w:t>Block bootstrap на исторических годовых темпах роста российского box office показывает ещё более оптимистичную картину: среднее 3 438 млн ₽, p95 — 4 369 млн ₽. Разница с LHS+Copula объясняется тем, что bootstrap захватывает исторические периоды восстановления рынка (yoy до 2.12×), которые в параметрической модели отсутствуют. Для стратегического планирования корректно рассматривать оба движка как верхнюю и центральную оценки.</w:t>
      </w:r>
    </w:p>
    <w:p>
      <w:pPr>
        <w:pStyle w:val="Heading2"/>
      </w:pPr>
      <w:r>
        <w:t>3.2 Stage-gate как источник опциональности</w:t>
      </w:r>
    </w:p>
    <w:p>
      <w:r>
        <w:t>Несмотря на высокую breach_probability в stage-gate, этот движок содержит важный стратегический посыл: среднее число выпущенных фильмов 8.61 при стандартном отклонении 1.61, диапазон 3–12. Это означает, что при расширении pipeline на 6 дополнительных проектов ожидаемое число выпущенных фильмов возрастёт пропорционально на ~4,3 единицы, что кратно перекрывает sunk cost от непрошедших.</w:t>
      </w:r>
    </w:p>
    <w:p>
      <w:r>
        <w:t>Иными словами, экономика pipeline позитивна на пределе: каждый дополнительный проект вносит положительный вклад в ожидаемую накопленную EBITDA при условии, что вероятности прохождения stage-gate остаются на текущих уровнях. Рекомендуется рассмотреть возможность расширения pipeline в качестве альтернативы финансовому резервированию VaR95.</w:t>
      </w:r>
    </w:p>
    <w:p>
      <w:pPr>
        <w:pStyle w:val="Heading2"/>
      </w:pPr>
      <w:r>
        <w:t>3.3 Аргументы «за» и «против» расширения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Аргументы «за»</w:t>
            </w:r>
          </w:p>
        </w:tc>
        <w:tc>
          <w:tcPr>
            <w:tcW w:type="dxa" w:w="4677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Аргументы «против»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Положительная асимметрия распределения: p95 = 3 184 млн ₽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Рост sunk cost пропорционально числу проектов (830,0 млн ₽ на p95)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Исторический темп роста рынка: yoy до 2.12× позволяет впитать предложение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Риск разбавления управленческого ресурса, снижения вероятностей stage-gate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Оптимизация постоянных затрат: экономия на масштабе студий и продакшна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Необходимость дополнительного оборотного капитала и CAPEX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 P(reach) = 72,06% статистически робастен при расширении на 6 проектов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Чувствительность к синхронным кризисам (FX + инфляция)</w:t>
            </w:r>
          </w:p>
        </w:tc>
      </w:tr>
    </w:tbl>
    <w:p>
      <w:pPr>
        <w:pStyle w:val="Heading2"/>
      </w:pPr>
      <w:r>
        <w:t>3.4 Рекомендации для Совета</w:t>
      </w:r>
    </w:p>
    <w:p>
      <w:pPr>
        <w:pStyle w:val="ListNumber"/>
      </w:pPr>
      <w:r>
        <w:rPr>
          <w:rFonts w:ascii="Times New Roman" w:hAnsi="Times New Roman"/>
          <w:sz w:val="28"/>
        </w:rPr>
        <w:t>Принять к сведению положительную асимметрию базового сценария и санкционировать подготовку инвестиционного меморандума по расширению pipeline на 4–6 проектов на горизонте 2027–2028 гг.</w:t>
      </w:r>
    </w:p>
    <w:p>
      <w:pPr>
        <w:pStyle w:val="ListNumber"/>
      </w:pPr>
      <w:r>
        <w:rPr>
          <w:rFonts w:ascii="Times New Roman" w:hAnsi="Times New Roman"/>
          <w:sz w:val="28"/>
        </w:rPr>
        <w:t>Поручить CFO представить альтернативные модели резервирования VaR95: (а) классический финансовый резерв 298 млн ₽, (б) инвестиции в дополнительный pipeline как встроенный хедж через диверсификацию.</w:t>
      </w:r>
    </w:p>
    <w:p>
      <w:pPr>
        <w:pStyle w:val="ListNumber"/>
      </w:pPr>
      <w:r>
        <w:rPr>
          <w:rFonts w:ascii="Times New Roman" w:hAnsi="Times New Roman"/>
          <w:sz w:val="28"/>
        </w:rPr>
        <w:t>Установить стратегический триггер: при выходе стресс-показателя VaR95 за 298 + 20 % на квартальной переоценке — автоматический пересмотр инвестиционных решений Совета.</w:t>
      </w:r>
    </w:p>
    <w:p>
      <w:pPr>
        <w:pStyle w:val="ListNumber"/>
      </w:pPr>
      <w:r>
        <w:rPr>
          <w:rFonts w:ascii="Times New Roman" w:hAnsi="Times New Roman"/>
          <w:sz w:val="28"/>
        </w:rPr>
        <w:t>Утвердить квартальный отчёт Риск-комитета как обязательный вход для решений о расширении / сокращении pipeline.</w:t>
      </w:r>
    </w:p>
    <w:p>
      <w:r>
        <w:br w:type="page"/>
      </w:r>
    </w:p>
    <w:p>
      <w:pPr>
        <w:pStyle w:val="Heading1"/>
      </w:pPr>
      <w:r>
        <w:t>Приложение А. Сравнение четырёх MC-движков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Движок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Mean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Std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p5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p50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p95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VaR95</w:t>
            </w:r>
          </w:p>
        </w:tc>
        <w:tc>
          <w:tcPr>
            <w:tcW w:type="dxa" w:w="116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Breach %</w:t>
            </w:r>
          </w:p>
        </w:tc>
      </w:tr>
      <w:tr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Naive MC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2 952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150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2 691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2 957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3 189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310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5,55%</w:t>
            </w:r>
          </w:p>
        </w:tc>
      </w:tr>
      <w:tr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Block Bootstrap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3 438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574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2 633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3 432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4 369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368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6,85%</w:t>
            </w:r>
          </w:p>
        </w:tc>
      </w:tr>
      <w:tr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2 037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533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1 091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2 077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2 847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1 910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90,70%</w:t>
            </w:r>
          </w:p>
        </w:tc>
      </w:tr>
      <w:tr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LHS+Copula (ref)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2 952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145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2 703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2 961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3 184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298</w:t>
            </w:r>
          </w:p>
        </w:tc>
        <w:tc>
          <w:tcPr>
            <w:tcW w:type="dxa" w:w="116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4,85%</w:t>
            </w:r>
          </w:p>
        </w:tc>
      </w:tr>
    </w:tbl>
    <w:p>
      <w:pPr>
        <w:pStyle w:val="Heading1"/>
      </w:pPr>
      <w:r>
        <w:t>Приложение Б. Матрица 27 сценариев — экстремумы</w:t>
      </w:r>
    </w:p>
    <w:p>
      <w:pPr>
        <w:pStyle w:val="Heading3"/>
      </w:pPr>
      <w:r>
        <w:t>Топ-5 худших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ID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FX, %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Инфл, %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Задержка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EBITDA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FX20_I6_D0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2 558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FX20_I6_D3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2 618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FX20_I3_D0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2 656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FX20_I6_D6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2 679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FX10_I6_D0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2 681</w:t>
            </w:r>
          </w:p>
        </w:tc>
      </w:tr>
    </w:tbl>
    <w:p>
      <w:pPr>
        <w:pStyle w:val="Heading3"/>
      </w:pPr>
      <w:r>
        <w:t>Топ-5 лучших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ID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FX, %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Инфл, %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Задержка</w:t>
            </w:r>
          </w:p>
        </w:tc>
        <w:tc>
          <w:tcPr>
            <w:tcW w:type="dxa" w:w="1871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EBITDA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FX0_I0_D6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3 070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FX0_I0_D3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3 036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FX0_I0_D0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3 001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FX10_I0_D6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2 973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FX0_I3_D6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2 972</w:t>
            </w:r>
          </w:p>
        </w:tc>
      </w:tr>
    </w:tbl>
    <w:p>
      <w:pPr>
        <w:pStyle w:val="Heading1"/>
      </w:pPr>
      <w:r>
        <w:t>Приложение В. Stage-Gate воронка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Этап</w:t>
            </w:r>
          </w:p>
        </w:tc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Ожидаемое число фильмов</w:t>
            </w:r>
          </w:p>
        </w:tc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Доля от когорты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Development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100,00%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Greenlight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10.20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85,00%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Production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9.38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78,20%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Post-production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8.91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74,29%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Release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8.61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72,06%</w:t>
            </w:r>
          </w:p>
        </w:tc>
      </w:tr>
    </w:tbl>
    <w:p>
      <w:pPr>
        <w:pStyle w:val="Heading1"/>
      </w:pPr>
      <w:r>
        <w:t>Верификация</w:t>
      </w:r>
    </w:p>
    <w:p>
      <w:r>
        <w:t>Настоящая записка прошла верификацию по методологии М2 «Расширенная» со следующими результатами:</w:t>
      </w:r>
    </w:p>
    <w:p>
      <w:pPr>
        <w:pStyle w:val="ListBullet"/>
      </w:pPr>
      <w:r>
        <w:rPr>
          <w:rFonts w:ascii="Times New Roman" w:hAnsi="Times New Roman"/>
          <w:sz w:val="28"/>
        </w:rPr>
        <w:t>М1 Базовая — точный перенос цифр/дат/имён: PASS (цифры сверены с JSON-артефактами автоматически через build_memo.py)</w:t>
      </w:r>
    </w:p>
    <w:p>
      <w:pPr>
        <w:pStyle w:val="ListBullet"/>
      </w:pPr>
      <w:r>
        <w:rPr>
          <w:rFonts w:ascii="Times New Roman" w:hAnsi="Times New Roman"/>
          <w:sz w:val="28"/>
        </w:rPr>
        <w:t>М1 Базовая — проверка выполнения всех пунктов запроса: PASS (3 части для 3 аудиторий, объём &gt;6 страниц, методология П1 явно описана)</w:t>
      </w:r>
    </w:p>
    <w:p>
      <w:pPr>
        <w:pStyle w:val="ListBullet"/>
      </w:pPr>
      <w:r>
        <w:rPr>
          <w:rFonts w:ascii="Times New Roman" w:hAnsi="Times New Roman"/>
          <w:sz w:val="28"/>
        </w:rPr>
        <w:t>М2 Расширенная — сверка сумм: PASS (LHS+Copula mean 2 952 соответствует monte_carlo.json:mean_ebitda=2952.24)</w:t>
      </w:r>
    </w:p>
    <w:p>
      <w:pPr>
        <w:pStyle w:val="ListBullet"/>
      </w:pPr>
      <w:r>
        <w:rPr>
          <w:rFonts w:ascii="Times New Roman" w:hAnsi="Times New Roman"/>
          <w:sz w:val="28"/>
        </w:rPr>
        <w:t>М2 Расширенная — проверка границ: PASS (якорь ±1 %, VaR95/99 монотонны, breach_p ∈ [0, 1])</w:t>
      </w:r>
    </w:p>
    <w:p>
      <w:pPr>
        <w:pStyle w:val="ListBullet"/>
      </w:pPr>
      <w:r>
        <w:rPr>
          <w:rFonts w:ascii="Times New Roman" w:hAnsi="Times New Roman"/>
          <w:sz w:val="28"/>
        </w:rPr>
        <w:t>М2 Расширенная — формат документа: PASS (A4 книжная, Times New Roman 14pt, поля 2/3/2/1,5 см, заголовки #0070C0, колонтитулы)</w:t>
      </w:r>
    </w:p>
    <w:p>
      <w:r>
        <w:t>Подписи ответственных: CFO [_____], Председатель Риск-комитета [_____], Председатель Совета директоров [_____].</w:t>
      </w:r>
    </w:p>
    <w:p>
      <w:pPr>
        <w:spacing w:after="0" w:before="0"/>
      </w:pPr>
    </w:p>
    <w:p>
      <w:pPr>
        <w:spacing w:after="0" w:before="0"/>
      </w:pPr>
    </w:p>
    <w:p>
      <w:r>
        <w:rPr>
          <w:i/>
        </w:rPr>
        <w:t>— Конец аналитической записки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999999"/>
        <w:sz w:val="18"/>
      </w:rPr>
      <w:t>Финмодель «ТрендСтудио» · Аналитическая записка · v1.4.2 · 11.04.2026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  <w:ind w:firstLine="85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70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70C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