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Финмодель ТрендСтудио 2026–2028 — сводка для Совета директоров</w:t>
      </w:r>
    </w:p>
    <w:p>
      <w:r>
        <w:t>Финансовая модель холдинга ТрендСтудио v1.4.3 построена с якорь-инвариантом cumulative EBITDA 2026–2028 = 3 000 млн ₽ ± 1%. Оценка проведена четырьмя независимыми MC-движками; эталонным выбран LHS + Gaussian Copula.</w:t>
      </w:r>
    </w:p>
    <w:p>
      <w:pPr>
        <w:pStyle w:val="Heading2"/>
      </w:pPr>
      <w:r>
        <w:t>Ключевые показатели (LHS + Copula)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Показатель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Значение</w:t>
            </w:r>
          </w:p>
        </w:tc>
        <w:tc>
          <w:tcPr>
            <w:tcW w:type="dxa" w:w="3118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Комментарий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Базовый EBITDA 2026–2028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3 000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Якорь ±1%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Mean EBITDA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LHS+Copula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Std EBITDA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145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Волатильность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VaR95 / VaR99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298 / 405 млн ₽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Потери хвоста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P(breach якоря)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4,85%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≤ 5% — в пределах толерантности</w:t>
            </w:r>
          </w:p>
        </w:tc>
      </w:tr>
      <w:tr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P(release | 12 фильмов)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72,06%</w:t>
            </w:r>
          </w:p>
        </w:tc>
        <w:tc>
          <w:tcPr>
            <w:tcW w:type="dxa" w:w="3118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воронка</w:t>
            </w:r>
          </w:p>
        </w:tc>
      </w:tr>
    </w:tbl>
    <w:p>
      <w:pPr>
        <w:pStyle w:val="Heading2"/>
      </w:pPr>
      <w:r>
        <w:t>Сравнение 4 MC-движков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Движок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Mean EBITDA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Std</w:t>
            </w:r>
          </w:p>
        </w:tc>
        <w:tc>
          <w:tcPr>
            <w:tcW w:type="dxa" w:w="2339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P(breach)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Naive MC Cholesky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150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5,55%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LHS + Copula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2 952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145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4,85%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Block Bootstrap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3 438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574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</w:tr>
      <w:tr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tree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2 037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533</w:t>
            </w:r>
          </w:p>
        </w:tc>
        <w:tc>
          <w:tcPr>
            <w:tcW w:type="dxa" w:w="2339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90,70%</w:t>
            </w:r>
          </w:p>
        </w:tc>
      </w:tr>
    </w:tbl>
    <w:p>
      <w:pPr>
        <w:pStyle w:val="Heading2"/>
      </w:pPr>
      <w:r>
        <w:t>Ключевые риски и митигация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Риск</w:t>
            </w:r>
          </w:p>
        </w:tc>
        <w:tc>
          <w:tcPr>
            <w:tcW w:type="dxa" w:w="4677"/>
            <w:shd w:fill="0070C0" w:val="clear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24"/>
              </w:rPr>
              <w:t>Митигация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FX (35% OPEX)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Форварды/NDF на 50% валютной экспозиции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Инфляция &gt; 6%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Индексационные оговорки в контрактах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Задержки, sunk cost ≤ 830 млн ₽ (p95)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Stage-gate дисциплина, зелёный светофор</w:t>
            </w:r>
          </w:p>
        </w:tc>
      </w:tr>
      <w:tr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Концентрация партнёров</w:t>
            </w:r>
          </w:p>
        </w:tc>
        <w:tc>
          <w:tcPr>
            <w:tcW w:type="dxa" w:w="4677"/>
          </w:tcPr>
          <w:p>
            <w:pPr>
              <w:spacing w:line="240" w:lineRule="auto" w:after="40" w:before="40"/>
              <w:ind w:firstLine="0"/>
              <w:jc w:val="left"/>
            </w:pPr>
            <w:r/>
            <w:r>
              <w:rPr>
                <w:rFonts w:ascii="Times New Roman" w:hAnsi="Times New Roman"/>
                <w:sz w:val="24"/>
              </w:rPr>
              <w:t>Диверсификация до 8+ релизов</w:t>
            </w:r>
          </w:p>
        </w:tc>
      </w:tr>
    </w:tbl>
    <w:p>
      <w:pPr>
        <w:pStyle w:val="Heading2"/>
      </w:pPr>
      <w:r>
        <w:t>Рекомендация</w:t>
      </w:r>
    </w:p>
    <w:p>
      <w:r>
        <w:t>Утвердить финмодель v1.4.3 как базу для бюджета 2026–2028. Внедрить FX-хеджирование и stage-gate регламент в Q2 2026. Квартально ре-калибровать якорь по факту исполнения.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i/>
        <w:color w:val="999999"/>
        <w:sz w:val="18"/>
      </w:rPr>
      <w:t>ТрендСтудио | One-Pager | v1.4.3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 w:before="0"/>
      <w:ind w:firstLine="850"/>
      <w:jc w:val="both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70C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