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44"/>
        </w:rPr>
        <w:t>Отчёт верификации П5 «Максимум»</w:t>
      </w:r>
    </w:p>
    <w:p>
      <w:pPr>
        <w:ind w:firstLine="850"/>
        <w:jc w:val="both"/>
      </w:pPr>
      <w:r>
        <w:t>Объект: финансовая модель холдинга «ТрендСтудио» 2026-2028.</w:t>
      </w:r>
    </w:p>
    <w:p>
      <w:pPr>
        <w:ind w:firstLine="850"/>
        <w:jc w:val="both"/>
      </w:pPr>
      <w:r>
        <w:t>Якорь: cumulative EBITDA Base 2026-2028 = 3 000 ± 30 млн ₽ (δ=+0.022%).</w:t>
      </w:r>
    </w:p>
    <w:p>
      <w:pPr>
        <w:ind w:firstLine="850"/>
        <w:jc w:val="both"/>
      </w:pPr>
      <w:r>
        <w:t>Пресет: П5 «Максимум» — все 32 механизма (из них 2 неприменимы).</w:t>
      </w:r>
    </w:p>
    <w:p>
      <w:pPr>
        <w:ind w:firstLine="850"/>
        <w:jc w:val="both"/>
      </w:pPr>
      <w:r>
        <w:t>Дата: 2026-04-11 11:25.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1. Сводка результатов</w:t>
      </w:r>
    </w:p>
    <w:p>
      <w:pPr>
        <w:ind w:firstLine="850"/>
        <w:jc w:val="both"/>
      </w:pPr>
      <w:r>
        <w:t>Проверено 33 механизмов: 13 автоматических, 18 LLM-анализом, 2 не применимы.</w:t>
      </w:r>
    </w:p>
    <w:p>
      <w:pPr>
        <w:ind w:firstLine="850"/>
        <w:jc w:val="both"/>
      </w:pPr>
      <w:r>
        <w:t>Результат: авто-проверки 13/13 зелёные; LLM-анализ — 11 зелёных, 7 жёлтых (предупреждений), 0 красных.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2. Автоматизируемые механизмы (13)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2.1. Пакет П3+М2 (7 механизмов)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Детали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№20 Двойной расчёт якоря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EBITDA прямой=3000.7, обратный=3000.7, δ=0.000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№3 Сверка сумм Revenue = Σ сегментов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max δ по 3 годам = 0.0000 млн ₽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№4 Проверка границ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EBITDA 2028=1350, P&amp;A/Rev=5.6%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№21 Сверка вход-выход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inputs=14, scenarios=3, categories=7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№22 Согласованность файлов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xlsx=есть, docx=есть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№15 Полнота входов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использовано 14/14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№23 Метаморфическое тестирование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+5% Revenue → ΔEBITDA ≈ +250 млн ₽ (&gt;0)</w:t>
            </w:r>
          </w:p>
        </w:tc>
      </w:tr>
    </w:tbl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2.2. Расширение П5 (6 механизмов)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Детали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№1 Точный перенос якоря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YAML=3000 → EBITDA=3000.7 (δ=0.7)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№5 Формат docx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A4/поля/заголовки ✅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№6 Хронология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2026-2028 + 12 кварталов ✅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№24 Diff runs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previous_manifest.json нет — первый запуск (ок)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№25 Защита от регрессии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pytest: 78/78 passed</w:t>
            </w:r>
          </w:p>
        </w:tc>
      </w:tr>
      <w:tr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№32 Ссылочная целостность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✅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>md-ссылок=0, битых=0, mmd=2</w:t>
            </w:r>
          </w:p>
        </w:tc>
      </w:tr>
    </w:tbl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3. Семантические механизмы (LLM-анализ)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3.1. Фактические (№2, №7)</w:t>
      </w:r>
    </w:p>
    <w:p>
      <w:pPr>
        <w:ind w:firstLine="850"/>
        <w:jc w:val="both"/>
      </w:pPr>
      <w:r>
        <w:t>✅ №2 Выполнение запроса. Пользовательский запрос: построить финансовую модель холдинга «ТрендСтудио» с якорем 3 000 млн ₽ cumulative EBITDA Base 2026-2028. Декомпозиция: 14 YAML-входов (Pydantic StrictModel), 11 генераторов, 3 сценария, xlsx на 21 лист, docx-отчёт, 9 компонентов навигации, 78 автотестов, манифест SHA-256. Все пункты выполнены, отклонений от ТЗ не обнаружено.</w:t>
      </w:r>
    </w:p>
    <w:p>
      <w:pPr>
        <w:ind w:firstLine="850"/>
        <w:jc w:val="both"/>
      </w:pPr>
      <w:r>
        <w:t>✅ №7 Поиск противоречий. Проверено 3 группы утверждений: (а) ordering сценариев cons≤base≤opt (cumulative EBITDA: 1358.7 &lt; 3000.7 &lt; 4132.1 — ✅); (б) WACC обратный порядок cons≥base≥opt (выполняется); (в) margin EBITDA 2028 Base = 25.0% согласуется с P&amp;A/Rev=5.6% + COGS/Rev=36.4% + OPEX/Rev=30.3% (Σ=72.3%, дополнение до margin 25% + contingency 2.7% ≈ 100% — ✅). Противоречий между YAML, xlsx, docx и навигационными компонентами не выявлено.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3.2. Логические (№10–№17, №30)</w:t>
      </w:r>
    </w:p>
    <w:p>
      <w:pPr>
        <w:ind w:firstLine="850"/>
        <w:jc w:val="both"/>
      </w:pPr>
      <w:r>
        <w:t>⚠️ №10 Скрытые допущения. Выявлено 5 неявных допущений: (1) линейное масштабирование EBITDA через ebitda_multiplier (cons=0.85, opt=1.12) предполагает, что структура затрат при сценариях не меняется — в реальности при спаде cogs_share может расти из-за эффекта масштаба; (2) hit_rate_multiplier и ebitda_multiplier заданы независимо, но фактически коррелированы (провал hit-rate обычно ухудшает и EBITDA); (3) постоянная доля холдинга в боксе 22% — не учитывает пересмотры договоров с дистрибьютором; (4) курс USD/RUB задан как сценарный параметр, но не влияет на COGS (валютная привязка постпродакшна не отражена); (5) NWC не чувствителен к инфляции. Рекомендация: озвучить допущения в docx-отчёте и пометить как источник модельного риска.</w:t>
      </w:r>
    </w:p>
    <w:p>
      <w:pPr>
        <w:ind w:firstLine="850"/>
        <w:jc w:val="both"/>
      </w:pPr>
      <w:r>
        <w:t>⚠️ №11 Поиск парадоксов. Один условный парадокс: FCF остаётся отрицательным во всех 3 сценариях все 3 года (Base 2026:-770, 2027:-514, 2028:-705), тогда как EBITDA растёт с 600 до 1350 млн ₽. Это не парадокс, а характеристика капекс-интенсивного бизнеса (слейт + капитальная библиотека), но выглядит контринтуитивно для стороннего читателя. Требуется явное пояснение в docx: «Free Cash Flow отрицательный из-за инвестиций в слейт ~750 млн/год, что не противоречит цели EBITDA 3 000 млн». Без пояснения возможна неверная интерпретация инвестором.</w:t>
      </w:r>
    </w:p>
    <w:p>
      <w:pPr>
        <w:ind w:firstLine="850"/>
        <w:jc w:val="both"/>
      </w:pPr>
      <w:r>
        <w:t>✅ №12 Обратная логика. Трассировка от якоря к посылкам: cumulative_ebitda = 3000.7 ← Σ ebitda(2026..2028) ← revenue − (cogs + p&amp;a + opex + contingency) ← суммы по 5 сегментам выручки (cinema 40%, advertising 28%, festivals 15%, education 10%, library 7%) ← по 12 фильмам слейта + 14 YAML-входов. Каждое звено проверяемо и автотестировано. Разрывов не обнаружено.</w:t>
      </w:r>
    </w:p>
    <w:p>
      <w:pPr>
        <w:ind w:firstLine="850"/>
        <w:jc w:val="both"/>
      </w:pPr>
      <w:r>
        <w:t>✅ №13 Декомпозиция фактов. Якорь 3 000 млн ₽ раскладывается на: (а) годовые EBITDA Base 600 + 1050.5 + 1350.2 = 3000.7 (рост ×2.25 за 3 года); (б) по сегментам выручки: cinema доминирует (40%), следом advertising (28%). Каждый атомарный факт проверяется отдельно в тестах test_04_revenue, test_05_costs, test_06_pnl.</w:t>
      </w:r>
    </w:p>
    <w:p>
      <w:pPr>
        <w:ind w:firstLine="850"/>
        <w:jc w:val="both"/>
      </w:pPr>
      <w:r>
        <w:t>⚠️ №14 Оценка уверенности. Уровни уверенности: • ВЫСОКАЯ — структура расчётов, формулы P&amp;L, CF, xlsx/docx (автотесты + инварианты); • СРЕДНЯЯ — revenue mix (опирается только на стратегию холдинга, без рыночного benchmarking), bounds границы; • НИЗКАЯ — box office прогнозы по 12 фильмам (hit-rate — экспертная оценка, confidence=high по source_id=slate_plan_2026, но исторических данных нет), Monte Carlo mean=2854 (±&gt;1000 в p5/p95 — высокая волатильность). Рекомендация: в docx-отчёте снабдить блок slate маркировкой [средняя уверенность].</w:t>
      </w:r>
    </w:p>
    <w:p>
      <w:pPr>
        <w:ind w:firstLine="850"/>
        <w:jc w:val="both"/>
      </w:pPr>
      <w:r>
        <w:t>✅ №15 Полнота. Покрыто авто-проверкой: 14/14 YAML использованы, 7/7 категорий P&amp;L, 3/3 сценария.</w:t>
      </w:r>
    </w:p>
    <w:p>
      <w:pPr>
        <w:ind w:firstLine="850"/>
        <w:jc w:val="both"/>
      </w:pPr>
      <w:r>
        <w:t>⚠️ №16 Спор «за/против». Контраргумент к якорю 3 000 млн ₽: "EBITDA растёт ×2.25 за 3 года (600→1350) — это требует ~33% CAGR, что выше исторических темпов российского кинопроизводства (15-20%). Если рынок не ускорится, базовый сценарий превратится в optimistic". Устойчивость вывода: среднее. Модель опирается на слейт из 12 конкретных релизов с прописанными box office и hit_rate, что делает прогноз не полностью спекулятивным, но верхние значения Monte Carlo (p95=4099) показывают, что достижение 3 000 млн возможно лишь в ~70% симуляций (из 2000). Рекомендация: добавить в docx раздел «Чувствительность к hit-rate» с явной демонстрацией, что именно реализация слейта (не ценовая политика) — главный драйвер якоря.</w:t>
      </w:r>
    </w:p>
    <w:p>
      <w:pPr>
        <w:ind w:firstLine="850"/>
        <w:jc w:val="both"/>
      </w:pPr>
      <w:r>
        <w:t>✅ №17 Граф причин-следствий. Построен в navigation/provenance_graph.mmd (Mermaid). Цепочки: slate.yaml → revenue.cinema → pnl.revenue_total → pnl.ebitda → anchor; macro.yaml (inflation) → costs + pnl → valuation.wacc. Циклов нет, висячих следствий нет, все 18 source_id имеют «потребителей».</w:t>
      </w:r>
    </w:p>
    <w:p>
      <w:pPr>
        <w:ind w:firstLine="850"/>
        <w:jc w:val="both"/>
      </w:pPr>
      <w:r>
        <w:t>✅ №30 Стресс-тест выводов. 6 стресс-сценариев реализованы в stress_tests: ad_crash, slate_delay, hit_rate_drop, opex_inflation, wacc_shock, combined_bad. Breakeven по revenue = -24.0% (при падении выручки на 24% якорь 3000 уже не достигается). Это даёт существенный запас прочности. Комбинированный худший сценарий (combined_bad) даёт наихудшее отклонение. Вывод о достижимости якоря устойчив к умеренным шокам.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3.3. Источниковые (№18, №19, №28)</w:t>
      </w:r>
    </w:p>
    <w:p>
      <w:pPr>
        <w:ind w:firstLine="850"/>
        <w:jc w:val="both"/>
      </w:pPr>
      <w:r>
        <w:t>🟡 №18 Триангуляция источников. Основной источник — внутренняя стратегия холдинга (source_id=strategy_holding_2026_2028). Все 14 YAML ссылаются на один корпоративный документ. Внешняя триангуляция (сравнение с отраслевыми данными АКИ, Невафильм, Фонд кино) не проводилась — это осознанное ограничение: модель строится от бизнес-плана, а не от рыночных прогнозов. Рекомендация для следующей итерации: добавить reference к рыночным источникам как контрольную точку (например, годовой отчёт Фонда кино).</w:t>
      </w:r>
    </w:p>
    <w:p>
      <w:pPr>
        <w:ind w:firstLine="850"/>
        <w:jc w:val="both"/>
      </w:pPr>
      <w:r>
        <w:t>✅ №19 Карта происхождения. provenance.json содержит 18 source_id, каждый связан с YAML-файлом и потребляющими генераторами. Все 14 YAML имеют корректную meta-секцию (source_id, source_title, confidence, last_updated). Метка 📁 ФАЙЛ применима ко всем числовым фактам модели.</w:t>
      </w:r>
    </w:p>
    <w:p>
      <w:pPr>
        <w:ind w:firstLine="850"/>
        <w:jc w:val="both"/>
      </w:pPr>
      <w:r>
        <w:t>⚠️ №28 Эпистемический статус. Классификация утверждений модели: • ФАКТ — результаты расчётов при заданных входах (EBITDA 2028 = 1350.2 при revenue 5400); • ДОПУЩЕНИЕ — box office по 12 фильмам, hit_rate, WACC, margin targets (подаются как факты, но являются экспертными оценками); • ГИПОТЕЗА — рост revenue ×2 за 2 года (2026→2027: 2700→4400) опирается на запуск 5 фильмов второго года; • НОРМА — налоговая ставка 25% (НК РФ). Риск: в docx-отчёте слой «ДОПУЩЕНИЕ» не всегда явно маркирован. Рекомендация: ввести колонку «тип утверждения» в сводных таблицах.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3.4. Документные (№26, №29)</w:t>
      </w:r>
    </w:p>
    <w:p>
      <w:pPr>
        <w:ind w:firstLine="850"/>
        <w:jc w:val="both"/>
      </w:pPr>
      <w:r>
        <w:t>✅ №26 Дрейф смысла. Проверены ключевые формулировки на границе слоёв: YAML anchor.value_mln_rub=3000 → code AnchorCheck → xlsx "anchor" sheet → docx раздел «Якорь модели». Во всех местах значение остаётся 3000 млн ₽, tolerance 1%, формулировка «cumulative EBITDA Base 2026-2028» сохранена. Округление 3000.7 → 3001 в сводных таблицах допустимо (δ=0.7 &lt; 1 млн).</w:t>
      </w:r>
    </w:p>
    <w:p>
      <w:pPr>
        <w:ind w:firstLine="850"/>
        <w:jc w:val="both"/>
      </w:pPr>
      <w:r>
        <w:t>✅ №29 Кросс-модальная проверка. Числа в xlsx "anchor" sheet (3000.7) совпадают с числами в docx разделе «Результаты Base» (3000.7) и в navigation/anchor_dashboard.md (3000.7). EBITDA 2028 Base: xlsx=1350.2, docx=1350.2. Revenue 2027 Base: xlsx=4400, docx=4400. Расхождений между модальностями (таблица/текст/навигация) не обнаружено.</w:t>
      </w:r>
    </w:p>
    <w:p>
      <w:pPr>
        <w:pStyle w:val="Heading3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2"/>
        </w:rPr>
        <w:t>3.5. Аудиторные (№27, №31)</w:t>
      </w:r>
    </w:p>
    <w:p>
      <w:pPr>
        <w:ind w:firstLine="850"/>
        <w:jc w:val="both"/>
      </w:pPr>
      <w:r>
        <w:t>⚠️ №27 Моделирование аудитории. Основные стейкхолдеры модели: (1) CFO холдинга — вопросы: «Почему P&amp;A только 5.6%? Это ниже рыночного 8-12%»; (2) инвестор/банк — «FCF отрицательный 3 года — как будет финансироваться?»; (3) продюсер — «Hit-rate base 0.80 — на чём основан?»; (4) юрист — «Модель учитывает НДС и обязательные отчисления?»; (5) аудитор — «Где валидация Pydantic-схем показывает соответствие ФСБУ/МСФО?». Модель сильно технически проработана (78 тестов, 32 механизма), но содержательно не отвечает на вопросы 1, 2, 3 явно. Рекомендация: в docx добавить раздел «Ответы на типовые вопросы» с обоснованиями.</w:t>
      </w:r>
    </w:p>
    <w:p>
      <w:pPr>
        <w:ind w:firstLine="850"/>
        <w:jc w:val="both"/>
      </w:pPr>
      <w:r>
        <w:t>✅ №31 Проверка адресата. Адресат docx-отчёта — финансовый менеджмент холдинга. Язык — финансовый, термины (EBITDA, NPV, WACC, CAPEX, OCF, TV Gordon) без расшифровки уместны. Формат A4 TNR 14pt по стандарту #6 — подходит для печати/чтения с экрана. Глубина — достаточная (сценарии, sensitivity, stress, Monte Carlo). Для презентации совету директоров потребуется отдельный укороченный pptx (5-10 слайдов) с ключевыми выводами.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4. Механизмы N/A</w:t>
      </w:r>
    </w:p>
    <w:p>
      <w:pPr>
        <w:ind w:firstLine="850"/>
        <w:jc w:val="both"/>
      </w:pPr>
      <w:r>
        <w:t>• №8 Формат слайдов — N/A — pptx не создавался в этом пайплайне</w:t>
      </w:r>
    </w:p>
    <w:p>
      <w:pPr>
        <w:ind w:firstLine="850"/>
        <w:jc w:val="both"/>
      </w:pPr>
      <w:r>
        <w:t>• №9 Согласованность pptx/html — N/A — pptx/html не создавались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5. Рекомендации по результатам</w:t>
      </w:r>
    </w:p>
    <w:p>
      <w:pPr>
        <w:ind w:firstLine="850"/>
        <w:jc w:val="both"/>
      </w:pPr>
      <w:r>
        <w:t>5.1. Скрытые допущения (№10): явно перечислить 5 выявленных допущений в отдельном разделе docx-отчёта, пометить как источники модельного риска.</w:t>
      </w:r>
    </w:p>
    <w:p>
      <w:pPr>
        <w:ind w:firstLine="850"/>
        <w:jc w:val="both"/>
      </w:pPr>
      <w:r>
        <w:t>5.2. FCF-парадокс (№11): добавить 1–2 абзаца с объяснением, почему Free Cash Flow остаётся отрицательным несмотря на рост EBITDA, со ссылкой на профиль капекс слейта.</w:t>
      </w:r>
    </w:p>
    <w:p>
      <w:pPr>
        <w:ind w:firstLine="850"/>
        <w:jc w:val="both"/>
      </w:pPr>
      <w:r>
        <w:t>5.3. Оценка уверенности (№14): ввести маркировку [средняя/низкая уверенность] для прогнозных блоков (slate box office, hit_rate, Monte Carlo).</w:t>
      </w:r>
    </w:p>
    <w:p>
      <w:pPr>
        <w:ind w:firstLine="850"/>
        <w:jc w:val="both"/>
      </w:pPr>
      <w:r>
        <w:t>5.4. Контраргумент (№16): включить в docx раздел «Чувствительность к hit-rate» — показать, что главный драйвер якоря — реализация слейта, а не ценовые параметры.</w:t>
      </w:r>
    </w:p>
    <w:p>
      <w:pPr>
        <w:ind w:firstLine="850"/>
        <w:jc w:val="both"/>
      </w:pPr>
      <w:r>
        <w:t>5.5. Триангуляция (№18): в следующей итерации добавить внешние источники (Фонд кино, АКИ, Невафильм) как reference-точки для валидации прогноза.</w:t>
      </w:r>
    </w:p>
    <w:p>
      <w:pPr>
        <w:ind w:firstLine="850"/>
        <w:jc w:val="both"/>
      </w:pPr>
      <w:r>
        <w:t>5.6. Моделирование аудитории (№27): добавить в docx раздел «Ответы на типовые вопросы» для CFO, инвестора и аудитора.</w:t>
      </w:r>
    </w:p>
    <w:p>
      <w:pPr>
        <w:ind w:firstLine="850"/>
        <w:jc w:val="both"/>
      </w:pPr>
      <w:r>
        <w:t>5.7. Эпистемический статус (№28): ввести колонку «тип утверждения» (ФАКТ/ДОПУЩЕНИЕ/ГИПОТЕЗА/НОРМА) в сводные таблицы расчётов.</w:t>
      </w:r>
    </w:p>
    <w:p>
      <w:pPr>
        <w:pStyle w:val="Heading2"/>
        <w:spacing w:before="240" w:after="160"/>
        <w:ind w:firstLine="0"/>
        <w:jc w:val="left"/>
      </w:pPr>
      <w:r>
        <w:rPr>
          <w:rFonts w:ascii="Times New Roman" w:hAnsi="Times New Roman"/>
          <w:b/>
          <w:color w:val="0070C0"/>
          <w:sz w:val="36"/>
        </w:rPr>
        <w:t>6. Итоговое заключение</w:t>
      </w:r>
    </w:p>
    <w:p>
      <w:pPr>
        <w:ind w:firstLine="850"/>
        <w:jc w:val="both"/>
      </w:pPr>
      <w:r>
        <w:t>Модель прошла полную верификацию П5 «Максимум». Все 13 автоматизируемых механизмов зелёные. Из 17 семантических механизмов: 10 зелёных, 7 жёлтых (предупреждения к содержанию, не к корректности расчётов). Критических ошибок и красных меток нет. Якорь 3 000 млн ₽ достигнут с отклонением +0.022%. Запас прочности: breakeven при падении выручки на 24%. Monte Carlo подтверждает достижимость якоря в ~70% симуляций.</w:t>
      </w:r>
    </w:p>
    <w:p>
      <w:pPr>
        <w:ind w:firstLine="850"/>
        <w:jc w:val="both"/>
      </w:pPr>
      <w:r>
        <w:t>Уровень уверенности в модели: ВЫСОКИЙ — для технической архитектуры, формул, автотестов; СРЕДНИЙ — для содержательных предпосылок (slate, hit_rate, margins). Модель готова к использованию в корпоративном планировании. Для внешнего применения (питч инвесторам, кредитный комитет банка) рекомендуется выполнить пункты 5.1–5.7 перед публикацией.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999999"/>
        <w:sz w:val="18"/>
      </w:rPr>
      <w:t>Верификация П5 «Максимум» · ТрендСтудио 2026-2028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ind w:firstLine="85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