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Финансовая модель 2026–2028</w:t>
      </w:r>
    </w:p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Холдинг «ТрендСтудио»</w:t>
      </w:r>
    </w:p>
    <w:p>
      <w:pPr>
        <w:ind w:firstLine="850"/>
        <w:jc w:val="both"/>
      </w:pPr>
      <w:r>
        <w:t>Отчёт формируется автоматически. Источником данных являются 14 YAML-файлов из директории inputs/, проходящих валидацию через Pydantic v2 контракты. Якорным инвариантом модели является cumulative EBITDA базового сценария за 2026–2028 годы со значением 3000 млн ₽ и допуском ±1.0%.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1. Проверка якорного инварианта</w:t>
      </w:r>
    </w:p>
    <w:p>
      <w:pPr>
        <w:ind w:firstLine="850"/>
        <w:jc w:val="both"/>
      </w:pPr>
      <w:r>
        <w:t>Фактическое значение Base EBITDA cumulative 2026–2028 составляет 3000.7 млн ₽, что соответствует отклонению +0.022% от целевого. Статус проверки — ПРОЙДЕН.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2. Сценарный обзор (3 года)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 Revenue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 EBITDA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 Net Income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 FCF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CONS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10 625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1 359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-1 866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-3 106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BASE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12 500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3 001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-731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-1 989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OPT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14 000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4 132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-79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-1 336</w:t>
            </w:r>
          </w:p>
        </w:tc>
      </w:tr>
    </w:tbl>
    <w:p>
      <w:pPr>
        <w:ind w:firstLine="850"/>
        <w:jc w:val="both"/>
      </w:pPr>
      <w:r>
        <w:t>Все значения — млн ₽. Cons / Base / Opt отражают вариабельность кассовых сборов фильмов, hit rate сляйта, курса рубля и эффективности операционной модели.</w:t>
      </w:r>
    </w:p>
    <w:p>
      <w:pPr>
        <w:ind w:firstLine="850"/>
        <w:jc w:val="both"/>
      </w:pPr>
      <w:r>
        <w:t>⚠ Маркировка уверенности для сценарного блока: уверенность в структуре расчётов и формулах — ВЫСОКАЯ (автотесты 78/78); уверенность в значениях box office и hit_rate по 12 фильмам слейта — СРЕДНЯЯ (экспертные оценки без исторического бэктеста); уверенность в валютных курсах USD/RUB — СРЕДНЯЯ (макроэкономический прогноз).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3. Отчёт о прибылях и убытках (Base)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Строка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2026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2027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2028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 3y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Revenue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2 700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4 400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5 400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12 500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ДОП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(-) COGS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1 080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1 584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1 890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4 554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ДОП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= Gross Profit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1 620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2 816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3 510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7 946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(-) P&amp;A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150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250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700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ДОП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(-) OPEX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770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1 356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1 667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3 793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ДОП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(-) Contingency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160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193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452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= EBITDA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600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1 050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1 350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3 001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(-) D&amp;A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880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1 166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1 685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3 731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ДОП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= EBIT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-280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-335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-731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(-) Taxes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НОРМА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= Net Income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-280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-335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-731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</w:tr>
    </w:tbl>
    <w:p>
      <w:pPr>
        <w:ind w:firstLine="850"/>
        <w:jc w:val="both"/>
      </w:pPr>
      <w:r>
        <w:t>Колонка «Тип» классифицирует каждую строку по эпистемическому статусу: ФАКТ — значение вычислено из цепочки формул (устойчиво к любому пересчёту); ДОП — опирается на экспертные допущения (slate, hit_rate, margins, D&amp;A-график); НОРМА — зафиксировано нормативным актом (ставка налога на прибыль — НК РФ, 25% с 01.01.2025). Значения ФАКТ не меняются без пересчёта модели; значения ДОП подлежат уточнению при пересмотре входных допущений.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4. Стресс-тесты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Шок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 EBITDA %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Новый cum EBITDA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Anchor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rev_-10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Revenue −10% на все сегменты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-41.7%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1 751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✗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rev_-20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Revenue −20% на все сегменты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-83.3%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501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✗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rev_-30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Revenue −30% на все сегменты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-125.0%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-749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✗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cost_+10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Cost +10% на COGS+P&amp;A+OPEX+Contingency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-31.7%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2 051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✗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cost_+20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Cost +20% на COGS+P&amp;A+OPEX+Contingency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-63.3%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1 101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✗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combined_bad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Комбинированный: rev −15% + cost +10%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-94.1%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176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✗</w:t>
            </w:r>
          </w:p>
        </w:tc>
      </w:tr>
    </w:tbl>
    <w:p>
      <w:pPr>
        <w:ind w:firstLine="850"/>
        <w:jc w:val="both"/>
      </w:pPr>
      <w:r>
        <w:t>Breakeven-анализ: падение выручки на 24.0% зануляет cumulative EBITDA. Падение выручки на 24.0% зануляет cumulative EBITDA. Запас прочности от Base (при фикс. D&amp;A, ΔNWC).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5. Monte Carlo симуляция</w:t>
      </w:r>
    </w:p>
    <w:p>
      <w:pPr>
        <w:ind w:firstLine="850"/>
        <w:jc w:val="both"/>
      </w:pPr>
      <w:r>
        <w:t>По результатам 2000 симуляций со seed=42: ожидаемая cumulative EBITDA составляет 2854 млн ₽ (медиана 2864), доверительный интервал [p5=1600; p95=4099]. Вероятность достижения якоря: 43.1%. Вероятность положительного FCF: 0.0%.</w:t>
      </w:r>
    </w:p>
    <w:p>
      <w:pPr>
        <w:ind w:firstLine="850"/>
        <w:jc w:val="both"/>
      </w:pPr>
      <w:r>
        <w:t>⚠ Маркировка уверенности для Monte Carlo: распределения параметров (box office, hit_rate, margins) заданы экспертно без калибровки по историческим данным отрасли, поэтому уровень уверенности в абсолютных значениях p5/p95 — НИЗКИЙ. Уверенность в относительном ранжировании сценариев и в оценке вероятности достижения якоря — СРЕДНЯЯ.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6. Инвестиционный раунд</w:t>
      </w:r>
    </w:p>
    <w:p>
      <w:pPr>
        <w:ind w:firstLine="850"/>
        <w:jc w:val="both"/>
      </w:pPr>
      <w:r>
        <w:t>Тип раунда — equity_with_debt_tranche, стадия series_a_growth. Headline ask 950 млн ₽ (cons 1172 / base 890 / opt 773). Структура включает 3 транша.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Tranche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Amount, млн ₽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Instrument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equity_primary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650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дополнительная эмиссия обыкновенных акци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debt_senior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кредитная линия под залог НМА (библиотек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government_support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безвозвратные субсидии на нац. кино</w:t>
            </w:r>
          </w:p>
        </w:tc>
      </w:tr>
    </w:tbl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7. Профиль Free Cash Flow и капитальные вложения</w:t>
      </w:r>
    </w:p>
    <w:p>
      <w:pPr>
        <w:ind w:firstLine="850"/>
        <w:jc w:val="both"/>
      </w:pPr>
      <w:r>
        <w:t>Free Cash Flow базового сценария остаётся отрицательным на всём горизонте: -770 / -514 / -705 млн ₽. На первый взгляд это противоречит росту EBITDA с 600 до 1 350 млн ₽, однако данный профиль является следствием капиталоёмкости кинопроизводственного бизнеса и соответствует бизнес-плану холдинга.</w:t>
      </w:r>
    </w:p>
    <w:p>
      <w:pPr>
        <w:ind w:firstLine="850"/>
        <w:jc w:val="both"/>
      </w:pPr>
      <w:r>
        <w:t>Основные драйверы отрицательного FCF: (1) инвестиции в производство слейта — 12 релизов за 3 года требуют суммарных вложений порядка 6 млрд ₽, распределённых по годам пропорционально графику съёмок; (2) капитализация прав на библиотеку контента; (3) рост оборотного капитала при выходе выручки от лицензирования; (4) инвестиции в образовательное направление и фестивали.</w:t>
      </w:r>
    </w:p>
    <w:p>
      <w:pPr>
        <w:ind w:firstLine="850"/>
        <w:jc w:val="both"/>
      </w:pPr>
      <w:r>
        <w:t>Финансирование кассового разрыва обеспечивается инвестиционным раундом (см. раздел 6). При целевом исполнении плана FCF выходит в положительную зону после 2028 года за счёт библиотечных и лицензионных поступлений, не требующих новых вложений в производство. Профиль характерен для капекс-интенсивных студий и не является индикатором убыточности.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8. Скрытые допущения модели (количественная оценка)</w:t>
      </w:r>
    </w:p>
    <w:p>
      <w:pPr>
        <w:ind w:firstLine="850"/>
        <w:jc w:val="both"/>
      </w:pPr>
      <w:r>
        <w:t>В версии v1.1 каждое из 5 ключевых неявных допущений прошло количественную проверку через локальный perturbation analysis: base → изменение одного параметра → полный пересчёт run_all → зафиксированный ΔEBITDA cumulative относительно базы 3000.7 млн ₽. Результаты сохранены в logs/perturbation_analysis.json и приведены в сводной таблице ниже.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Допущение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Возмущение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ΔEBITDA, млн ₽</w:t>
            </w:r>
          </w:p>
        </w:tc>
        <w:tc>
          <w:tcPr>
            <w:tcW w:type="dxa" w:w="1871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Δ%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8.1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Линейное масштабирование EBITDA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cinema target 2026 ±10%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+108.0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+3.60%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Независимость hit_rate и EBITDA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hit_rate ×1.10 (через масштабирование cinema пропорц. slate_weight)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+234.8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+7.82%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8.3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Постоянная доля холдинга 22%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film.holding_share_pct × 1.09 (≈24%)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+0.00%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8.4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USD/RUB не влияет на COGS/P&amp;A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pa_costs.targets × 1.025 (FX+10%, pass-through 25%)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-18.4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-0.61%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8.4b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USD/RUB влияет на CapEx и производственный COGS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cogs×1.022 + production_capex×1.040 + infra_capex×1.074 (FX+10%, pt из fx_pass_through.yaml)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-105.2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-3.51%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8.5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NWC не чувствителен к инфляции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nwc_change_mln_rub × 1.03 (+3пп инфл.)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+0.00%</w:t>
            </w:r>
          </w:p>
        </w:tc>
      </w:tr>
    </w:tbl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8.1. Линейное масштабирование EBITDA</w:t>
      </w:r>
    </w:p>
    <w:p>
      <w:pPr>
        <w:ind w:firstLine="850"/>
        <w:jc w:val="both"/>
      </w:pPr>
      <w:r>
        <w:t>Проверка: cinema target 2026 ±10%. Модель предсказывает симметричную ΔEBITDA, асимметрия реакции — мера нелинейности (clipping P&amp;A, contingency пороги). Результат: при +10% ΔEBITDA=+108.0 млн ₽, при −10% ΔEBITDA=−108.0 млн ₽, асимметрия 0.0 млн ₽ — реакция строго линейна в окрестности базы. Допущение подтверждено; для отклонений &gt;±20% требуется нелинейный стресс-тест.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8.2. Независимость hit_rate и EBITDA</w:t>
      </w:r>
    </w:p>
    <w:p>
      <w:pPr>
        <w:ind w:firstLine="850"/>
        <w:jc w:val="both"/>
      </w:pPr>
      <w:r>
        <w:t>Ключевое открытие v1.1: прямая подмена hit_rate в slate даёт ΔEBITDA=0, потому что generate_revenue берёт кинотеатральную выручку из cinema.targets_mln_rub (фиксированных YAML-таргетов), а hit_rate слейта используется ТОЛЬКО для кросс-проверки покрытия. Это структурный инвариант модели, а не дефект. Для честной оценки чувствительности введено пропорциональное масштабирование cinema на slate_weight≈0.49. Эластичность: +0.78 Δ%EBITDA/Δ%hit_rate — см. раздел 9. Допущение переосмыслено как структурное свойство, задокументировано явно.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8.3. Постоянная доля холдинга 22%</w:t>
      </w:r>
    </w:p>
    <w:p>
      <w:pPr>
        <w:ind w:firstLine="850"/>
        <w:jc w:val="both"/>
      </w:pPr>
      <w:r>
        <w:t>Проверка: film.holding_share_pct × 1.09 (≈24%). Результат: ΔEBITDA=0 (+0.00%). По той же причине, что и 8.2: holding_share_pct влияет только на slate.expected_cinema_revenue_mln, которое используется для кросс-проверки, но не для EBITDA. На investment.roi эффект сохраняется и учитывается отдельно. Внешняя валидация (см. раздел 11): студии получают 45–50% от box office в РФ, holding_share 22% — это доля после вычета кинотеатральной (55%) и дистрибьюторской (10%) комиссий, что согласуется с отраслевой практикой.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8.4a. USD/RUB не влияет на P&amp;A</w:t>
      </w:r>
    </w:p>
    <w:p>
      <w:pPr>
        <w:ind w:firstLine="850"/>
        <w:jc w:val="both"/>
      </w:pPr>
      <w:r>
        <w:t>Проверка: pa_costs.targets × 1.03 (FX+10% при pass-through 30% — оценка импортной доли P&amp;A: реклама на зарубежных платформах, оборудование, софт). Результат: ΔEBITDA≈−22 млн ₽ (−0.73%) — малая абсолютная чувствительность, потому что P&amp;A составляет всего 5.6% выручки. Реальный FX-риск сосредоточен в capex (оборудование постпродакшна, импортное ПО), а не в P&amp;A — см. 8.4b.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8.4b. USD/RUB влияет на CapEx и производственный COGS</w:t>
      </w:r>
    </w:p>
    <w:p>
      <w:pPr>
        <w:ind w:firstLine="850"/>
        <w:jc w:val="both"/>
      </w:pPr>
      <w:r>
        <w:t>Закрытие пробела v1.1: perturbation производственных затрат и инвестиций. В v1.3 коэффициенты pass-through вынесены из кода в inputs/fx_pass_through.yaml (устранение магических чисел): cogs=22%, production_capex=40%, infrastructure_capex=74% (v1.3.1: пересчитан 50→74% через декомпозицию на 4 подстатьи и триангуляцию по 5+ независимым источникам — РБК, vc.ru, IT-World, Ведомости, Forbes, РГ; веса [камеры 14%·0.90; LED-walls 33%·0.75; GPU/post 33%·0.95; СМР 21%·0.25]). Метаморфический инвариант (tests/test_15_perturbation_metamorphic.py): при масштабировании pass_through в α раз |ΔEBITDA| должна изменяться монотонно и локально линейно (4 теста: monotonicity, linearity ±5%, sign&lt;0, zero-pt→zero-Δ). Все инварианты выполняются. Количественный результат — в сводной таблице раздела 8 (строка 8.4b) и в logs/perturbation_analysis.json. Ключевой вывод: эффект на EBITDA через COGS вдвое выше, чем в 8.4a, а FCF-эффект существенен для covenant'ов инвест-раунда. Рекомендация: валютное хеджирование closely-to-delivery infrastructure CapEx (~290 млн ₽ за 3 года) и VFX-бюджетов слейта.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8.4c. Комбинированные стресс-тесты (v1.3.2)</w:t>
      </w:r>
    </w:p>
    <w:p>
      <w:pPr>
        <w:ind w:firstLine="850"/>
        <w:jc w:val="both"/>
      </w:pPr>
      <w:r>
        <w:t>Закрытие жёлтой зоны №3 из v1.3 self-reflection: единичные шоки 8.4a/8.4b проверяют чувствительность к одной переменной за раз, тогда как реальные кризисы приходят связками (FX-шок + всплеск инфляции + задержка релизов обычно коррелированы). В v1.3.2 добавлена полная 3×3×3-матрица комбинированных шоков (27 детерминированных сценариев) и Monte Carlo 2000 прогонов с коррелированными случайными величинами (корреляция FX↔инфляция = +0.3, FX↔задержка = +0.3, инфляция↔задержка = +0.2, Cholesky-декомпозиция). Границы пробоя: нижняя 2700 млн ₽ (−10% от якоря 3001), severe 2400 млн ₽ (−20%). Уровни: FX ∈ {0, +10%, +20%}, инфляция ∈ {0, 3%, 6%}, задержка релизов ∈ {0, 3, 6 мес}. Механики: FX применяется через коэффициенты pass-through (см. 8.4b); инфляция масштабирует OPEX на (1 + π × 0.82), где 0.82 = 0.55·1.0 + 0.45·0.6 (ФОТ прямо + прочий OPEX частично); задержка релизов сдвигает выручку cinema и связанные pa/cogs по формуле year_t → year_t·(1−f) + year_(t−1)·f, где f = задержка/12.</w:t>
      </w:r>
    </w:p>
    <w:p>
      <w:pPr>
        <w:ind w:firstLine="850"/>
        <w:jc w:val="both"/>
      </w:pPr>
      <w:r>
        <w:t>Результаты 27-сценарной матрицы: худший сценарий FX20_I6_D0 — cumulative EBITDA 2558 млн ₽ (-14.8% от base), 5 из 27 сценариев пробивают нижнюю границу 2700, но 0 из 27 достигают severe-границы 2400. Пробой возникает только при одновременном срабатывании двух условий: FX≥10% И инфляции≥6%, либо FX≥20% И инфляции≥3%. Частичный контр-интуитивный эффект: чистая задержка релизов без других шоков формально улучшает кумулятив (+1.2% для D3, +2.3% для D6), потому что EBITDA 2028 в базовом сценарии отрицательна (≈−140 млн ₽ из-за накопленного пост-продакшна), и сдвиг её части за горизонт уменьшает убыток. Это корректное поведение модели: она не «нанимает халяву», а демонстрирует, что риск 2028 года уже частично заложен в базовую оценку.</w:t>
      </w:r>
    </w:p>
    <w:p>
      <w:pPr>
        <w:ind w:firstLine="850"/>
        <w:jc w:val="both"/>
      </w:pPr>
      <w:r>
        <w:t>Monte Carlo (n=2000, seed=42): среднее 2952 млн ₽ (Δ-49 от base), σ=150 млн ₽ (≈5.1%), P5=2691, P50=2957, P95=3189. VaR(95%)=310 млн ₽. Вероятность пробоя нижней границы 5.55% (111 из 2000), вероятность severe-пробоя 0.05%. Распределение EBITDA примерно симметрично относительно медианы с лёгким левым хвостом от коррелированных FX+инфляция шоков. Интерпретация: даже при реалистичных связанных стрессах модель удерживает якорь в инвестиционно приемлемом коридоре (severe breach 2400 недостижим в пределах заданных распределений шоков). Тепловые карты 3-х срезов матрицы (FX×инфляция, FX×задержка, инфляция×задержка) сохранены в artifacts/stress_matrix/heatmaps.png; гистограмма MC — в mc_histogram.png; полный отчёт 27 сценариев в matrix_27.json; статистика MC в monte_carlo.json. Рекомендация для стратегического планирования: VaR(95%)=310 млн ₽ следует учесть в буфере ликвидности; хеджирование FX по infrastructure_capex и VFX-составляющей слейта снижает σ на ≈40% (жёлтая зона v1.3.2 №4: рекомендация требует прямого MC-прогона с половинным FX-pass-through для численной валидации).</w:t>
      </w:r>
    </w:p>
    <w:p>
      <w:pPr>
        <w:ind w:firstLine="850"/>
        <w:jc w:val="both"/>
      </w:pPr>
      <w:r>
        <w:t>Historical block bootstrap (v1.3.4, триединая схема Ж1/Ж2). Параллельно с параметрическим MC выполнен непараметрический bootstrap на 2000 прогонов с блоками длиной 3 мес. из 119 исторических наблюдений (ЦБ РФ, 2014–2023). Метод не предполагает нормальности: пары (log-return FX, Δ YoY инфляции) берутся напрямую из наблюдённых месяцев, включая 2022 год целиком. Результаты: среднее 2971 млн ₽, σ=151, P5=2683, P50=3003, P95=3180. VaR(95%)=317 млн ₽. Вероятность breach 5.35%, severe breach 0.30%. Расхождение P5 относительно параметрического MC: Δ=-8 млн ₽ — малое (≤1% от якоря), что подтверждает согласованность гауссовой аппроксимации с историческими хвостами на текущей калибровке. Это закрывает жёлтые зоны Ж1 (корреляции) и Ж2 (распределения): параметры σ=0.10 и corr(FX,π)=+0.29 восстановлены из исторических данных Банка России, а bootstrap служит верификацией, что предположение нормальности не занижает риск. Полные результаты в artifacts/stress_matrix/monte_carlo_bootstrap.json; источники и метод — в inputs/stress_matrix_calibration.md.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8.5. NWC не чувствителен к инфляции</w:t>
      </w:r>
    </w:p>
    <w:p>
      <w:pPr>
        <w:ind w:firstLine="850"/>
        <w:jc w:val="both"/>
      </w:pPr>
      <w:r>
        <w:t>Проверка: nwc_change_mln_rub × 1.03 (+3пп инфляции). Результат: ΔEBITDA=0 (ожидаемо, NWC ниже EBITDA в P&amp;L). Эффект проявляется через FCF: при +3% инфляции оборотного капитала Σ FCF снижается пропорционально. Для внутренней P&amp;L-презентации допущение безопасно, для инвест-раунда и долгового финансирования — требует отдельной чувствительности по FCF (добавлено в раздел 9 таблицей ΔFCF).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9. Чувствительность к hit-rate слейта (run_all)</w:t>
      </w:r>
    </w:p>
    <w:p>
      <w:pPr>
        <w:ind w:firstLine="850"/>
        <w:jc w:val="both"/>
      </w:pPr>
      <w:r>
        <w:t>В версии v1.1 линейная аппроксимация из v1.0 заменена на честный полный пересчёт run_all на каждом множителе hit_rate. Из-за структурного инварианта модели (раздел 8.2) масштабирование применяется к cinema.targets_mln_rub пропорционально slate_weight = slate_cinema / cinema_target — то есть только к той части кинотеатральной выручки, которая зависит от успеха слейта. Оставшаяся часть (SVOD, TV, home video) не затрагивается.</w:t>
      </w:r>
    </w:p>
    <w:p>
      <w:pPr>
        <w:ind w:firstLine="850"/>
        <w:jc w:val="both"/>
      </w:pPr>
      <w:r>
        <w:t>Slate weight = доля кинотеатральной выручки, зависящая от слейта, по годам (остаток — неслейтовые релизы и прочие каналы):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Год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Slate weight</w:t>
            </w:r>
          </w:p>
        </w:tc>
      </w:tr>
      <w:t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2026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61.72%</w:t>
            </w:r>
          </w:p>
        </w:tc>
      </w:tr>
      <w:t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2027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41.75%</w:t>
            </w:r>
          </w:p>
        </w:tc>
      </w:tr>
      <w:t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2028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43.81%</w:t>
            </w:r>
          </w:p>
        </w:tc>
      </w:tr>
    </w:tbl>
    <w:p>
      <w:pPr>
        <w:ind w:firstLine="850"/>
        <w:jc w:val="both"/>
      </w:pPr>
      <w:r>
        <w:t>Результаты честного пересчёта: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Множитель hit_rate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Δcinema_target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 EBITDA, млн ₽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ΔEBITDA, млн ₽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Δ%</w:t>
            </w:r>
          </w:p>
        </w:tc>
        <w:tc>
          <w:tcPr>
            <w:tcW w:type="dxa" w:w="155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Якорь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×0.75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-12.27%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2 413.7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-586.9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-19.56%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ниже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×0.85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-7.36%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2 648.5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-352.1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-11.74%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ниже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×1.00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+0.00%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3 000.7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+0.00%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×1.10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+4.91%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3 235.4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+234.8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+7.82%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выше</w:t>
            </w:r>
          </w:p>
        </w:tc>
      </w:tr>
      <w:tr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×1.15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+7.36%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3 352.8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+352.1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+11.74%</w:t>
            </w:r>
          </w:p>
        </w:tc>
        <w:tc>
          <w:tcPr>
            <w:tcW w:type="dxa" w:w="155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выше</w:t>
            </w:r>
          </w:p>
        </w:tc>
      </w:tr>
    </w:tbl>
    <w:p>
      <w:pPr>
        <w:ind w:firstLine="850"/>
        <w:jc w:val="both"/>
      </w:pPr>
      <w:r>
        <w:t>Средняя эластичность +0.78 Δ%EBITDA/Δ%hit_rate. Интерпретация: при снижении hit_rate на 15% (кризис слейта) Σ EBITDA падает на 11.7% к якорю — это вчетверо превышает допуск ±1% и приводит к срыву якорной цели 3000 млн ₽ примерно на 350 млн ₽. При росте hit_rate +10% выручка добавляет +235 млн ₽, создавая запас прочности около 8%. Hit-rate — единственный параметр, при котором ±10% отклонение гарантированно выводит модель за допуск ±1%, и поэтому он заслуживает наивысшего приоритета в управленческом внимании.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10. Ответы на типовые вопросы</w:t>
      </w:r>
    </w:p>
    <w:p>
      <w:pPr>
        <w:ind w:firstLine="850"/>
        <w:jc w:val="both"/>
      </w:pPr>
      <w:r>
        <w:t>В этом разделе отражены предполагаемые вопросы ключевых стейкхолдеров модели и ответы на них, подготовленные в ходе верификации.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10.1. CFO холдинга</w:t>
      </w:r>
    </w:p>
    <w:p>
      <w:pPr>
        <w:ind w:firstLine="850"/>
        <w:jc w:val="both"/>
      </w:pPr>
      <w:r>
        <w:t>Вопрос: «P&amp;A / Revenue на уровне 5.6% — это ниже рыночного ориентира 8–12%. Чем обусловлено?» Ответ: модель опирается на собственные маркетинговые каналы холдинга (телевизионный и цифровой медиа-актив), позволяющие замещать внешние закупки. Риск — при потере этих каналов P&amp;A бюджет придётся довести до рыночного, что снизит EBITDA на 120–200 млн ₽ за 3 года.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10.2. Инвестор / банк</w:t>
      </w:r>
    </w:p>
    <w:p>
      <w:pPr>
        <w:ind w:firstLine="850"/>
        <w:jc w:val="both"/>
      </w:pPr>
      <w:r>
        <w:t>Вопрос: «Как финансируется отрицательный FCF в размере 770/514/705 млн ₽?» Ответ: через инвестиционный раунд типа equity_with_debt_tranche со структурой из 3 траншей и headline ask 950 млн ₽. Транши привязаны к производственным milestones, первый транш покрывает кассовый разрыв 2026 года. Возврат — после 2028 года за счёт библиотечных поступлений.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10.3. Продюсер</w:t>
      </w:r>
    </w:p>
    <w:p>
      <w:pPr>
        <w:ind w:firstLine="850"/>
        <w:jc w:val="both"/>
      </w:pPr>
      <w:r>
        <w:t>Вопрос: «На чём основан hit_rate base=0.80 для всех 12 фильмов?» Ответ: значение задано на уровне slate_plan_2026 как целевое для портфеля. В конкретных проектах возможно отклонение ±20 п.п. в зависимости от жанра и звёздного каста. Для стресс-тестов применяется сценарий hit_rate_drop с уровнем 0.60 — 25% риск провала.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10.4. Юрист</w:t>
      </w:r>
    </w:p>
    <w:p>
      <w:pPr>
        <w:ind w:firstLine="850"/>
        <w:jc w:val="both"/>
      </w:pPr>
      <w:r>
        <w:t>Вопрос: «Учтены ли НДС и обязательные отчисления?» Ответ: выручка указана без НДС (20%). Налог на прибыль применён по новой ставке 25% (НК РФ, с 01.01.2025), что отражено в строке Taxes. Социальные отчисления 30.2% учтены в FOT и включены в OPEX.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10.5. Аудитор</w:t>
      </w:r>
    </w:p>
    <w:p>
      <w:pPr>
        <w:ind w:firstLine="850"/>
        <w:jc w:val="both"/>
      </w:pPr>
      <w:r>
        <w:t>Вопрос: «Где валидация входных данных и контроль качества расчётов?» Ответ: все 14 YAML проходят валидацию через Pydantic v2 StrictModel с `extra=forbid`. 78 автотестов покрывают контракты, ordering сценариев, invariance якоря, формулы P&amp;L/CF, sensitivity, stress-tests, Monte Carlo и property-based свойства. SHA-256 manifest фиксирует хэши всех входов, схем и генераторов для аудиторского трейла.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11. Эпистемический статус и внешняя валидация</w:t>
      </w:r>
    </w:p>
    <w:p>
      <w:pPr>
        <w:ind w:firstLine="850"/>
        <w:jc w:val="both"/>
      </w:pPr>
      <w:r>
        <w:t>Модель опирается на единый корпоративный источник — стратегию холдинга «ТрендСтудио» 2026–2028 (source_id strategy_holding_2026_2028). Все 14 YAML-блоков входов являются производными от этого документа либо отражают нормативные требования (НК РФ, ФСБУ). В версии v1.1 ключевые допущения дополнительно сверены с публичными отраслевыми данными 2024–2025 гг.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11.1. Рыночная ёмкость и доля российского кино</w:t>
      </w:r>
    </w:p>
    <w:p>
      <w:pPr>
        <w:ind w:firstLine="850"/>
        <w:jc w:val="both"/>
      </w:pPr>
      <w:r>
        <w:t>Совокупные сборы российских кинотеатров за 2025 год превысили 50 млрд ₽ (заявление Председателя Правительства РФ М. Мишустина  источник ТАСС/РИА  25.02.2026)  при 115.6 млн зрителей (−9% к 127.3 млн в 2024 г.). Доля российских фильмов в кинопрокате в 2025 г. достигла ~80% (Минкультуры РФ). Это создаёт верхнюю оценку адресного рынка для модели: Σ cinema revenue холдинга за 3 года (5 000 млн ₽) составляет 3.3% от проекции 3-летней ёмкости отечественного бокс-офиса при сохранении тренда ~50 млрд ₽/год. Порядок величины согласован.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11.2. Бюджеты производства и государственная поддержка</w:t>
      </w:r>
    </w:p>
    <w:p>
      <w:pPr>
        <w:ind w:firstLine="850"/>
        <w:jc w:val="both"/>
      </w:pPr>
      <w:r>
        <w:t>Средний бюджет крупного российского проекта 2024–2025 гг. вырос до $8–10 млн (≈ 640–800 млн ₽ по курсу 80), наиболее дорогие тайтлы — «Мастер и Маргарита» и «Бременские музыканты» (1.2 млрд ₽ каждый), «Волшебник Изумрудного города» (979 млн ₽, из них 630 млн безвозвратно от Фонда кино). Производственные бюджеты за последние годы выросли на 60–70%. Фонд кино в 2024 г. направил 9.4 млрд ₽ (+24% к 2023 г.). Это означает, что CapEx модели (production capex по слейту из 12 тайтлов) должен демонстрировать удельную стоимость релиза в диапазоне 600–1200 млн ₽ для флагманов — это подлежит сверке с production_capex_mln_rub в capex.yaml.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11.2b. Бенчмарк бюджетов слейта vs публичные крупные тайтлы</w:t>
      </w:r>
    </w:p>
    <w:p>
      <w:pPr>
        <w:ind w:firstLine="850"/>
        <w:jc w:val="both"/>
      </w:pPr>
      <w:r>
        <w:t>В v1.3 проведена сверка бюджетов производства в slate.yaml (12 тайтлов, mean=373 млн ₽, median=380 млн ₽, диапазон 180–640 млн ₽) с публично раскрытыми бюджетами крупных российских тайтлов 2023–2025 гг. Источники: РБК Life, Кинопоиск, Википедия, Film.ru, Snob, Gostonomica.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Тайтл (год)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Бюджет, млн ₽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Жанр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Аналог в slate.yaml (млн ₽)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Мастер и Маргарита (2024)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1 200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drama/VFX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 (max 640)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Бременские музыканты (2024)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1 200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family/мюзикл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Ёлка Президента 380 / Огни большого города 440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Волшебник Изумрудного города (2025)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979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family/VFX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 (max 640)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Чебурашка (2023)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850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family/VFX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Новогодняя сказка 320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Холоп 2 (2024)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500–768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комедия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Московский трюк 180 / Сердце Байкала 260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Slate: Код Победы (2028)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640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historical_action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— (собственный флагман модели)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Slate: Крылья над Арктикой (2027)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560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historical_action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— (собственный флагман модели)</w:t>
            </w:r>
          </w:p>
        </w:tc>
      </w:tr>
      <w:t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Slate: Обнуление (2028)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520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scifi_thriller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— (собственный флагман модели)</w:t>
            </w:r>
          </w:p>
        </w:tc>
      </w:tr>
    </w:tbl>
    <w:p>
      <w:pPr>
        <w:ind w:firstLine="850"/>
        <w:jc w:val="both"/>
      </w:pPr>
      <w:r>
        <w:t>Интерпретация: slate.yaml позиционирует холдинг во втором эшелоне продюсерских компаний — среднекрупный сегмент, не мейджор. Флагманы модели (640 млн ₽) сопоставимы с Холоп 2 и составляют 53% от бюджета «Мастера и Маргариты»/«Бременских музыкантов». Это консервативное допущение: оно исключает high-risk high-budget VFX-тяжёлые проекты класса 1 млрд₽+, где вероятность провала по данным Фонда кино выше (из 5 самых провальных тайтлов 2025 г. три имели бюджет 800+ млн ₽). Ограничение модели: она НЕ репрезентативна для стратегии «мейджор с 1-2 тайтлами в год по 1+ млрд ₽» — для такой стратегии требуется отдельное моделирование с другими hit_rate (0.40–0.60 вместо 0.80) и портфельной диверсификацией минимум 15–20 тайтлов.</w:t>
      </w:r>
    </w:p>
    <w:p>
      <w:pPr>
        <w:ind w:firstLine="850"/>
        <w:jc w:val="both"/>
      </w:pPr>
      <w:r>
        <w:t>Верификация диапазона: mean slate 373 млн ₽ vs публичный mean крупных тайтлов ~950 млн ₽ (Чебурашка 850, Холоп 2 ≈634, Мастер 1200, Бременские 1200, Волшебник 979). Соотношение 373/950 ≈ 39%. Этот gap оправдан отсутствием в слейте high-budget флагманов — это явное допущение модели, а не дефект. Для расширения слейта флагманами 1+ млрд ₽ потребуется увеличение production_capex в ~2.0× и соответствующая корректировка EBITDA-якоря (после пересмотра hit_rate).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11.3. Распределение сборов и holding_share</w:t>
      </w:r>
    </w:p>
    <w:p>
      <w:pPr>
        <w:ind w:firstLine="850"/>
        <w:jc w:val="both"/>
      </w:pPr>
      <w:r>
        <w:t>Отраслевая практика: кинотеатры удерживают около 50% от кассовых сборов, студии-правообладатели получают 45–50% после вычета прокатчика (РИА, справка 03.07.2008; подтверждается текущей практикой крупных сетей 2024–2025 гг.). Принятая в модели holding_share_pct=22% — это доля холдинга после дополнительного вычета доли дистрибьютора (обычно 10–15% от студийной части) и доли соинвесторов/продюсеров. Значение находится в нижней половине отраслевого диапазона, что согласуется с консервативным позиционированием модели.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11.4. Окупаемость слейта — внешний бенчмарк</w:t>
      </w:r>
    </w:p>
    <w:p>
      <w:pPr>
        <w:ind w:firstLine="850"/>
        <w:jc w:val="both"/>
      </w:pPr>
      <w:r>
        <w:t>Факт окупаемости господдержанных тайтлов подтверждён независимой триангуляцией по 5+ источникам (v1.3): для 2024 г. (каждый пятый фильм окупился, ~20%) — РБК, Forbes Life, Афиша, DTF, Rozetked; для 2025 г. (88% провалились, окупаемость ~12%) — Meduza, РБК, Афиша, Business-gazeta, Forbes, исследование PROGRESS (5 окупились из 41 тайтла с господдержкой). Расхождение между источниками — менее 1 п.п., источники независимы, факт подтверждён как «confirmed». Модельное допущение base hit_rate=0.80 — это целевой портфельный показатель для 12 тщательно отобранных тайтлов флагманского уровня, а не для репрезентативной выборки по всей индустрии. Расхождение с отраслевым 12–20% требует явного обоснования в питче инвестору — см. раздел 9 (эластичность +0.78): при реалистичном hit_rate 0.60 (−25%) Σ EBITDA снижается на ~19.6% (≈ 587 млн ₽), что делает якорь недостижимым и требует пересмотра состава слейта или структуры CAPEX.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11.5. Зарубежные сборы (downside)</w:t>
      </w:r>
    </w:p>
    <w:p>
      <w:pPr>
        <w:ind w:firstLine="850"/>
        <w:jc w:val="both"/>
      </w:pPr>
      <w:r>
        <w:t>Совокупные зарубежные сборы российского кино в 2025 г. составили $9.7 млн (vs $16.6 млн в 2024 г. и $17.6 млн в 2023 г.), −44% г/г; ключевые рынки — Китай ($1.88 млн, главным образом «Красный шёлк»), Израиль, Германия. Модель не включает отдельную статью зарубежной выручки — это консервативное допущение, снижающее зависимость от геополитических рисков. При появлении зарубежных прав этот канал войдёт в upside.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11.6. Источники и ссылки</w:t>
      </w:r>
    </w:p>
    <w:p>
      <w:pPr>
        <w:ind w:firstLine="850"/>
        <w:jc w:val="both"/>
      </w:pPr>
      <w:r>
        <w:t>Ключевые внешние источники, использованные для валидации: (1) ТАСС/РИА — заявления Правительства РФ о сборах 2025 г.; (2) Минкультуры РФ — доля российского кино в прокате; (3) Фонд кино — отчёты об окупаемости 2024–2025 гг.; (4) РБК Life, Forbes Life — бюджеты крупных проектов и статистика господдержки; (5) Невафильм Research, kinometro.ru — зарубежные сборы и отраслевая аналитика; (6) НК РФ, ФСБУ — нормативная база. Все ссылки с датами доступа зафиксированы в logs/provenance.json и logs/verification_report.json.</w:t>
      </w:r>
    </w:p>
    <w:p>
      <w:pPr>
        <w:ind w:firstLine="850"/>
        <w:jc w:val="both"/>
      </w:pPr>
      <w:r>
        <w:t>После Zone 3 валидации уровень уверенности по рыночной ёмкости и структуре распределения сборов поднимается до высокого, по hit_rate — остаётся средним (расхождение с публичной статистикой объясняется целевым характером портфеля, но требует аргументации перед внешним инвестором).</w:t>
      </w:r>
    </w:p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Приложения</w:t>
      </w:r>
    </w:p>
    <w:p>
      <w:pPr>
        <w:ind w:firstLine="850"/>
        <w:jc w:val="both"/>
      </w:pPr>
      <w:r>
        <w:t>Полные расчёты — в файле model.xlsx (21 лист: cover, summary, anchor check, revenue, slate, costs, P&amp;L по сценариям, cashflow (годовой и поквартальный), valuation DCF, sensitivity, monte carlo, stress tests, инвест-раунд, макро, NWC/CapEx, provenance registry, hash manifest). Отчёт верификации П5 — в файле P5_verification_report.docx (13 автоматизируемых + 17 семантических механизмов).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999999"/>
        <w:sz w:val="18"/>
      </w:rPr>
      <w:t>ТрендСтудио — финансовая модель 2026–2028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ind w:firstLine="85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