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C6" w:rsidRDefault="005D1F11" w:rsidP="005D1F11">
      <w:pPr>
        <w:jc w:val="right"/>
      </w:pPr>
      <w:proofErr w:type="spellStart"/>
      <w:r>
        <w:t>Deumié</w:t>
      </w:r>
      <w:proofErr w:type="spellEnd"/>
      <w:r>
        <w:t xml:space="preserve"> Nolwenn</w:t>
      </w:r>
      <w:r>
        <w:br/>
        <w:t>L1 Groupe C labo 3</w:t>
      </w:r>
      <w:r>
        <w:br/>
      </w:r>
    </w:p>
    <w:p w:rsidR="005D1F11" w:rsidRDefault="005D1F11" w:rsidP="005D1F11">
      <w:pPr>
        <w:jc w:val="center"/>
      </w:pPr>
      <w:r>
        <w:t>Compréhension orale n°6</w:t>
      </w:r>
    </w:p>
    <w:p w:rsidR="005D1F11" w:rsidRDefault="005D1F11" w:rsidP="005D1F11">
      <w:pPr>
        <w:jc w:val="center"/>
      </w:pPr>
    </w:p>
    <w:p w:rsidR="00986975" w:rsidRDefault="005D1F11" w:rsidP="002D5B0A">
      <w:pPr>
        <w:spacing w:line="480" w:lineRule="auto"/>
        <w:ind w:left="851"/>
      </w:pPr>
      <w:r>
        <w:t xml:space="preserve">Q.2 : A pense que la cuisine anglaise n’est pas particulièrement bonne, il précise que même les anglais la détestent. Pour appuyer son propos, A </w:t>
      </w:r>
      <w:proofErr w:type="spellStart"/>
      <w:r>
        <w:t>donne</w:t>
      </w:r>
      <w:proofErr w:type="spellEnd"/>
      <w:r>
        <w:t xml:space="preserve"> quatre exemples de plats : le </w:t>
      </w:r>
      <w:proofErr w:type="spellStart"/>
      <w:r>
        <w:t>fish’n’chips</w:t>
      </w:r>
      <w:proofErr w:type="spellEnd"/>
      <w:r>
        <w:t xml:space="preserve"> très gras et enrobé de vinaigre, une sauce </w:t>
      </w:r>
      <w:r w:rsidR="00046977">
        <w:t>à la menthe avec de l’agneau rôti, le petit-déjeuner traditionnel avec œufs haricots et bacon, et enfin le porridge sans goût ni forme.</w:t>
      </w:r>
      <w:r w:rsidR="00046977">
        <w:br/>
      </w:r>
      <w:r w:rsidR="00046977">
        <w:br/>
        <w:t xml:space="preserve">Q.3 : La nourriture anglaise se développe en France grâce à des commerces anglais implantés à Paris, comme la très célèbre marque </w:t>
      </w:r>
      <w:r w:rsidR="00046977" w:rsidRPr="00046977">
        <w:rPr>
          <w:i/>
        </w:rPr>
        <w:t>Mark &amp; Spencer</w:t>
      </w:r>
      <w:r w:rsidR="00046977">
        <w:t xml:space="preserve"> qui a déjà 10 magasins dans Paris, vient d’en ouvrir un onzième et prévoit d’atteindre les 20 magasins dans les deux prochaines années. La marque propose des produits divers et sortant de l’ordinaire comme des salades avocat/écrevisses ou encore des gâteaux aux carottes.</w:t>
      </w:r>
      <w:r w:rsidR="00046977">
        <w:br/>
      </w:r>
      <w:r w:rsidR="00046977">
        <w:br/>
        <w:t xml:space="preserve">Q.4 : Le succès de </w:t>
      </w:r>
      <w:r w:rsidR="00046977" w:rsidRPr="00046977">
        <w:rPr>
          <w:i/>
        </w:rPr>
        <w:t>Mark &amp; Spencer</w:t>
      </w:r>
      <w:r w:rsidR="00046977">
        <w:t xml:space="preserve"> tient aussi du fait qu’ils vendent de la nourriture « al </w:t>
      </w:r>
      <w:proofErr w:type="spellStart"/>
      <w:r w:rsidR="00046977">
        <w:t>desko</w:t>
      </w:r>
      <w:proofErr w:type="spellEnd"/>
      <w:r w:rsidR="00046977">
        <w:t> » et non de vrais produits typiquement anglais, c’est-à-dire des choses que l’on peut manger à son bureau. Ce type de produit a fortement gagné en popularité en France, qui se calque sur le modèle britannique. Au lieu d’aller manger au restaurant le midi, les français commencent petit à petit à manger au travail.</w:t>
      </w:r>
      <w:r w:rsidR="00046977">
        <w:br/>
      </w:r>
      <w:r w:rsidR="00046977">
        <w:br/>
        <w:t xml:space="preserve">Q.6 : La compagnie </w:t>
      </w:r>
      <w:proofErr w:type="spellStart"/>
      <w:r w:rsidR="00046977" w:rsidRPr="00046977">
        <w:rPr>
          <w:i/>
        </w:rPr>
        <w:t>Tyrrels</w:t>
      </w:r>
      <w:proofErr w:type="spellEnd"/>
      <w:r w:rsidR="00046977">
        <w:t xml:space="preserve"> vend énormément de chips de pommes de terres. C’est un exemple tout à fait pertinent puisque la France est le plus gros marché d’export de cette entreprise. Puisque les Français adoptent les habitudes alimentaires anglaises, les entreprises comme </w:t>
      </w:r>
      <w:proofErr w:type="spellStart"/>
      <w:r w:rsidR="00046977" w:rsidRPr="00046977">
        <w:rPr>
          <w:i/>
        </w:rPr>
        <w:t>Tyrrels</w:t>
      </w:r>
      <w:proofErr w:type="spellEnd"/>
      <w:r w:rsidR="00046977">
        <w:t xml:space="preserve"> font forcément succès et permettent aux Français de </w:t>
      </w:r>
      <w:r w:rsidR="00046977">
        <w:lastRenderedPageBreak/>
        <w:t>consommer davantage anglais.</w:t>
      </w:r>
      <w:r w:rsidR="00046977">
        <w:br/>
      </w:r>
      <w:r w:rsidR="00046977">
        <w:br/>
        <w:t xml:space="preserve">Q.7 : Ce n’est pas juste une invasion de fast-foods. Le dynamisme du marché de l’alimentaire britannique en France </w:t>
      </w:r>
      <w:r w:rsidR="00986975">
        <w:t>est aussi lié à la vente de produits plus traditionnels comme les fameux cornichons. La France est le deuxième plus gros client de l’export alimentaire britannique, le marché français vaut près de £750 milliards.</w:t>
      </w:r>
      <w:r w:rsidR="00986975">
        <w:br/>
      </w:r>
      <w:r w:rsidR="00986975">
        <w:br/>
        <w:t xml:space="preserve">Q.8 : Il y a un avantage considérable du côté des britanniques, ils savent s’adapter et, contrairement aux Américains, ne se contentent pas de venir implanter leurs marques dans un savoir colonialiste flagrant. Les Anglais savent faire des publicités attractives aussi. Par exemple, la cuisine indienne a été reprise par les Anglais, qui l’ont adaptée avant de l’exporter en France : </w:t>
      </w:r>
      <w:r w:rsidR="00986975" w:rsidRPr="00986975">
        <w:rPr>
          <w:i/>
        </w:rPr>
        <w:t>Mark &amp; Spencer</w:t>
      </w:r>
      <w:r w:rsidR="00986975">
        <w:t xml:space="preserve"> vend à Paris prêt de 70 000 plats à emporter indiens par an.</w:t>
      </w:r>
    </w:p>
    <w:p w:rsidR="00986975" w:rsidRDefault="00986975" w:rsidP="005D1F11">
      <w:r>
        <w:t xml:space="preserve">Q.9 : </w:t>
      </w:r>
    </w:p>
    <w:tbl>
      <w:tblPr>
        <w:tblStyle w:val="Grilledutableau"/>
        <w:tblW w:w="0" w:type="auto"/>
        <w:tblLook w:val="04A0" w:firstRow="1" w:lastRow="0" w:firstColumn="1" w:lastColumn="0" w:noHBand="0" w:noVBand="1"/>
      </w:tblPr>
      <w:tblGrid>
        <w:gridCol w:w="2265"/>
        <w:gridCol w:w="2265"/>
        <w:gridCol w:w="2266"/>
        <w:gridCol w:w="2266"/>
      </w:tblGrid>
      <w:tr w:rsidR="00986975" w:rsidTr="00986975">
        <w:tc>
          <w:tcPr>
            <w:tcW w:w="2265" w:type="dxa"/>
          </w:tcPr>
          <w:p w:rsidR="00986975" w:rsidRDefault="00986975" w:rsidP="005D1F11">
            <w:r>
              <w:t>Mots en : -</w:t>
            </w:r>
            <w:proofErr w:type="spellStart"/>
            <w:r w:rsidRPr="00986975">
              <w:rPr>
                <w:i/>
                <w:color w:val="FF0000"/>
              </w:rPr>
              <w:t>ity</w:t>
            </w:r>
            <w:proofErr w:type="spellEnd"/>
          </w:p>
        </w:tc>
        <w:tc>
          <w:tcPr>
            <w:tcW w:w="2265" w:type="dxa"/>
          </w:tcPr>
          <w:p w:rsidR="00986975" w:rsidRDefault="00986975" w:rsidP="005D1F11">
            <w:r>
              <w:t>Mots en : -</w:t>
            </w:r>
            <w:proofErr w:type="spellStart"/>
            <w:r w:rsidRPr="00986975">
              <w:rPr>
                <w:i/>
                <w:color w:val="FF0000"/>
              </w:rPr>
              <w:t>ic</w:t>
            </w:r>
            <w:proofErr w:type="spellEnd"/>
          </w:p>
        </w:tc>
        <w:tc>
          <w:tcPr>
            <w:tcW w:w="2266" w:type="dxa"/>
          </w:tcPr>
          <w:p w:rsidR="00986975" w:rsidRDefault="00986975" w:rsidP="005D1F11">
            <w:r>
              <w:t>Mots en : -</w:t>
            </w:r>
            <w:proofErr w:type="spellStart"/>
            <w:r w:rsidRPr="00986975">
              <w:rPr>
                <w:color w:val="FF0000"/>
              </w:rPr>
              <w:t>CiVC</w:t>
            </w:r>
            <w:proofErr w:type="spellEnd"/>
          </w:p>
        </w:tc>
        <w:tc>
          <w:tcPr>
            <w:tcW w:w="2266" w:type="dxa"/>
          </w:tcPr>
          <w:p w:rsidR="00986975" w:rsidRDefault="00986975" w:rsidP="005D1F11"/>
        </w:tc>
      </w:tr>
      <w:tr w:rsidR="00986975" w:rsidTr="00986975">
        <w:tc>
          <w:tcPr>
            <w:tcW w:w="2265" w:type="dxa"/>
          </w:tcPr>
          <w:p w:rsidR="00986975" w:rsidRDefault="00986975" w:rsidP="005D1F11">
            <w:r w:rsidRPr="00986975">
              <w:rPr>
                <w:b/>
              </w:rPr>
              <w:t>Règle</w:t>
            </w:r>
            <w:r>
              <w:t xml:space="preserve"> : Les mots se finissant par le suffixe </w:t>
            </w:r>
            <w:r w:rsidRPr="00986975">
              <w:rPr>
                <w:i/>
              </w:rPr>
              <w:t>–</w:t>
            </w:r>
            <w:proofErr w:type="spellStart"/>
            <w:r w:rsidRPr="00986975">
              <w:rPr>
                <w:i/>
                <w:color w:val="FF0000"/>
              </w:rPr>
              <w:t>ity</w:t>
            </w:r>
            <w:proofErr w:type="spellEnd"/>
            <w:r w:rsidRPr="00986975">
              <w:rPr>
                <w:color w:val="FF0000"/>
              </w:rPr>
              <w:t xml:space="preserve"> </w:t>
            </w:r>
            <w:r>
              <w:t>sont accentués sur l’avant dernière syllabe.</w:t>
            </w:r>
          </w:p>
        </w:tc>
        <w:tc>
          <w:tcPr>
            <w:tcW w:w="2265" w:type="dxa"/>
          </w:tcPr>
          <w:p w:rsidR="00986975" w:rsidRDefault="00986975" w:rsidP="005D1F11">
            <w:r w:rsidRPr="00986975">
              <w:rPr>
                <w:b/>
              </w:rPr>
              <w:t>Règle</w:t>
            </w:r>
            <w:r>
              <w:t> : Les mots se finissant par le suffixe –</w:t>
            </w:r>
            <w:proofErr w:type="spellStart"/>
            <w:r w:rsidRPr="00986975">
              <w:rPr>
                <w:i/>
                <w:color w:val="FF0000"/>
              </w:rPr>
              <w:t>ic</w:t>
            </w:r>
            <w:proofErr w:type="spellEnd"/>
            <w:r w:rsidRPr="00986975">
              <w:rPr>
                <w:color w:val="FF0000"/>
              </w:rPr>
              <w:t xml:space="preserve"> </w:t>
            </w:r>
            <w:r>
              <w:t>sont accentués sur la syllabe précédent le suffixe.</w:t>
            </w:r>
          </w:p>
        </w:tc>
        <w:tc>
          <w:tcPr>
            <w:tcW w:w="2266" w:type="dxa"/>
          </w:tcPr>
          <w:p w:rsidR="00986975" w:rsidRDefault="00986975" w:rsidP="005D1F11">
            <w:r w:rsidRPr="00986975">
              <w:rPr>
                <w:b/>
              </w:rPr>
              <w:t>Règle</w:t>
            </w:r>
            <w:r>
              <w:t> : Les mots se finissant par l’ensemble « consonne, i, voyelle, consonne » sont accentués sur la syllabe précédent le suffixe. C’est la « règle de Lion »</w:t>
            </w:r>
          </w:p>
        </w:tc>
        <w:tc>
          <w:tcPr>
            <w:tcW w:w="2266" w:type="dxa"/>
          </w:tcPr>
          <w:p w:rsidR="00986975" w:rsidRDefault="00986975" w:rsidP="005D1F11">
            <w:r w:rsidRPr="006A40C8">
              <w:rPr>
                <w:b/>
              </w:rPr>
              <w:t>Exceptions</w:t>
            </w:r>
            <w:r>
              <w:t> :</w:t>
            </w:r>
            <w:r w:rsidR="006A40C8">
              <w:t xml:space="preserve"> </w:t>
            </w:r>
            <w:r>
              <w:t xml:space="preserve">Il n’y en a que pour les mots en </w:t>
            </w:r>
            <w:r w:rsidR="006A40C8">
              <w:br/>
            </w:r>
            <w:r>
              <w:t>–</w:t>
            </w:r>
            <w:proofErr w:type="spellStart"/>
            <w:r w:rsidRPr="006A40C8">
              <w:rPr>
                <w:i/>
                <w:color w:val="FF0000"/>
              </w:rPr>
              <w:t>ic</w:t>
            </w:r>
            <w:proofErr w:type="spellEnd"/>
            <w:r w:rsidRPr="006A40C8">
              <w:rPr>
                <w:color w:val="FF0000"/>
              </w:rPr>
              <w:t> </w:t>
            </w:r>
            <w:r>
              <w:t xml:space="preserve">: </w:t>
            </w:r>
            <w:proofErr w:type="spellStart"/>
            <w:r w:rsidRPr="002D5B0A">
              <w:rPr>
                <w:i/>
                <w:color w:val="4472C4" w:themeColor="accent5"/>
              </w:rPr>
              <w:t>catholic</w:t>
            </w:r>
            <w:proofErr w:type="spellEnd"/>
            <w:r w:rsidRPr="002D5B0A">
              <w:rPr>
                <w:i/>
                <w:color w:val="4472C4" w:themeColor="accent5"/>
              </w:rPr>
              <w:t xml:space="preserve">, </w:t>
            </w:r>
            <w:proofErr w:type="spellStart"/>
            <w:r w:rsidRPr="002D5B0A">
              <w:rPr>
                <w:i/>
                <w:color w:val="4472C4" w:themeColor="accent5"/>
              </w:rPr>
              <w:t>politics</w:t>
            </w:r>
            <w:proofErr w:type="spellEnd"/>
            <w:r w:rsidRPr="002D5B0A">
              <w:rPr>
                <w:i/>
                <w:color w:val="4472C4" w:themeColor="accent5"/>
              </w:rPr>
              <w:t xml:space="preserve">, </w:t>
            </w:r>
            <w:proofErr w:type="spellStart"/>
            <w:r w:rsidRPr="002D5B0A">
              <w:rPr>
                <w:i/>
                <w:color w:val="4472C4" w:themeColor="accent5"/>
              </w:rPr>
              <w:t>Arabic</w:t>
            </w:r>
            <w:proofErr w:type="spellEnd"/>
            <w:r w:rsidRPr="002D5B0A">
              <w:rPr>
                <w:i/>
                <w:color w:val="4472C4" w:themeColor="accent5"/>
              </w:rPr>
              <w:t xml:space="preserve">, </w:t>
            </w:r>
            <w:proofErr w:type="spellStart"/>
            <w:r w:rsidRPr="002D5B0A">
              <w:rPr>
                <w:i/>
                <w:color w:val="4472C4" w:themeColor="accent5"/>
              </w:rPr>
              <w:t>lunatic</w:t>
            </w:r>
            <w:proofErr w:type="spellEnd"/>
            <w:r w:rsidRPr="002D5B0A">
              <w:rPr>
                <w:i/>
                <w:color w:val="4472C4" w:themeColor="accent5"/>
              </w:rPr>
              <w:t xml:space="preserve">, </w:t>
            </w:r>
            <w:proofErr w:type="spellStart"/>
            <w:r w:rsidRPr="002D5B0A">
              <w:rPr>
                <w:i/>
                <w:color w:val="4472C4" w:themeColor="accent5"/>
              </w:rPr>
              <w:t>heretic</w:t>
            </w:r>
            <w:proofErr w:type="spellEnd"/>
            <w:r w:rsidRPr="002D5B0A">
              <w:rPr>
                <w:i/>
                <w:color w:val="4472C4" w:themeColor="accent5"/>
              </w:rPr>
              <w:t xml:space="preserve">, </w:t>
            </w:r>
            <w:proofErr w:type="spellStart"/>
            <w:r w:rsidRPr="002D5B0A">
              <w:rPr>
                <w:i/>
                <w:color w:val="4472C4" w:themeColor="accent5"/>
              </w:rPr>
              <w:t>rhetoric</w:t>
            </w:r>
            <w:proofErr w:type="spellEnd"/>
            <w:r w:rsidRPr="002D5B0A">
              <w:rPr>
                <w:i/>
                <w:color w:val="4472C4" w:themeColor="accent5"/>
              </w:rPr>
              <w:t xml:space="preserve">, </w:t>
            </w:r>
            <w:proofErr w:type="spellStart"/>
            <w:r w:rsidRPr="002D5B0A">
              <w:rPr>
                <w:i/>
                <w:color w:val="4472C4" w:themeColor="accent5"/>
              </w:rPr>
              <w:t>arithmetic</w:t>
            </w:r>
            <w:proofErr w:type="spellEnd"/>
            <w:r w:rsidRPr="002D5B0A">
              <w:rPr>
                <w:i/>
                <w:color w:val="4472C4" w:themeColor="accent5"/>
              </w:rPr>
              <w:t xml:space="preserve">, </w:t>
            </w:r>
            <w:proofErr w:type="spellStart"/>
            <w:r w:rsidRPr="002D5B0A">
              <w:rPr>
                <w:i/>
                <w:color w:val="4472C4" w:themeColor="accent5"/>
              </w:rPr>
              <w:t>cadaveric</w:t>
            </w:r>
            <w:proofErr w:type="spellEnd"/>
            <w:r w:rsidRPr="002D5B0A">
              <w:rPr>
                <w:i/>
                <w:color w:val="4472C4" w:themeColor="accent5"/>
              </w:rPr>
              <w:t xml:space="preserve">, </w:t>
            </w:r>
            <w:proofErr w:type="spellStart"/>
            <w:r w:rsidRPr="002D5B0A">
              <w:rPr>
                <w:i/>
                <w:color w:val="4472C4" w:themeColor="accent5"/>
              </w:rPr>
              <w:t>chivalric</w:t>
            </w:r>
            <w:proofErr w:type="spellEnd"/>
            <w:r w:rsidRPr="002D5B0A">
              <w:rPr>
                <w:i/>
                <w:color w:val="4472C4" w:themeColor="accent5"/>
              </w:rPr>
              <w:t xml:space="preserve">, </w:t>
            </w:r>
            <w:proofErr w:type="spellStart"/>
            <w:r w:rsidRPr="002D5B0A">
              <w:rPr>
                <w:i/>
                <w:color w:val="4472C4" w:themeColor="accent5"/>
              </w:rPr>
              <w:t>choleric</w:t>
            </w:r>
            <w:proofErr w:type="spellEnd"/>
            <w:r w:rsidRPr="002D5B0A">
              <w:rPr>
                <w:i/>
                <w:color w:val="4472C4" w:themeColor="accent5"/>
              </w:rPr>
              <w:t>, arsenic</w:t>
            </w:r>
          </w:p>
        </w:tc>
      </w:tr>
      <w:tr w:rsidR="00986975" w:rsidTr="00986975">
        <w:tc>
          <w:tcPr>
            <w:tcW w:w="2265" w:type="dxa"/>
          </w:tcPr>
          <w:p w:rsidR="00986975" w:rsidRDefault="006A40C8" w:rsidP="005D1F11">
            <w:proofErr w:type="spellStart"/>
            <w:r>
              <w:t>Flexi</w:t>
            </w:r>
            <w:r w:rsidR="00032C71">
              <w:t>’</w:t>
            </w:r>
            <w:r>
              <w:t>bil</w:t>
            </w:r>
            <w:r w:rsidRPr="00032C71">
              <w:rPr>
                <w:b/>
                <w:color w:val="4472C4" w:themeColor="accent5"/>
                <w:u w:val="single"/>
              </w:rPr>
              <w:t>ity</w:t>
            </w:r>
            <w:proofErr w:type="spellEnd"/>
            <w:r>
              <w:t xml:space="preserve">, </w:t>
            </w:r>
            <w:proofErr w:type="spellStart"/>
            <w:r>
              <w:t>com</w:t>
            </w:r>
            <w:r w:rsidR="00032C71">
              <w:t>’</w:t>
            </w:r>
            <w:r>
              <w:t>mun</w:t>
            </w:r>
            <w:r w:rsidRPr="00032C71">
              <w:rPr>
                <w:b/>
                <w:color w:val="4472C4" w:themeColor="accent5"/>
                <w:u w:val="single"/>
              </w:rPr>
              <w:t>ity</w:t>
            </w:r>
            <w:proofErr w:type="spellEnd"/>
            <w:r>
              <w:t xml:space="preserve">, </w:t>
            </w:r>
            <w:proofErr w:type="spellStart"/>
            <w:r>
              <w:t>adapta</w:t>
            </w:r>
            <w:r w:rsidR="00032C71">
              <w:t>’</w:t>
            </w:r>
            <w:r>
              <w:t>bil</w:t>
            </w:r>
            <w:r w:rsidRPr="00032C71">
              <w:rPr>
                <w:b/>
                <w:color w:val="4472C4" w:themeColor="accent5"/>
              </w:rPr>
              <w:t>ity</w:t>
            </w:r>
            <w:proofErr w:type="spellEnd"/>
          </w:p>
        </w:tc>
        <w:tc>
          <w:tcPr>
            <w:tcW w:w="2265" w:type="dxa"/>
          </w:tcPr>
          <w:p w:rsidR="00986975" w:rsidRDefault="006A40C8" w:rsidP="005D1F11">
            <w:proofErr w:type="spellStart"/>
            <w:r>
              <w:t>Speci</w:t>
            </w:r>
            <w:r w:rsidR="00032C71">
              <w:t>’</w:t>
            </w:r>
            <w:r>
              <w:t>f</w:t>
            </w:r>
            <w:r w:rsidRPr="00032C71">
              <w:rPr>
                <w:b/>
                <w:color w:val="4472C4" w:themeColor="accent5"/>
              </w:rPr>
              <w:t>ic</w:t>
            </w:r>
            <w:r>
              <w:t>ally</w:t>
            </w:r>
            <w:proofErr w:type="spellEnd"/>
            <w:r>
              <w:t xml:space="preserve">, </w:t>
            </w:r>
            <w:r w:rsidR="00032C71">
              <w:t>‘</w:t>
            </w:r>
            <w:proofErr w:type="spellStart"/>
            <w:r w:rsidR="00032C71">
              <w:t>typ</w:t>
            </w:r>
            <w:r w:rsidR="00032C71" w:rsidRPr="00032C71">
              <w:rPr>
                <w:b/>
                <w:color w:val="4472C4" w:themeColor="accent5"/>
              </w:rPr>
              <w:t>ic</w:t>
            </w:r>
            <w:r w:rsidR="00032C71">
              <w:t>al</w:t>
            </w:r>
            <w:proofErr w:type="spellEnd"/>
          </w:p>
        </w:tc>
        <w:tc>
          <w:tcPr>
            <w:tcW w:w="2266" w:type="dxa"/>
          </w:tcPr>
          <w:p w:rsidR="00986975" w:rsidRDefault="006A40C8" w:rsidP="005D1F11">
            <w:proofErr w:type="spellStart"/>
            <w:r>
              <w:t>Subs</w:t>
            </w:r>
            <w:r w:rsidR="00032C71">
              <w:t>’</w:t>
            </w:r>
            <w:r>
              <w:t>tan</w:t>
            </w:r>
            <w:r w:rsidRPr="00032C71">
              <w:rPr>
                <w:b/>
                <w:color w:val="4472C4" w:themeColor="accent5"/>
              </w:rPr>
              <w:t>tial</w:t>
            </w:r>
            <w:proofErr w:type="spellEnd"/>
            <w:r>
              <w:t xml:space="preserve">, </w:t>
            </w:r>
            <w:proofErr w:type="spellStart"/>
            <w:r>
              <w:t>tra</w:t>
            </w:r>
            <w:r w:rsidR="00032C71">
              <w:t>’</w:t>
            </w:r>
            <w:r>
              <w:t>di</w:t>
            </w:r>
            <w:r w:rsidRPr="00032C71">
              <w:rPr>
                <w:b/>
                <w:color w:val="4472C4" w:themeColor="accent5"/>
              </w:rPr>
              <w:t>tion</w:t>
            </w:r>
            <w:proofErr w:type="spellEnd"/>
            <w:r>
              <w:t xml:space="preserve">, </w:t>
            </w:r>
            <w:proofErr w:type="spellStart"/>
            <w:r w:rsidR="009C5F25">
              <w:t>ap</w:t>
            </w:r>
            <w:r w:rsidR="00032C71">
              <w:t>’</w:t>
            </w:r>
            <w:r w:rsidR="009C5F25">
              <w:t>pre</w:t>
            </w:r>
            <w:r w:rsidR="009C5F25" w:rsidRPr="00032C71">
              <w:rPr>
                <w:b/>
                <w:color w:val="4472C4" w:themeColor="accent5"/>
              </w:rPr>
              <w:t>ciat</w:t>
            </w:r>
            <w:r w:rsidR="009C5F25">
              <w:t>e</w:t>
            </w:r>
            <w:proofErr w:type="spellEnd"/>
          </w:p>
        </w:tc>
        <w:tc>
          <w:tcPr>
            <w:tcW w:w="2266" w:type="dxa"/>
          </w:tcPr>
          <w:p w:rsidR="00986975" w:rsidRDefault="00986975" w:rsidP="005D1F11"/>
        </w:tc>
      </w:tr>
    </w:tbl>
    <w:p w:rsidR="005D1F11" w:rsidRDefault="005D1F11" w:rsidP="005D1F11">
      <w:r>
        <w:br/>
      </w:r>
      <w:bookmarkStart w:id="0" w:name="_GoBack"/>
      <w:bookmarkEnd w:id="0"/>
      <w:r>
        <w:br/>
      </w:r>
      <w:r>
        <w:br/>
      </w:r>
    </w:p>
    <w:sectPr w:rsidR="005D1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11"/>
    <w:rsid w:val="00032C71"/>
    <w:rsid w:val="00046977"/>
    <w:rsid w:val="002D5B0A"/>
    <w:rsid w:val="005D1F11"/>
    <w:rsid w:val="006A40C8"/>
    <w:rsid w:val="00986975"/>
    <w:rsid w:val="009C5F25"/>
    <w:rsid w:val="00B925F7"/>
    <w:rsid w:val="00E773DB"/>
    <w:rsid w:val="00F143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C4A2E-C922-4384-A576-9275F3F5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86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476</Words>
  <Characters>2621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3</cp:revision>
  <dcterms:created xsi:type="dcterms:W3CDTF">2018-11-21T20:17:00Z</dcterms:created>
  <dcterms:modified xsi:type="dcterms:W3CDTF">2018-11-22T19:23:00Z</dcterms:modified>
</cp:coreProperties>
</file>