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PHẢN BIỆN BẢN THẢO SRS RIKKEITRAVEL</w:t>
      </w:r>
    </w:p>
    <w:p>
      <w:pPr>
        <w:spacing w:after="120"/>
        <w:jc w:val="center"/>
      </w:pPr>
      <w:r>
        <w:rPr>
          <w:b w:val="0"/>
        </w:rPr>
        <w:t>Phân hệ Đặt tour trọn gói</w:t>
      </w:r>
    </w:p>
    <w:p>
      <w:pPr>
        <w:spacing w:after="120"/>
      </w:pPr>
      <w:r>
        <w:rPr>
          <w:b w:val="0"/>
        </w:rPr>
        <w:t>Bản thảo cần sửa vị trí một số nội dung, làm rõ việc xác nhận thanh toán và thống nhất quyền sửa báo giá trước khi ký duyệt.</w:t>
      </w:r>
    </w:p>
    <w:p>
      <w:pPr>
        <w:pStyle w:val="Heading1"/>
      </w:pPr>
      <w:r>
        <w:t>Bước 1  Các lỗi phát hiện được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720"/>
        <w:gridCol w:w="3384"/>
        <w:gridCol w:w="2160"/>
        <w:gridCol w:w="3960"/>
      </w:tblGrid>
      <w:tr>
        <w:trPr>
          <w:cantSplit/>
          <w:tblHeader/>
        </w:trPr>
        <w:tc>
          <w:tcPr>
            <w:tcW w:type="dxa" w:w="720"/>
            <w:vAlign w:val="center"/>
            <w:tcMar>
              <w:top w:w="90" w:type="dxa"/>
              <w:bottom w:w="90" w:type="dxa"/>
              <w:left w:w="100" w:type="dxa"/>
              <w:right w:w="100" w:type="dxa"/>
            </w:tcMar>
            <w:shd w:fill="EFEFEF"/>
          </w:tcPr>
          <w:p>
            <w:pPr>
              <w:spacing w:after="0" w:line="240" w:lineRule="auto"/>
              <w:jc w:val="center"/>
            </w:pPr>
            <w:r>
              <w:rPr>
                <w:b/>
                <w:sz w:val="23"/>
              </w:rPr>
              <w:t>STT</w:t>
            </w:r>
          </w:p>
        </w:tc>
        <w:tc>
          <w:tcPr>
            <w:tcW w:type="dxa" w:w="3384"/>
            <w:vAlign w:val="center"/>
            <w:tcMar>
              <w:top w:w="90" w:type="dxa"/>
              <w:bottom w:w="90" w:type="dxa"/>
              <w:left w:w="100" w:type="dxa"/>
              <w:right w:w="100" w:type="dxa"/>
            </w:tcMar>
            <w:shd w:fill="EFEFEF"/>
          </w:tcPr>
          <w:p>
            <w:pPr>
              <w:spacing w:after="0" w:line="240" w:lineRule="auto"/>
              <w:jc w:val="center"/>
            </w:pPr>
            <w:r>
              <w:rPr>
                <w:b/>
                <w:sz w:val="23"/>
              </w:rPr>
              <w:t>Nội dung lỗi</w:t>
            </w:r>
          </w:p>
        </w:tc>
        <w:tc>
          <w:tcPr>
            <w:tcW w:type="dxa" w:w="2160"/>
            <w:vAlign w:val="center"/>
            <w:tcMar>
              <w:top w:w="90" w:type="dxa"/>
              <w:bottom w:w="90" w:type="dxa"/>
              <w:left w:w="100" w:type="dxa"/>
              <w:right w:w="100" w:type="dxa"/>
            </w:tcMar>
            <w:shd w:fill="EFEFEF"/>
          </w:tcPr>
          <w:p>
            <w:pPr>
              <w:spacing w:after="0" w:line="240" w:lineRule="auto"/>
              <w:jc w:val="center"/>
            </w:pPr>
            <w:r>
              <w:rPr>
                <w:b/>
                <w:sz w:val="23"/>
              </w:rPr>
              <w:t>Phân loại lỗi</w:t>
            </w:r>
          </w:p>
        </w:tc>
        <w:tc>
          <w:tcPr>
            <w:tcW w:type="dxa" w:w="3960"/>
            <w:vAlign w:val="center"/>
            <w:tcMar>
              <w:top w:w="90" w:type="dxa"/>
              <w:bottom w:w="90" w:type="dxa"/>
              <w:left w:w="100" w:type="dxa"/>
              <w:right w:w="100" w:type="dxa"/>
            </w:tcMar>
            <w:shd w:fill="EFEFEF"/>
          </w:tcPr>
          <w:p>
            <w:pPr>
              <w:spacing w:after="0" w:line="240" w:lineRule="auto"/>
              <w:jc w:val="center"/>
            </w:pPr>
            <w:r>
              <w:rPr>
                <w:b/>
                <w:sz w:val="23"/>
              </w:rPr>
              <w:t>Cách khắc phục</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1</w:t>
            </w:r>
          </w:p>
        </w:tc>
        <w:tc>
          <w:tcPr>
            <w:tcW w:type="dxa" w:w="3384"/>
            <w:vAlign w:val="center"/>
            <w:tcMar>
              <w:top w:w="90" w:type="dxa"/>
              <w:bottom w:w="90" w:type="dxa"/>
              <w:left w:w="100" w:type="dxa"/>
              <w:right w:w="100" w:type="dxa"/>
            </w:tcMar>
          </w:tcPr>
          <w:p>
            <w:pPr>
              <w:spacing w:after="0" w:line="240" w:lineRule="auto"/>
            </w:pPr>
            <w:r>
              <w:rPr>
                <w:b w:val="0"/>
                <w:sz w:val="23"/>
              </w:rPr>
              <w:t>Danh sách Actor đặt ở 2.4 Constraints.</w:t>
            </w:r>
          </w:p>
        </w:tc>
        <w:tc>
          <w:tcPr>
            <w:tcW w:type="dxa" w:w="2160"/>
            <w:vAlign w:val="center"/>
            <w:tcMar>
              <w:top w:w="90" w:type="dxa"/>
              <w:bottom w:w="90" w:type="dxa"/>
              <w:left w:w="100" w:type="dxa"/>
              <w:right w:w="100" w:type="dxa"/>
            </w:tcMar>
          </w:tcPr>
          <w:p>
            <w:pPr>
              <w:spacing w:after="0" w:line="240" w:lineRule="auto"/>
            </w:pPr>
            <w:r>
              <w:rPr>
                <w:b w:val="0"/>
                <w:sz w:val="23"/>
              </w:rPr>
              <w:t>Sai vị trí IEEE 830.</w:t>
            </w:r>
          </w:p>
        </w:tc>
        <w:tc>
          <w:tcPr>
            <w:tcW w:type="dxa" w:w="3960"/>
            <w:vAlign w:val="center"/>
            <w:tcMar>
              <w:top w:w="90" w:type="dxa"/>
              <w:bottom w:w="90" w:type="dxa"/>
              <w:left w:w="100" w:type="dxa"/>
              <w:right w:w="100" w:type="dxa"/>
            </w:tcMar>
          </w:tcPr>
          <w:p>
            <w:pPr>
              <w:spacing w:after="0" w:line="240" w:lineRule="auto"/>
            </w:pPr>
            <w:r>
              <w:rPr>
                <w:b w:val="0"/>
                <w:sz w:val="23"/>
              </w:rPr>
              <w:t>Chuyển sang 2.3 User Characteristics để mô tả người dùng và vai trò.</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2</w:t>
            </w:r>
          </w:p>
        </w:tc>
        <w:tc>
          <w:tcPr>
            <w:tcW w:type="dxa" w:w="3384"/>
            <w:vAlign w:val="center"/>
            <w:tcMar>
              <w:top w:w="90" w:type="dxa"/>
              <w:bottom w:w="90" w:type="dxa"/>
              <w:left w:w="100" w:type="dxa"/>
              <w:right w:w="100" w:type="dxa"/>
            </w:tcMar>
          </w:tcPr>
          <w:p>
            <w:pPr>
              <w:spacing w:after="0" w:line="240" w:lineRule="auto"/>
            </w:pPr>
            <w:r>
              <w:rPr>
                <w:b w:val="0"/>
                <w:sz w:val="23"/>
              </w:rPr>
              <w:t>Danh sách Use Case đặt ở 2.4 Constraints.</w:t>
            </w:r>
          </w:p>
        </w:tc>
        <w:tc>
          <w:tcPr>
            <w:tcW w:type="dxa" w:w="2160"/>
            <w:vAlign w:val="center"/>
            <w:tcMar>
              <w:top w:w="90" w:type="dxa"/>
              <w:bottom w:w="90" w:type="dxa"/>
              <w:left w:w="100" w:type="dxa"/>
              <w:right w:w="100" w:type="dxa"/>
            </w:tcMar>
          </w:tcPr>
          <w:p>
            <w:pPr>
              <w:spacing w:after="0" w:line="240" w:lineRule="auto"/>
            </w:pPr>
            <w:r>
              <w:rPr>
                <w:b w:val="0"/>
                <w:sz w:val="23"/>
              </w:rPr>
              <w:t>Sai vị trí IEEE 830.</w:t>
            </w:r>
          </w:p>
        </w:tc>
        <w:tc>
          <w:tcPr>
            <w:tcW w:type="dxa" w:w="3960"/>
            <w:vAlign w:val="center"/>
            <w:tcMar>
              <w:top w:w="90" w:type="dxa"/>
              <w:bottom w:w="90" w:type="dxa"/>
              <w:left w:w="100" w:type="dxa"/>
              <w:right w:w="100" w:type="dxa"/>
            </w:tcMar>
          </w:tcPr>
          <w:p>
            <w:pPr>
              <w:spacing w:after="0" w:line="240" w:lineRule="auto"/>
            </w:pPr>
            <w:r>
              <w:rPr>
                <w:b w:val="0"/>
                <w:sz w:val="23"/>
              </w:rPr>
              <w:t>Chuyển sang 2.2 Product Functions, phần chức năng tổng thể.</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3</w:t>
            </w:r>
          </w:p>
        </w:tc>
        <w:tc>
          <w:tcPr>
            <w:tcW w:type="dxa" w:w="3384"/>
            <w:vAlign w:val="center"/>
            <w:tcMar>
              <w:top w:w="90" w:type="dxa"/>
              <w:bottom w:w="90" w:type="dxa"/>
              <w:left w:w="100" w:type="dxa"/>
              <w:right w:w="100" w:type="dxa"/>
            </w:tcMar>
          </w:tcPr>
          <w:p>
            <w:pPr>
              <w:spacing w:after="0" w:line="240" w:lineRule="auto"/>
            </w:pPr>
            <w:r>
              <w:rPr>
                <w:b w:val="0"/>
                <w:sz w:val="23"/>
              </w:rPr>
              <w:t>ERD đặt ở 1.3 Definitions.</w:t>
            </w:r>
          </w:p>
        </w:tc>
        <w:tc>
          <w:tcPr>
            <w:tcW w:type="dxa" w:w="2160"/>
            <w:vAlign w:val="center"/>
            <w:tcMar>
              <w:top w:w="90" w:type="dxa"/>
              <w:bottom w:w="90" w:type="dxa"/>
              <w:left w:w="100" w:type="dxa"/>
              <w:right w:w="100" w:type="dxa"/>
            </w:tcMar>
          </w:tcPr>
          <w:p>
            <w:pPr>
              <w:spacing w:after="0" w:line="240" w:lineRule="auto"/>
            </w:pPr>
            <w:r>
              <w:rPr>
                <w:b w:val="0"/>
                <w:sz w:val="23"/>
              </w:rPr>
              <w:t>Sai vị trí IEEE 830.</w:t>
            </w:r>
          </w:p>
        </w:tc>
        <w:tc>
          <w:tcPr>
            <w:tcW w:type="dxa" w:w="3960"/>
            <w:vAlign w:val="center"/>
            <w:tcMar>
              <w:top w:w="90" w:type="dxa"/>
              <w:bottom w:w="90" w:type="dxa"/>
              <w:left w:w="100" w:type="dxa"/>
              <w:right w:w="100" w:type="dxa"/>
            </w:tcMar>
          </w:tcPr>
          <w:p>
            <w:pPr>
              <w:spacing w:after="0" w:line="240" w:lineRule="auto"/>
            </w:pPr>
            <w:r>
              <w:rPr>
                <w:b w:val="0"/>
                <w:sz w:val="23"/>
              </w:rPr>
              <w:t>Chuyển sang phần yêu cầu cơ sở dữ liệu logic ở Chương 3.</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4</w:t>
            </w:r>
          </w:p>
        </w:tc>
        <w:tc>
          <w:tcPr>
            <w:tcW w:type="dxa" w:w="3384"/>
            <w:vAlign w:val="center"/>
            <w:tcMar>
              <w:top w:w="90" w:type="dxa"/>
              <w:bottom w:w="90" w:type="dxa"/>
              <w:left w:w="100" w:type="dxa"/>
              <w:right w:w="100" w:type="dxa"/>
            </w:tcMar>
          </w:tcPr>
          <w:p>
            <w:pPr>
              <w:spacing w:after="0" w:line="240" w:lineRule="auto"/>
            </w:pPr>
            <w:r>
              <w:rPr>
                <w:b w:val="0"/>
                <w:sz w:val="23"/>
              </w:rPr>
              <w:t>REQ-21 nói về tốc độ phản hồi nhưng nằm trong yêu cầu chức năng.</w:t>
            </w:r>
          </w:p>
        </w:tc>
        <w:tc>
          <w:tcPr>
            <w:tcW w:type="dxa" w:w="2160"/>
            <w:vAlign w:val="center"/>
            <w:tcMar>
              <w:top w:w="90" w:type="dxa"/>
              <w:bottom w:w="90" w:type="dxa"/>
              <w:left w:w="100" w:type="dxa"/>
              <w:right w:w="100" w:type="dxa"/>
            </w:tcMar>
          </w:tcPr>
          <w:p>
            <w:pPr>
              <w:spacing w:after="0" w:line="240" w:lineRule="auto"/>
            </w:pPr>
            <w:r>
              <w:rPr>
                <w:b w:val="0"/>
                <w:sz w:val="23"/>
              </w:rPr>
              <w:t>Sai phân loại và vị trí.</w:t>
            </w:r>
          </w:p>
        </w:tc>
        <w:tc>
          <w:tcPr>
            <w:tcW w:type="dxa" w:w="3960"/>
            <w:vAlign w:val="center"/>
            <w:tcMar>
              <w:top w:w="90" w:type="dxa"/>
              <w:bottom w:w="90" w:type="dxa"/>
              <w:left w:w="100" w:type="dxa"/>
              <w:right w:w="100" w:type="dxa"/>
            </w:tcMar>
          </w:tcPr>
          <w:p>
            <w:pPr>
              <w:spacing w:after="0" w:line="240" w:lineRule="auto"/>
            </w:pPr>
            <w:r>
              <w:rPr>
                <w:b w:val="0"/>
                <w:sz w:val="23"/>
              </w:rPr>
              <w:t>Chuyển sang yêu cầu hiệu năng ở Chương 3.</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5</w:t>
            </w:r>
          </w:p>
        </w:tc>
        <w:tc>
          <w:tcPr>
            <w:tcW w:type="dxa" w:w="3384"/>
            <w:vAlign w:val="center"/>
            <w:tcMar>
              <w:top w:w="90" w:type="dxa"/>
              <w:bottom w:w="90" w:type="dxa"/>
              <w:left w:w="100" w:type="dxa"/>
              <w:right w:w="100" w:type="dxa"/>
            </w:tcMar>
          </w:tcPr>
          <w:p>
            <w:pPr>
              <w:spacing w:after="0" w:line="240" w:lineRule="auto"/>
            </w:pPr>
            <w:r>
              <w:rPr>
                <w:b w:val="0"/>
                <w:sz w:val="23"/>
              </w:rPr>
              <w:t>REQ-21 dùng từ “nhanh chóng”, không có thời hạn và mốc đo.</w:t>
            </w:r>
          </w:p>
        </w:tc>
        <w:tc>
          <w:tcPr>
            <w:tcW w:type="dxa" w:w="2160"/>
            <w:vAlign w:val="center"/>
            <w:tcMar>
              <w:top w:w="90" w:type="dxa"/>
              <w:bottom w:w="90" w:type="dxa"/>
              <w:left w:w="100" w:type="dxa"/>
              <w:right w:w="100" w:type="dxa"/>
            </w:tcMar>
          </w:tcPr>
          <w:p>
            <w:pPr>
              <w:spacing w:after="0" w:line="240" w:lineRule="auto"/>
            </w:pPr>
            <w:r>
              <w:rPr>
                <w:b w:val="0"/>
                <w:sz w:val="23"/>
              </w:rPr>
              <w:t>Verifiable; Unambiguous.</w:t>
            </w:r>
          </w:p>
        </w:tc>
        <w:tc>
          <w:tcPr>
            <w:tcW w:type="dxa" w:w="3960"/>
            <w:vAlign w:val="center"/>
            <w:tcMar>
              <w:top w:w="90" w:type="dxa"/>
              <w:bottom w:w="90" w:type="dxa"/>
              <w:left w:w="100" w:type="dxa"/>
              <w:right w:w="100" w:type="dxa"/>
            </w:tcMar>
          </w:tcPr>
          <w:p>
            <w:pPr>
              <w:spacing w:after="0" w:line="240" w:lineRule="auto"/>
            </w:pPr>
            <w:r>
              <w:rPr>
                <w:b w:val="0"/>
                <w:sz w:val="23"/>
              </w:rPr>
              <w:t>Quy định thời gian trả báo giá, thời điểm bắt đầu, kết thúc và điều kiện áp dụng.</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6</w:t>
            </w:r>
          </w:p>
        </w:tc>
        <w:tc>
          <w:tcPr>
            <w:tcW w:type="dxa" w:w="3384"/>
            <w:vAlign w:val="center"/>
            <w:tcMar>
              <w:top w:w="90" w:type="dxa"/>
              <w:bottom w:w="90" w:type="dxa"/>
              <w:left w:w="100" w:type="dxa"/>
              <w:right w:w="100" w:type="dxa"/>
            </w:tcMar>
          </w:tcPr>
          <w:p>
            <w:pPr>
              <w:spacing w:after="0" w:line="240" w:lineRule="auto"/>
            </w:pPr>
            <w:r>
              <w:rPr>
                <w:b w:val="0"/>
                <w:sz w:val="23"/>
              </w:rPr>
              <w:t>REQ-22 chỉ nêu trường hợp trả đủ; chưa xử lý thiếu tiền, dữ liệu sai, giao dịch lỗi hoặc chưa xác minh.</w:t>
            </w:r>
          </w:p>
        </w:tc>
        <w:tc>
          <w:tcPr>
            <w:tcW w:type="dxa" w:w="2160"/>
            <w:vAlign w:val="center"/>
            <w:tcMar>
              <w:top w:w="90" w:type="dxa"/>
              <w:bottom w:w="90" w:type="dxa"/>
              <w:left w:w="100" w:type="dxa"/>
              <w:right w:w="100" w:type="dxa"/>
            </w:tcMar>
          </w:tcPr>
          <w:p>
            <w:pPr>
              <w:spacing w:after="0" w:line="240" w:lineRule="auto"/>
            </w:pPr>
            <w:r>
              <w:rPr>
                <w:b w:val="0"/>
                <w:sz w:val="23"/>
              </w:rPr>
              <w:t>Complete.</w:t>
            </w:r>
          </w:p>
        </w:tc>
        <w:tc>
          <w:tcPr>
            <w:tcW w:type="dxa" w:w="3960"/>
            <w:vAlign w:val="center"/>
            <w:tcMar>
              <w:top w:w="90" w:type="dxa"/>
              <w:bottom w:w="90" w:type="dxa"/>
              <w:left w:w="100" w:type="dxa"/>
              <w:right w:w="100" w:type="dxa"/>
            </w:tcMar>
          </w:tcPr>
          <w:p>
            <w:pPr>
              <w:spacing w:after="0" w:line="240" w:lineRule="auto"/>
            </w:pPr>
            <w:r>
              <w:rPr>
                <w:b w:val="0"/>
                <w:sz w:val="23"/>
              </w:rPr>
              <w:t>Bổ sung các nhánh xử lý; chỉ xác nhận đơn khi đã kiểm tra được khoản thanh toán hợp lệ.</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7</w:t>
            </w:r>
          </w:p>
        </w:tc>
        <w:tc>
          <w:tcPr>
            <w:tcW w:type="dxa" w:w="3384"/>
            <w:vAlign w:val="center"/>
            <w:tcMar>
              <w:top w:w="90" w:type="dxa"/>
              <w:bottom w:w="90" w:type="dxa"/>
              <w:left w:w="100" w:type="dxa"/>
              <w:right w:w="100" w:type="dxa"/>
            </w:tcMar>
          </w:tcPr>
          <w:p>
            <w:pPr>
              <w:spacing w:after="0" w:line="240" w:lineRule="auto"/>
            </w:pPr>
            <w:r>
              <w:rPr>
                <w:b w:val="0"/>
                <w:sz w:val="23"/>
              </w:rPr>
              <w:t>“Khách hàng xác nhận thanh toán” chưa rõ là thao tác khai báo hay đã nhận được tiền.</w:t>
            </w:r>
          </w:p>
        </w:tc>
        <w:tc>
          <w:tcPr>
            <w:tcW w:type="dxa" w:w="2160"/>
            <w:vAlign w:val="center"/>
            <w:tcMar>
              <w:top w:w="90" w:type="dxa"/>
              <w:bottom w:w="90" w:type="dxa"/>
              <w:left w:w="100" w:type="dxa"/>
              <w:right w:w="100" w:type="dxa"/>
            </w:tcMar>
          </w:tcPr>
          <w:p>
            <w:pPr>
              <w:spacing w:after="0" w:line="240" w:lineRule="auto"/>
            </w:pPr>
            <w:r>
              <w:rPr>
                <w:b w:val="0"/>
                <w:sz w:val="23"/>
              </w:rPr>
              <w:t>Unambiguous.</w:t>
            </w:r>
          </w:p>
        </w:tc>
        <w:tc>
          <w:tcPr>
            <w:tcW w:type="dxa" w:w="3960"/>
            <w:vAlign w:val="center"/>
            <w:tcMar>
              <w:top w:w="90" w:type="dxa"/>
              <w:bottom w:w="90" w:type="dxa"/>
              <w:left w:w="100" w:type="dxa"/>
              <w:right w:w="100" w:type="dxa"/>
            </w:tcMar>
          </w:tcPr>
          <w:p>
            <w:pPr>
              <w:spacing w:after="0" w:line="240" w:lineRule="auto"/>
            </w:pPr>
            <w:r>
              <w:rPr>
                <w:b w:val="0"/>
                <w:sz w:val="23"/>
              </w:rPr>
              <w:t>Tách khai báo của khách khỏi kết quả xác minh khoản tiền thực nhận.</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8</w:t>
            </w:r>
          </w:p>
        </w:tc>
        <w:tc>
          <w:tcPr>
            <w:tcW w:type="dxa" w:w="3384"/>
            <w:vAlign w:val="center"/>
            <w:tcMar>
              <w:top w:w="90" w:type="dxa"/>
              <w:bottom w:w="90" w:type="dxa"/>
              <w:left w:w="100" w:type="dxa"/>
              <w:right w:w="100" w:type="dxa"/>
            </w:tcMar>
          </w:tcPr>
          <w:p>
            <w:pPr>
              <w:spacing w:after="0" w:line="240" w:lineRule="auto"/>
            </w:pPr>
            <w:r>
              <w:rPr>
                <w:b w:val="0"/>
                <w:sz w:val="23"/>
              </w:rPr>
              <w:t>REQ-23 cho sửa báo giá sau thanh toán, còn REQ-24 cấm mọi người sửa.</w:t>
            </w:r>
          </w:p>
        </w:tc>
        <w:tc>
          <w:tcPr>
            <w:tcW w:type="dxa" w:w="2160"/>
            <w:vAlign w:val="center"/>
            <w:tcMar>
              <w:top w:w="90" w:type="dxa"/>
              <w:bottom w:w="90" w:type="dxa"/>
              <w:left w:w="100" w:type="dxa"/>
              <w:right w:w="100" w:type="dxa"/>
            </w:tcMar>
          </w:tcPr>
          <w:p>
            <w:pPr>
              <w:spacing w:after="0" w:line="240" w:lineRule="auto"/>
            </w:pPr>
            <w:r>
              <w:rPr>
                <w:b w:val="0"/>
                <w:sz w:val="23"/>
              </w:rPr>
              <w:t>Consistent.</w:t>
            </w:r>
          </w:p>
        </w:tc>
        <w:tc>
          <w:tcPr>
            <w:tcW w:type="dxa" w:w="3960"/>
            <w:vAlign w:val="center"/>
            <w:tcMar>
              <w:top w:w="90" w:type="dxa"/>
              <w:bottom w:w="90" w:type="dxa"/>
              <w:left w:w="100" w:type="dxa"/>
              <w:right w:w="100" w:type="dxa"/>
            </w:tcMar>
          </w:tcPr>
          <w:p>
            <w:pPr>
              <w:spacing w:after="0" w:line="240" w:lineRule="auto"/>
            </w:pPr>
            <w:r>
              <w:rPr>
                <w:b w:val="0"/>
                <w:sz w:val="23"/>
              </w:rPr>
              <w:t>Dùng chung một quy tắc: chỉ được sửa trước khi đơn được xác nhận; sau đó khóa báo giá.</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9</w:t>
            </w:r>
          </w:p>
        </w:tc>
        <w:tc>
          <w:tcPr>
            <w:tcW w:type="dxa" w:w="3384"/>
            <w:vAlign w:val="center"/>
            <w:tcMar>
              <w:top w:w="90" w:type="dxa"/>
              <w:bottom w:w="90" w:type="dxa"/>
              <w:left w:w="100" w:type="dxa"/>
              <w:right w:w="100" w:type="dxa"/>
            </w:tcMar>
          </w:tcPr>
          <w:p>
            <w:pPr>
              <w:spacing w:after="0" w:line="240" w:lineRule="auto"/>
            </w:pPr>
            <w:r>
              <w:rPr>
                <w:b w:val="0"/>
                <w:sz w:val="23"/>
              </w:rPr>
              <w:t>REQ-25 ghi “cân nhắc bổ sung sau”, không có mức ưu tiên và phạm vi phiên bản.</w:t>
            </w:r>
          </w:p>
        </w:tc>
        <w:tc>
          <w:tcPr>
            <w:tcW w:type="dxa" w:w="2160"/>
            <w:vAlign w:val="center"/>
            <w:tcMar>
              <w:top w:w="90" w:type="dxa"/>
              <w:bottom w:w="90" w:type="dxa"/>
              <w:left w:w="100" w:type="dxa"/>
              <w:right w:w="100" w:type="dxa"/>
            </w:tcMar>
          </w:tcPr>
          <w:p>
            <w:pPr>
              <w:spacing w:after="0" w:line="240" w:lineRule="auto"/>
            </w:pPr>
            <w:r>
              <w:rPr>
                <w:b w:val="0"/>
                <w:sz w:val="23"/>
              </w:rPr>
              <w:t>Ranked for Importance and/or Stability.</w:t>
            </w:r>
          </w:p>
        </w:tc>
        <w:tc>
          <w:tcPr>
            <w:tcW w:type="dxa" w:w="3960"/>
            <w:vAlign w:val="center"/>
            <w:tcMar>
              <w:top w:w="90" w:type="dxa"/>
              <w:bottom w:w="90" w:type="dxa"/>
              <w:left w:w="100" w:type="dxa"/>
              <w:right w:w="100" w:type="dxa"/>
            </w:tcMar>
          </w:tcPr>
          <w:p>
            <w:pPr>
              <w:spacing w:after="0" w:line="240" w:lineRule="auto"/>
            </w:pPr>
            <w:r>
              <w:rPr>
                <w:b w:val="0"/>
                <w:sz w:val="23"/>
              </w:rPr>
              <w:t>Gán Could have, ưu tiên thấp; đưa ra ngoài phạm vi nghiệm thu phiên bản 1.0.</w:t>
            </w:r>
          </w:p>
        </w:tc>
      </w:tr>
      <w:tr>
        <w:trPr>
          <w:cantSplit/>
        </w:trPr>
        <w:tc>
          <w:tcPr>
            <w:tcW w:type="dxa" w:w="720"/>
            <w:vAlign w:val="center"/>
            <w:tcMar>
              <w:top w:w="90" w:type="dxa"/>
              <w:bottom w:w="90" w:type="dxa"/>
              <w:left w:w="100" w:type="dxa"/>
              <w:right w:w="100" w:type="dxa"/>
            </w:tcMar>
          </w:tcPr>
          <w:p>
            <w:pPr>
              <w:spacing w:after="0" w:line="240" w:lineRule="auto"/>
            </w:pPr>
            <w:r>
              <w:rPr>
                <w:b w:val="0"/>
                <w:sz w:val="23"/>
              </w:rPr>
              <w:t>10</w:t>
            </w:r>
          </w:p>
        </w:tc>
        <w:tc>
          <w:tcPr>
            <w:tcW w:type="dxa" w:w="3384"/>
            <w:vAlign w:val="center"/>
            <w:tcMar>
              <w:top w:w="90" w:type="dxa"/>
              <w:bottom w:w="90" w:type="dxa"/>
              <w:left w:w="100" w:type="dxa"/>
              <w:right w:w="100" w:type="dxa"/>
            </w:tcMar>
          </w:tcPr>
          <w:p>
            <w:pPr>
              <w:spacing w:after="0" w:line="240" w:lineRule="auto"/>
            </w:pPr>
            <w:r>
              <w:rPr>
                <w:b w:val="0"/>
                <w:sz w:val="23"/>
              </w:rPr>
              <w:t>Scope quy định từ 10 người nhưng chưa nêu cách xử lý yêu cầu dưới 10 người hoặc số lượng sai.</w:t>
            </w:r>
          </w:p>
        </w:tc>
        <w:tc>
          <w:tcPr>
            <w:tcW w:type="dxa" w:w="2160"/>
            <w:vAlign w:val="center"/>
            <w:tcMar>
              <w:top w:w="90" w:type="dxa"/>
              <w:bottom w:w="90" w:type="dxa"/>
              <w:left w:w="100" w:type="dxa"/>
              <w:right w:w="100" w:type="dxa"/>
            </w:tcMar>
          </w:tcPr>
          <w:p>
            <w:pPr>
              <w:spacing w:after="0" w:line="240" w:lineRule="auto"/>
            </w:pPr>
            <w:r>
              <w:rPr>
                <w:b w:val="0"/>
                <w:sz w:val="23"/>
              </w:rPr>
              <w:t>Complete.</w:t>
            </w:r>
          </w:p>
        </w:tc>
        <w:tc>
          <w:tcPr>
            <w:tcW w:type="dxa" w:w="3960"/>
            <w:vAlign w:val="center"/>
            <w:tcMar>
              <w:top w:w="90" w:type="dxa"/>
              <w:bottom w:w="90" w:type="dxa"/>
              <w:left w:w="100" w:type="dxa"/>
              <w:right w:w="100" w:type="dxa"/>
            </w:tcMar>
          </w:tcPr>
          <w:p>
            <w:pPr>
              <w:spacing w:after="0" w:line="240" w:lineRule="auto"/>
            </w:pPr>
            <w:r>
              <w:rPr>
                <w:b w:val="0"/>
                <w:sz w:val="23"/>
              </w:rPr>
              <w:t>Bổ sung yêu cầu kiểm tra số người và thông báo lỗi ở phần chức năng.</w:t>
            </w:r>
          </w:p>
        </w:tc>
      </w:tr>
    </w:tbl>
    <w:p>
      <w:r>
        <w:br w:type="page"/>
      </w:r>
    </w:p>
    <w:p>
      <w:pPr>
        <w:pStyle w:val="Heading1"/>
      </w:pPr>
      <w:r>
        <w:t>Bước 2  Bản chỉnh sửa đề xuất</w:t>
      </w:r>
    </w:p>
    <w:p>
      <w:pPr>
        <w:spacing w:after="120"/>
      </w:pPr>
      <w:r>
        <w:rPr>
          <w:b w:val="0"/>
        </w:rPr>
        <w:t>Các thời hạn, mức tải, mức ưu tiên và quy tắc bổ sung dưới đây là đề xuất của người rà soát, cần được khách hàng thống nhất. Số mục nhỏ ở Chương 3 được dùng nhất quán theo khung của bài làm.</w:t>
      </w:r>
    </w:p>
    <w:p>
      <w:pPr>
        <w:pStyle w:val="Heading1"/>
      </w:pPr>
      <w:r>
        <w:t>Chương 1  Introduction</w:t>
      </w:r>
    </w:p>
    <w:p>
      <w:pPr>
        <w:spacing w:after="120"/>
      </w:pPr>
      <w:r>
        <w:rPr>
          <w:b/>
        </w:rPr>
        <w:t>1.2 Scope</w:t>
      </w:r>
    </w:p>
    <w:p>
      <w:pPr>
        <w:spacing w:after="120"/>
      </w:pPr>
      <w:r>
        <w:rPr>
          <w:b w:val="0"/>
        </w:rPr>
        <w:t>Phân hệ hỗ trợ khách hàng doanh nghiệp đặt tour trọn gói cho nhóm từ 10 người trở lên. Nhóm dưới 10 người không thuộc phạm vi xử lý của phân hệ.</w:t>
      </w:r>
    </w:p>
    <w:p>
      <w:pPr>
        <w:spacing w:after="120"/>
      </w:pPr>
      <w:r>
        <w:rPr>
          <w:b/>
        </w:rPr>
        <w:t>1.3 Definitions</w:t>
      </w:r>
    </w:p>
    <w:p>
      <w:pPr>
        <w:spacing w:after="120"/>
      </w:pPr>
      <w:r>
        <w:rPr>
          <w:b w:val="0"/>
        </w:rPr>
        <w:t>“Yêu cầu hợp lệ”: yêu cầu đã có đủ thông tin bắt buộc và số người là số nguyên từ 10 trở lên. “Thanh toán đã xác minh”: khoản tiền thực nhận đã được Điều phối viên đối chiếu với chứng từ của ngân hàng và đúng hợp đồng. “Đã xác nhận”: trạng thái đơn khi tổng tiền hợp lệ đã nhận đạt ít nhất 100% giá trị hợp đồng.</w:t>
      </w:r>
    </w:p>
    <w:p>
      <w:pPr>
        <w:pStyle w:val="Heading1"/>
      </w:pPr>
      <w:r>
        <w:t>Chương 2  Overall Description</w:t>
      </w:r>
    </w:p>
    <w:p>
      <w:pPr>
        <w:spacing w:after="120"/>
      </w:pPr>
      <w:r>
        <w:rPr>
          <w:b/>
        </w:rPr>
        <w:t>2.2 Product Functions</w:t>
      </w:r>
    </w:p>
    <w:p>
      <w:pPr>
        <w:spacing w:after="120"/>
      </w:pPr>
      <w:r>
        <w:rPr>
          <w:b w:val="0"/>
        </w:rPr>
        <w:t>Các Use Case chính: Tạo yêu cầu đặt tour, Duyệt báo giá, Xác nhận thanh toán. Khách hàng tạo yêu cầu và duyệt báo giá; Điều phối viên kiểm tra khoản thanh toán để hệ thống xác nhận đơn.</w:t>
      </w:r>
    </w:p>
    <w:p>
      <w:pPr>
        <w:spacing w:after="120"/>
      </w:pPr>
      <w:r>
        <w:rPr>
          <w:b/>
        </w:rPr>
        <w:t>2.3 User Characteristics</w:t>
      </w:r>
    </w:p>
    <w:p>
      <w:pPr>
        <w:spacing w:after="120"/>
      </w:pPr>
      <w:r>
        <w:rPr>
          <w:b w:val="0"/>
        </w:rPr>
        <w:t>Nhân viên đặt tour: đại diện doanh nghiệp tạo yêu cầu, duyệt báo giá và gửi thông tin thanh toán. Điều phối viên RikkeiTravel: lập, chỉnh sửa báo giá trong phạm vi được phép và xác minh thanh toán.</w:t>
      </w:r>
    </w:p>
    <w:p>
      <w:pPr>
        <w:spacing w:after="120"/>
      </w:pPr>
      <w:r>
        <w:rPr>
          <w:b/>
        </w:rPr>
        <w:t>2.4 Constraints</w:t>
      </w:r>
    </w:p>
    <w:p>
      <w:pPr>
        <w:spacing w:after="120"/>
      </w:pPr>
      <w:r>
        <w:rPr>
          <w:b w:val="0"/>
        </w:rPr>
        <w:t>Bỏ danh sách Actor và Use Case khỏi mục này. Bản thảo chưa cung cấp thêm ràng buộc kỹ thuật hoặc triển khai để ghi nhận.</w:t>
      </w:r>
    </w:p>
    <w:p>
      <w:pPr>
        <w:pStyle w:val="Heading1"/>
      </w:pPr>
      <w:r>
        <w:t>Chương 3  Specific Requirements</w:t>
      </w:r>
    </w:p>
    <w:p>
      <w:pPr>
        <w:spacing w:after="120"/>
      </w:pPr>
      <w:r>
        <w:rPr>
          <w:b/>
        </w:rPr>
        <w:t>3.2 Functional Requirements</w:t>
      </w:r>
    </w:p>
    <w:p>
      <w:pPr>
        <w:spacing w:after="120"/>
      </w:pPr>
      <w:r>
        <w:rPr>
          <w:b/>
        </w:rPr>
        <w:t>REQ-22 — Xác nhận đơn sau thanh toán — Must have</w:t>
      </w:r>
    </w:p>
    <w:p>
      <w:pPr>
        <w:spacing w:after="120"/>
      </w:pPr>
      <w:r>
        <w:rPr>
          <w:b w:val="0"/>
        </w:rPr>
        <w:t>Khi Điều phối viên xác minh khoản tiền thực nhận, hệ thống cộng các khoản thanh toán hợp lệ của đúng hợp đồng. Nếu tổng tiền đạt ít nhất 100% giá trị hợp đồng, hệ thống chuyển đơn sang “Đã xác nhận” và khóa báo giá theo BR-01. Việc khách tự khai báo đã trả tiền chưa đủ để xác nhận đơn.</w:t>
      </w:r>
    </w:p>
    <w:p>
      <w:pPr>
        <w:spacing w:after="120"/>
      </w:pPr>
      <w:r>
        <w:rPr>
          <w:b w:val="0"/>
        </w:rPr>
        <w:t>Nếu chưa trả đủ, đơn giữ trạng thái “Chờ thanh toán” và hiển thị số tiền còn thiếu. Nếu giao dịch thất bại, chưa được xác minh, sai hợp đồng hoặc số tiền không hợp lệ, hệ thống không cộng khoản đó và thông báo lý do. Mã giao dịch trùng không được cộng lần hai. Tiền trả vượt được ghi nhận riêng để đối soát.</w:t>
      </w:r>
    </w:p>
    <w:p>
      <w:pPr>
        <w:spacing w:after="120"/>
      </w:pPr>
      <w:r>
        <w:rPr>
          <w:b/>
        </w:rPr>
        <w:t>REQ-26 — Kiểm tra số người — Must have</w:t>
      </w:r>
    </w:p>
    <w:p>
      <w:pPr>
        <w:spacing w:after="120"/>
      </w:pPr>
      <w:r>
        <w:rPr>
          <w:b w:val="0"/>
        </w:rPr>
        <w:t>Đây là yêu cầu bổ sung để thực hiện đúng Scope. Khi gửi yêu cầu, số người phải là số nguyên từ 10 trở lên. Nếu bỏ trống, nhập chữ, số thập phân hoặc số nhỏ hơn 10, hệ thống không tiếp nhận yêu cầu và báo “Số người phải là số nguyên từ 10 trở lên”.</w:t>
      </w:r>
    </w:p>
    <w:p>
      <w:pPr>
        <w:pageBreakBefore/>
        <w:spacing w:after="120"/>
      </w:pPr>
      <w:r>
        <w:rPr>
          <w:b/>
        </w:rPr>
        <w:t>3.2 Functional Requirements tiếp theo</w:t>
      </w:r>
    </w:p>
    <w:p>
      <w:pPr>
        <w:spacing w:after="120"/>
      </w:pPr>
      <w:r>
        <w:rPr>
          <w:b/>
        </w:rPr>
        <w:t>BR-01 — Quy tắc chỉnh sửa báo giá</w:t>
      </w:r>
    </w:p>
    <w:p>
      <w:pPr>
        <w:spacing w:after="120"/>
      </w:pPr>
      <w:r>
        <w:rPr>
          <w:b w:val="0"/>
        </w:rPr>
        <w:t>Chỉ Điều phối viên được sửa báo giá trước khi đơn chuyển sang “Đã xác nhận”. Từ thời điểm đơn được xác nhận theo REQ-22, báo giá gắn với hợp đồng bị khóa và không người dùng nào được sửa. Nếu cần thay đổi sau đó, phải lập yêu cầu thay đổi riêng, giữ nguyên báo giá đã khóa.</w:t>
      </w:r>
    </w:p>
    <w:p>
      <w:pPr>
        <w:spacing w:after="120"/>
      </w:pPr>
      <w:r>
        <w:rPr>
          <w:b/>
        </w:rPr>
        <w:t>REQ-23 — Chỉnh sửa trước khi xác nhận — Must have</w:t>
      </w:r>
    </w:p>
    <w:p>
      <w:pPr>
        <w:spacing w:after="120"/>
      </w:pPr>
      <w:r>
        <w:rPr>
          <w:b w:val="0"/>
        </w:rPr>
        <w:t>Hệ thống cho phép Điều phối viên sửa báo giá khi đơn chưa ở trạng thái “Đã xác nhận”, theo BR-01. Nếu báo giá đã được khách duyệt mà bị sửa, hệ thống yêu cầu khách duyệt lại; nội dung hợp đồng cũng phải được thống nhất lại trước khi dùng làm căn cứ xác nhận đơn.</w:t>
      </w:r>
    </w:p>
    <w:p>
      <w:pPr>
        <w:spacing w:after="120"/>
      </w:pPr>
      <w:r>
        <w:rPr>
          <w:b/>
        </w:rPr>
        <w:t>REQ-24 — Khóa báo giá sau khi xác nhận — Must have</w:t>
      </w:r>
    </w:p>
    <w:p>
      <w:pPr>
        <w:spacing w:after="120"/>
      </w:pPr>
      <w:r>
        <w:rPr>
          <w:b w:val="0"/>
        </w:rPr>
        <w:t>Khi đơn chuyển sang “Đã xác nhận”, hệ thống khóa toàn bộ thông tin báo giá liên quan. Mọi yêu cầu sửa, kể cả từ Điều phối viên, đều bị từ chối và nhận thông báo “Báo giá đã khóa do đơn đã được xác nhận”. Quy tắc khóa áp dụng cả trên giao diện và khi gửi yêu cầu trực tiếp tới hệ thống.</w:t>
      </w:r>
    </w:p>
    <w:p>
      <w:pPr>
        <w:spacing w:after="120"/>
      </w:pPr>
      <w:r>
        <w:rPr>
          <w:b w:val="0"/>
        </w:rPr>
        <w:t>REQ-23 và REQ-24 cùng dẫn chiếu BR-01. Thay nội dung cũ ở cả trang 8 và trang 19, đồng thời cập nhật đặc tả Use Case và các sơ đồ có liên quan để tránh còn hai cách hiểu khác nhau.</w:t>
      </w:r>
    </w:p>
    <w:p>
      <w:pPr>
        <w:spacing w:after="120"/>
      </w:pPr>
      <w:r>
        <w:rPr>
          <w:b/>
        </w:rPr>
        <w:t>REQ-25 — Xuất báo giá PDF — Could have</w:t>
      </w:r>
    </w:p>
    <w:p>
      <w:pPr>
        <w:spacing w:after="120"/>
      </w:pPr>
      <w:r>
        <w:rPr>
          <w:b w:val="0"/>
        </w:rPr>
        <w:t>Hệ thống cho phép Nhân viên đặt tour và Điều phối viên tải báo giá mà mình có quyền xem dưới dạng PDF. File gồm mã báo giá, thông tin doanh nghiệp, thông tin tour, số người, các khoản chi phí, tổng tiền và thời hạn hiệu lực của báo giá.</w:t>
      </w:r>
    </w:p>
    <w:p>
      <w:pPr>
        <w:spacing w:after="120"/>
      </w:pPr>
      <w:r>
        <w:rPr>
          <w:b w:val="0"/>
        </w:rPr>
        <w:t>Mức ưu tiên: thấp (Could have). Chức năng này nằm ngoài phạm vi phát hành và nghiệm thu phiên bản 1.0; được ghi vào danh sách phát triển sau. Chỉ bổ sung vào một phiên bản khi phạm vi thay đổi đã được phê duyệt.</w:t>
      </w:r>
    </w:p>
    <w:p>
      <w:pPr>
        <w:spacing w:after="120"/>
      </w:pPr>
      <w:r>
        <w:rPr>
          <w:b/>
        </w:rPr>
        <w:t>3.3 Performance Requirements</w:t>
      </w:r>
    </w:p>
    <w:p>
      <w:pPr>
        <w:spacing w:after="120"/>
      </w:pPr>
      <w:r>
        <w:rPr>
          <w:b/>
        </w:rPr>
        <w:t>REQ-21 — Thời gian trả báo giá — Must have</w:t>
      </w:r>
    </w:p>
    <w:p>
      <w:pPr>
        <w:spacing w:after="120"/>
      </w:pPr>
      <w:r>
        <w:rPr>
          <w:b w:val="0"/>
        </w:rPr>
        <w:t>Với tối đa 100 yêu cầu đặt tour đang chờ xử lý, mỗi yêu cầu hợp lệ phải có báo giá để khách hàng xem trong không quá 24 giờ liên tục. Thời gian được tính từ lúc hệ thống ghi nhận yêu cầu hợp lệ đến lúc báo giá hiển thị trong tài khoản của khách hàng. QA kiểm tra bằng thời điểm ghi nhận yêu cầu và thời điểm báo giá sẵn sàng trên hệ thống.</w:t>
      </w:r>
    </w:p>
    <w:p>
      <w:pPr>
        <w:spacing w:after="120"/>
      </w:pPr>
      <w:r>
        <w:rPr>
          <w:b w:val="0"/>
        </w:rPr>
        <w:t>Mốc 24 giờ bao gồm cả thời gian Điều phối viên lập báo giá, nên cần thống nhất năng lực xử lý của bộ phận này khi chốt yêu cầu.</w:t>
      </w:r>
    </w:p>
    <w:p>
      <w:pPr>
        <w:spacing w:after="120"/>
      </w:pPr>
      <w:r>
        <w:rPr>
          <w:b/>
        </w:rPr>
        <w:t>3.4 Logical Database Requirements</w:t>
      </w:r>
    </w:p>
    <w:p>
      <w:pPr>
        <w:spacing w:after="120"/>
      </w:pPr>
      <w:r>
        <w:rPr>
          <w:b w:val="0"/>
        </w:rPr>
        <w:t>Chuyển ERD Yêu cầu đặt tour – Báo giá – Hợp đồng từ mục 1.3 sang mục này. ERD mô tả dữ liệu và quan hệ cần lưu trữ, không phải phần giải thích thuật ngữ. Đề bài không cung cấp hình ERD nên bài làm chỉ xác định vị trí đặt sơ đồ, không tự thêm quan hệ hoặc số lượng liên kết.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