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sz w:val="24"/>
          <w:szCs w:val="24"/>
        </w:rPr>
      </w:pPr>
      <w:r>
        <w:rPr>
          <w:rFonts w:cs="Arial" w:ascii="Arial" w:hAnsi="Arial"/>
          <w:b/>
          <w:sz w:val="28"/>
          <w:szCs w:val="28"/>
        </w:rPr>
        <w:t>Titre poster/présentation</w:t>
      </w:r>
    </w:p>
    <w:p>
      <w:pPr>
        <w:pStyle w:val="Normal"/>
        <w:rPr>
          <w:rFonts w:ascii="Arial" w:hAnsi="Arial" w:cs="Arial"/>
          <w:b/>
          <w:sz w:val="24"/>
          <w:szCs w:val="24"/>
        </w:rPr>
      </w:pPr>
      <w:r>
        <w:rPr>
          <w:rFonts w:cs="Arial" w:ascii="Arial" w:hAnsi="Arial"/>
          <w:b/>
          <w:sz w:val="24"/>
          <w:szCs w:val="24"/>
        </w:rPr>
      </w:r>
    </w:p>
    <w:p>
      <w:pPr>
        <w:pStyle w:val="Normal"/>
        <w:rPr>
          <w:rFonts w:ascii="Arial" w:hAnsi="Arial" w:cs="Arial"/>
          <w:sz w:val="24"/>
          <w:szCs w:val="24"/>
        </w:rPr>
      </w:pPr>
      <w:r>
        <w:rPr>
          <w:rFonts w:cs="Arial" w:ascii="Arial" w:hAnsi="Arial"/>
          <w:sz w:val="24"/>
          <w:szCs w:val="24"/>
        </w:rPr>
        <w:t>Liste des auteurs (Gregor Stolte ; Nicolas Darcel, Patrick Taillandier...)</w:t>
      </w:r>
    </w:p>
    <w:p>
      <w:pPr>
        <w:pStyle w:val="Normal"/>
        <w:rPr>
          <w:rFonts w:ascii="Arial" w:hAnsi="Arial" w:cs="Arial"/>
          <w:i/>
          <w:iCs/>
        </w:rPr>
      </w:pPr>
      <w:r>
        <w:rPr>
          <w:rFonts w:cs="Arial" w:ascii="Arial" w:hAnsi="Arial"/>
          <w:i/>
          <w:iCs/>
        </w:rPr>
        <w:t>Affiliations (¹UMR…… ; ² ……. )</w:t>
      </w:r>
    </w:p>
    <w:p>
      <w:pPr>
        <w:pStyle w:val="Normal"/>
        <w:rPr>
          <w:rFonts w:ascii="Arial" w:hAnsi="Arial" w:cs="Arial"/>
          <w:i/>
          <w:iCs/>
        </w:rPr>
      </w:pPr>
      <w:r>
        <w:rPr>
          <w:rFonts w:cs="Arial" w:ascii="Arial" w:hAnsi="Arial"/>
          <w:i/>
          <w:iCs/>
        </w:rPr>
      </w:r>
    </w:p>
    <w:p>
      <w:pPr>
        <w:pStyle w:val="Normal"/>
        <w:rPr>
          <w:rFonts w:ascii="Arial" w:hAnsi="Arial" w:cs="Arial"/>
          <w:sz w:val="24"/>
          <w:szCs w:val="24"/>
        </w:rPr>
      </w:pPr>
      <w:r>
        <w:rPr>
          <w:rFonts w:cs="Arial" w:ascii="Arial" w:hAnsi="Arial"/>
          <w:sz w:val="24"/>
          <w:szCs w:val="24"/>
        </w:rPr>
        <w:t xml:space="preserve">*Correspondance : Prénom, Nom – Email : </w:t>
      </w:r>
    </w:p>
    <w:p>
      <w:pPr>
        <w:pStyle w:val="Normal"/>
        <w:rPr>
          <w:rFonts w:ascii="Arial" w:hAnsi="Arial" w:cs="Arial"/>
          <w:sz w:val="24"/>
          <w:szCs w:val="24"/>
        </w:rPr>
      </w:pPr>
      <w:r>
        <w:rPr>
          <w:rFonts w:cs="Arial" w:ascii="Arial" w:hAnsi="Arial"/>
          <w:sz w:val="24"/>
          <w:szCs w:val="24"/>
        </w:rPr>
        <w:t>Nicolas ou Gregor ?</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Résumé (en Français) 500 mots maximum</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Abstract (in English) 500 words maximum</w:t>
      </w:r>
    </w:p>
    <w:p>
      <w:pPr>
        <w:pStyle w:val="BodyText"/>
        <w:rPr>
          <w:rFonts w:ascii="Arial" w:hAnsi="Arial" w:cs="Arial"/>
          <w:sz w:val="24"/>
          <w:szCs w:val="24"/>
        </w:rPr>
      </w:pPr>
      <w:r>
        <w:rPr>
          <w:rFonts w:cs="Arial" w:ascii="Arial" w:hAnsi="Arial"/>
          <w:color w:val="000000"/>
          <w:sz w:val="22"/>
          <w:szCs w:val="24"/>
        </w:rPr>
        <w:t xml:space="preserve">Choices regarding food consumption have a profound impact on our planet, our health (Springmann et al., 2016; Forouzanfar et al., 2015) and the environment (Garnett., 2008; Vermeulen et al., 2012). Reducing emissions </w:t>
      </w:r>
      <w:r>
        <w:rPr>
          <w:rFonts w:cs="Arial" w:ascii="Arial" w:hAnsi="Arial"/>
          <w:color w:val="000000"/>
          <w:sz w:val="22"/>
          <w:szCs w:val="24"/>
        </w:rPr>
        <w:t>from food production</w:t>
      </w:r>
      <w:r>
        <w:rPr>
          <w:rFonts w:cs="Arial" w:ascii="Arial" w:hAnsi="Arial"/>
          <w:color w:val="000000"/>
          <w:sz w:val="22"/>
          <w:szCs w:val="24"/>
        </w:rPr>
        <w:t xml:space="preserve"> to meet national (European Commission., 2024) and international commitments (OECD, 2025) implies reducing red meat consumption and diet change (</w:t>
      </w:r>
      <w:r>
        <w:rPr>
          <w:rFonts w:cs="Arial" w:ascii="Times New Roman" w:hAnsi="Times New Roman"/>
          <w:color w:val="000000"/>
          <w:sz w:val="24"/>
          <w:szCs w:val="24"/>
        </w:rPr>
        <w:t>Rockström</w:t>
      </w:r>
      <w:r>
        <w:rPr>
          <w:rFonts w:cs="Arial" w:ascii="Arial" w:hAnsi="Arial"/>
          <w:color w:val="000000"/>
          <w:sz w:val="24"/>
          <w:szCs w:val="24"/>
        </w:rPr>
        <w:t xml:space="preserve"> </w:t>
      </w:r>
      <w:r>
        <w:rPr>
          <w:rFonts w:cs="Arial" w:ascii="Arial" w:hAnsi="Arial"/>
          <w:color w:val="000000"/>
          <w:sz w:val="22"/>
          <w:szCs w:val="24"/>
        </w:rPr>
        <w:t xml:space="preserve">et al., 2025; Schebesta &amp; Candel., 2020). </w:t>
      </w:r>
    </w:p>
    <w:p>
      <w:pPr>
        <w:pStyle w:val="BodyText"/>
        <w:rPr>
          <w:rFonts w:ascii="Arial" w:hAnsi="Arial" w:cs="Arial"/>
          <w:sz w:val="24"/>
          <w:szCs w:val="24"/>
        </w:rPr>
      </w:pPr>
      <w:r>
        <w:rPr>
          <w:rFonts w:cs="Arial" w:ascii="Arial" w:hAnsi="Arial"/>
          <w:color w:val="000000"/>
          <w:sz w:val="22"/>
          <w:szCs w:val="24"/>
        </w:rPr>
        <w:t>Existing research in th</w:t>
      </w:r>
      <w:r>
        <w:rPr>
          <w:rFonts w:cs="Arial" w:ascii="Arial" w:hAnsi="Arial"/>
          <w:color w:val="000000"/>
          <w:sz w:val="22"/>
          <w:szCs w:val="24"/>
        </w:rPr>
        <w:t>e</w:t>
      </w:r>
      <w:r>
        <w:rPr>
          <w:rFonts w:cs="Arial" w:ascii="Arial" w:hAnsi="Arial"/>
          <w:color w:val="000000"/>
          <w:sz w:val="22"/>
          <w:szCs w:val="24"/>
        </w:rPr>
        <w:t xml:space="preserve"> domain </w:t>
      </w:r>
      <w:r>
        <w:rPr>
          <w:rFonts w:cs="Arial" w:ascii="Arial" w:hAnsi="Arial"/>
          <w:color w:val="000000"/>
          <w:sz w:val="22"/>
          <w:szCs w:val="24"/>
        </w:rPr>
        <w:t>of behavioral change</w:t>
      </w:r>
      <w:r>
        <w:rPr>
          <w:rFonts w:cs="Arial" w:ascii="Arial" w:hAnsi="Arial"/>
          <w:color w:val="000000"/>
          <w:sz w:val="22"/>
          <w:szCs w:val="24"/>
        </w:rPr>
        <w:t xml:space="preserve"> focuses on social norms (Pollicino et al., 2025; </w:t>
      </w:r>
      <w:r>
        <w:rPr>
          <w:rFonts w:cs="Arial" w:ascii="Times New Roman" w:hAnsi="Times New Roman"/>
          <w:color w:val="000000"/>
          <w:sz w:val="24"/>
          <w:szCs w:val="24"/>
        </w:rPr>
        <w:t>Çoker</w:t>
      </w:r>
      <w:r>
        <w:rPr>
          <w:rFonts w:cs="Arial" w:ascii="Arial" w:hAnsi="Arial"/>
          <w:color w:val="000000"/>
          <w:sz w:val="22"/>
          <w:szCs w:val="24"/>
        </w:rPr>
        <w:t xml:space="preserve"> et al., 2022) and nudges (</w:t>
      </w:r>
      <w:r>
        <w:rPr>
          <w:rFonts w:cs="Arial" w:ascii="Times New Roman" w:hAnsi="Times New Roman"/>
          <w:color w:val="000000"/>
          <w:sz w:val="24"/>
          <w:szCs w:val="24"/>
        </w:rPr>
        <w:t>Schäufele-Elbers</w:t>
      </w:r>
      <w:r>
        <w:rPr>
          <w:rFonts w:cs="Arial" w:ascii="Arial" w:hAnsi="Arial"/>
          <w:color w:val="000000"/>
          <w:sz w:val="22"/>
          <w:szCs w:val="24"/>
        </w:rPr>
        <w:t xml:space="preserve"> et al., 2025) to shift eating behavior and engage in pro-environmental behaviors. These interventions however, often have mixed or little effects (Lin et al., 2025 ; Pollicini et al., 2025 ; Brachem et al., 2019), highlighting the possibility of investigating other methods of encouraging behavioral change. </w:t>
      </w:r>
    </w:p>
    <w:p>
      <w:pPr>
        <w:pStyle w:val="BodyText"/>
        <w:rPr>
          <w:rFonts w:ascii="Arial" w:hAnsi="Arial" w:cs="Arial"/>
          <w:sz w:val="24"/>
          <w:szCs w:val="24"/>
        </w:rPr>
      </w:pPr>
      <w:r>
        <w:rPr>
          <w:rFonts w:cs="Arial" w:ascii="Arial" w:hAnsi="Arial"/>
          <w:color w:val="000000"/>
          <w:sz w:val="22"/>
          <w:szCs w:val="24"/>
        </w:rPr>
        <w:t>Another approach could study the impact of deliberation to encourage behavioral change. Extending this framework to mini-publics (Niemeyer, 2011) - where experts and the public meet to discuss issues – is relevant as it has been used at a national scale for similar issues (Convention Citoyenne pour le Climat, 2021) and confronts individuals to consider alternative perspectives, reflect on shared values, and social expectations (Niemeyer et al., 2024).</w:t>
      </w:r>
    </w:p>
    <w:p>
      <w:pPr>
        <w:pStyle w:val="BodyText"/>
        <w:rPr>
          <w:rFonts w:ascii="Arial" w:hAnsi="Arial" w:cs="Arial"/>
          <w:sz w:val="24"/>
          <w:szCs w:val="24"/>
        </w:rPr>
      </w:pPr>
      <w:r>
        <w:rPr>
          <w:rFonts w:cs="Arial" w:ascii="Arial" w:hAnsi="Arial"/>
          <w:color w:val="000000"/>
          <w:sz w:val="22"/>
          <w:szCs w:val="24"/>
        </w:rPr>
        <w:t>This study draws inspiration from a</w:t>
      </w:r>
      <w:r>
        <w:rPr>
          <w:rFonts w:cs="Arial" w:ascii="Arial" w:hAnsi="Arial"/>
          <w:color w:val="000000"/>
          <w:sz w:val="22"/>
          <w:szCs w:val="24"/>
        </w:rPr>
        <w:t xml:space="preserve"> study by Dheilly et al. (unpublished) </w:t>
      </w:r>
      <w:r>
        <w:rPr>
          <w:rFonts w:cs="Arial" w:ascii="Arial" w:hAnsi="Arial"/>
          <w:color w:val="000000"/>
          <w:sz w:val="22"/>
          <w:szCs w:val="24"/>
        </w:rPr>
        <w:t xml:space="preserve">who </w:t>
      </w:r>
      <w:r>
        <w:rPr>
          <w:rFonts w:cs="Arial" w:ascii="Arial" w:hAnsi="Arial"/>
          <w:color w:val="000000"/>
          <w:sz w:val="22"/>
          <w:szCs w:val="24"/>
        </w:rPr>
        <w:t>us</w:t>
      </w:r>
      <w:r>
        <w:rPr>
          <w:rFonts w:cs="Arial" w:ascii="Arial" w:hAnsi="Arial"/>
          <w:color w:val="000000"/>
          <w:sz w:val="22"/>
          <w:szCs w:val="24"/>
        </w:rPr>
        <w:t>ed</w:t>
      </w:r>
      <w:r>
        <w:rPr>
          <w:rFonts w:cs="Arial" w:ascii="Arial" w:hAnsi="Arial"/>
          <w:color w:val="000000"/>
          <w:sz w:val="22"/>
          <w:szCs w:val="24"/>
        </w:rPr>
        <w:t xml:space="preserve"> mini-publics to better understand the mechanisms of information diffusion in social settings related to meat consumption reduction. </w:t>
      </w:r>
      <w:r>
        <w:rPr>
          <w:rFonts w:cs="Arial" w:ascii="Arial" w:hAnsi="Arial"/>
          <w:color w:val="000000"/>
          <w:sz w:val="22"/>
          <w:szCs w:val="24"/>
        </w:rPr>
        <w:t xml:space="preserve">We use </w:t>
      </w:r>
      <w:r>
        <w:rPr>
          <w:rFonts w:cs="Arial" w:ascii="Arial" w:hAnsi="Arial"/>
          <w:color w:val="000000"/>
          <w:sz w:val="22"/>
          <w:szCs w:val="24"/>
        </w:rPr>
        <w:t xml:space="preserve">Agent Based Modelling [ABM] to study the behavioral mechanisms underyling societal phenoma as it enables </w:t>
      </w:r>
      <w:r>
        <w:rPr>
          <w:rFonts w:cs="Arial" w:ascii="Arial" w:hAnsi="Arial"/>
          <w:color w:val="000000"/>
          <w:sz w:val="22"/>
          <w:szCs w:val="24"/>
        </w:rPr>
        <w:t xml:space="preserve">an </w:t>
      </w:r>
      <w:r>
        <w:rPr>
          <w:rFonts w:cs="Arial" w:ascii="Arial" w:hAnsi="Arial"/>
          <w:color w:val="000000"/>
          <w:sz w:val="22"/>
          <w:szCs w:val="24"/>
        </w:rPr>
        <w:t>analysis of how individual actions and interactions generate macro-level patterns, impacting behaviors (Miller &amp; Page, 2009). ABM cannot be not used to establish causal relationships ; instead focusing on predicting emerging patterns that arise given certain behavioral patterns (Jung, Miller &amp; Page, 2025). Furthermore, ABMs can generate theories of complex social systems using computational modelling (Guest &amp; Martin, 2021), thus lending itself well to investigating social influence and group dynamics in debates targeted toward the reduction of meat consumption.</w:t>
      </w:r>
    </w:p>
    <w:p>
      <w:pPr>
        <w:pStyle w:val="BodyText"/>
        <w:rPr>
          <w:rFonts w:ascii="Arial" w:hAnsi="Arial" w:cs="Arial"/>
          <w:sz w:val="24"/>
          <w:szCs w:val="24"/>
        </w:rPr>
      </w:pPr>
      <w:r>
        <w:rPr>
          <w:rFonts w:cs="Arial" w:ascii="Arial" w:hAnsi="Arial"/>
          <w:color w:val="000000"/>
          <w:sz w:val="22"/>
          <w:szCs w:val="24"/>
        </w:rPr>
        <w:t xml:space="preserve">This study analyzes data from Dheilly et al. (unpublished) and establishes a comparison between ordinary statistical methods (i.e Ordinary Least Squares regressions) and ABM. The models included in the ABMs are inspired by Flache et al. (2014) and are based on modelling dynamics of social influence (consensus, clustering, bipolarization). We implement these models in a program called GAMA with the </w:t>
      </w:r>
      <w:r>
        <w:rPr>
          <w:rFonts w:cs="Arial" w:ascii="Arial" w:hAnsi="Arial"/>
          <w:color w:val="000000"/>
          <w:sz w:val="22"/>
          <w:szCs w:val="24"/>
        </w:rPr>
        <w:t xml:space="preserve">exploratory </w:t>
      </w:r>
      <w:r>
        <w:rPr>
          <w:rFonts w:cs="Arial" w:ascii="Arial" w:hAnsi="Arial"/>
          <w:color w:val="000000"/>
          <w:sz w:val="22"/>
          <w:szCs w:val="24"/>
        </w:rPr>
        <w:t xml:space="preserve">goal of investigating how </w:t>
      </w:r>
      <w:r>
        <w:rPr>
          <w:rFonts w:cs="Arial" w:ascii="Arial" w:hAnsi="Arial"/>
          <w:color w:val="000000"/>
          <w:sz w:val="22"/>
          <w:szCs w:val="24"/>
        </w:rPr>
        <w:t>they predict attitudes and attitude change related to meat consumption reduction and to understand the underlying mechanisms of social interactions in debate contexts.</w:t>
      </w:r>
    </w:p>
    <w:p>
      <w:pPr>
        <w:pStyle w:val="BodyText"/>
        <w:rPr>
          <w:rFonts w:ascii="Arial" w:hAnsi="Arial" w:cs="Arial"/>
          <w:sz w:val="24"/>
          <w:szCs w:val="24"/>
        </w:rPr>
      </w:pPr>
      <w:r>
        <w:rPr>
          <w:rFonts w:cs="Arial" w:ascii="Arial" w:hAnsi="Arial"/>
          <w:color w:val="000000"/>
          <w:sz w:val="22"/>
          <w:szCs w:val="24"/>
        </w:rPr>
        <w:t xml:space="preserve">As a second phase of the project, the ABMs will be augmented with an argumentation model to test the predictive capability of introducing more complex models of interactions between agents. </w:t>
      </w:r>
    </w:p>
    <w:p>
      <w:pPr>
        <w:pStyle w:val="BodyText"/>
        <w:rPr>
          <w:rFonts w:ascii="Arial" w:hAnsi="Arial" w:cs="Arial"/>
          <w:sz w:val="24"/>
          <w:szCs w:val="24"/>
        </w:rPr>
      </w:pPr>
      <w:r>
        <w:rPr/>
      </w:r>
    </w:p>
    <w:p>
      <w:pPr>
        <w:pStyle w:val="Normal"/>
        <w:spacing w:before="0" w:after="160"/>
        <w:rPr>
          <w:rFonts w:ascii="Arial" w:hAnsi="Arial" w:cs="Arial"/>
          <w:sz w:val="24"/>
          <w:szCs w:val="24"/>
        </w:rPr>
      </w:pPr>
      <w:r>
        <w:rPr>
          <w:rFonts w:cs="Arial" w:ascii="Arial" w:hAnsi="Arial"/>
          <w:sz w:val="24"/>
          <w:szCs w:val="24"/>
        </w:rPr>
      </w:r>
    </w:p>
    <w:sectPr>
      <w:headerReference w:type="even" r:id="rId2"/>
      <w:headerReference w:type="default" r:id="rId3"/>
      <w:headerReference w:type="first" r:id="rId4"/>
      <w:type w:val="nextPage"/>
      <w:pgSz w:w="11906" w:h="16838"/>
      <w:pgMar w:left="1417" w:right="1417"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14039368"/>
      <w:docPartObj>
        <w:docPartGallery w:val="Page Numbers (Top of Page)"/>
        <w:docPartUnique w:val="true"/>
      </w:docPartObj>
    </w:sdtPr>
    <w:sdt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Header"/>
      <w:ind w:hanging="0" w:end="3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cs="Times New Roman"/>
        <w:i/>
        <w:iCs/>
        <w:sz w:val="20"/>
        <w:szCs w:val="20"/>
      </w:rPr>
    </w:pPr>
    <w:r>
      <w:rPr>
        <w:rFonts w:cs="Times New Roman" w:ascii="Times New Roman" w:hAnsi="Times New Roman"/>
        <w:i/>
        <w:iCs/>
        <w:sz w:val="20"/>
        <w:szCs w:val="20"/>
      </w:rPr>
      <w:t>2</w:t>
    </w:r>
    <w:r>
      <w:rPr>
        <w:rFonts w:cs="Times New Roman" w:ascii="Times New Roman" w:hAnsi="Times New Roman"/>
        <w:i/>
        <w:iCs/>
        <w:sz w:val="20"/>
        <w:szCs w:val="20"/>
        <w:vertAlign w:val="superscript"/>
      </w:rPr>
      <w:t>ème</w:t>
    </w:r>
    <w:r>
      <w:rPr>
        <w:rFonts w:cs="Times New Roman" w:ascii="Times New Roman" w:hAnsi="Times New Roman"/>
        <w:i/>
        <w:iCs/>
        <w:sz w:val="20"/>
        <w:szCs w:val="20"/>
      </w:rPr>
      <w:t xml:space="preserve"> édition des Journées Scientifiques du département Sciences de la Vie et Santé </w:t>
      <w:br/>
      <w:t xml:space="preserve">AgroParisTech, Palaiseau - 9-10 avril 2026 </w:t>
    </w:r>
  </w:p>
  <w:p>
    <w:pPr>
      <w:pStyle w:val="Header"/>
      <w:ind w:hanging="0" w:end="3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cs="Times New Roman"/>
        <w:i/>
        <w:iCs/>
        <w:sz w:val="20"/>
        <w:szCs w:val="20"/>
      </w:rPr>
    </w:pPr>
    <w:r>
      <w:rPr>
        <w:rFonts w:cs="Times New Roman" w:ascii="Times New Roman" w:hAnsi="Times New Roman"/>
        <w:i/>
        <w:iCs/>
        <w:sz w:val="20"/>
        <w:szCs w:val="20"/>
      </w:rPr>
      <w:t>2</w:t>
    </w:r>
    <w:r>
      <w:rPr>
        <w:rFonts w:cs="Times New Roman" w:ascii="Times New Roman" w:hAnsi="Times New Roman"/>
        <w:i/>
        <w:iCs/>
        <w:sz w:val="20"/>
        <w:szCs w:val="20"/>
        <w:vertAlign w:val="superscript"/>
      </w:rPr>
      <w:t>ème</w:t>
    </w:r>
    <w:r>
      <w:rPr>
        <w:rFonts w:cs="Times New Roman" w:ascii="Times New Roman" w:hAnsi="Times New Roman"/>
        <w:i/>
        <w:iCs/>
        <w:sz w:val="20"/>
        <w:szCs w:val="20"/>
      </w:rPr>
      <w:t xml:space="preserve"> édition des Journées Scientifiques du département Sciences de la Vie et Santé </w:t>
      <w:br/>
      <w:t xml:space="preserve">AgroParisTech, Palaiseau - 9-10 avril 2026 </w:t>
    </w:r>
  </w:p>
  <w:p>
    <w:pPr>
      <w:pStyle w:val="Header"/>
      <w:ind w:hanging="0" w:end="360"/>
      <w:rPr/>
    </w:pPr>
    <w:r>
      <w:rPr/>
    </w:r>
  </w:p>
</w:hdr>
</file>

<file path=word/settings.xml><?xml version="1.0" encoding="utf-8"?>
<w:settings xmlns:w="http://schemas.openxmlformats.org/wordprocessingml/2006/main">
  <w:zoom w:percent="124"/>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b9638b"/>
    <w:rPr>
      <w:color w:themeColor="hyperlink" w:val="0563C1"/>
      <w:u w:val="single"/>
    </w:rPr>
  </w:style>
  <w:style w:type="character" w:styleId="UnresolvedMention">
    <w:name w:val="Unresolved Mention"/>
    <w:basedOn w:val="DefaultParagraphFont"/>
    <w:uiPriority w:val="99"/>
    <w:semiHidden/>
    <w:unhideWhenUsed/>
    <w:qFormat/>
    <w:rsid w:val="00b9638b"/>
    <w:rPr>
      <w:color w:val="605E5C"/>
      <w:shd w:fill="E1DFDD" w:val="clear"/>
    </w:rPr>
  </w:style>
  <w:style w:type="character" w:styleId="En-tteCar" w:customStyle="1">
    <w:name w:val="En-tête Car"/>
    <w:basedOn w:val="DefaultParagraphFont"/>
    <w:link w:val="Header"/>
    <w:uiPriority w:val="99"/>
    <w:qFormat/>
    <w:rsid w:val="002f1c8a"/>
    <w:rPr/>
  </w:style>
  <w:style w:type="character" w:styleId="PageNumber">
    <w:name w:val="page number"/>
    <w:basedOn w:val="DefaultParagraphFont"/>
    <w:uiPriority w:val="99"/>
    <w:semiHidden/>
    <w:unhideWhenUsed/>
    <w:qFormat/>
    <w:rsid w:val="002f1c8a"/>
    <w:rPr/>
  </w:style>
  <w:style w:type="character" w:styleId="PieddepageCar" w:customStyle="1">
    <w:name w:val="Pied de page Car"/>
    <w:basedOn w:val="DefaultParagraphFont"/>
    <w:link w:val="Footer"/>
    <w:uiPriority w:val="99"/>
    <w:qFormat/>
    <w:rsid w:val="002f1c8a"/>
    <w:rPr/>
  </w:style>
  <w:style w:type="character" w:styleId="FollowedHyperlink">
    <w:name w:val="FollowedHyperlink"/>
    <w:basedOn w:val="DefaultParagraphFont"/>
    <w:uiPriority w:val="99"/>
    <w:semiHidden/>
    <w:unhideWhenUsed/>
    <w:rsid w:val="002f1c8a"/>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En-tteCar"/>
    <w:uiPriority w:val="99"/>
    <w:unhideWhenUsed/>
    <w:rsid w:val="002f1c8a"/>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2f1c8a"/>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LibreOffice/25.8.5.2$Linux_X86_64 LibreOffice_project/580$Build-2</Application>
  <AppVersion>15.0000</AppVersion>
  <Pages>2</Pages>
  <Words>525</Words>
  <Characters>3043</Characters>
  <CharactersWithSpaces>3560</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2026-02-18T12:30:00Z</dcterms:created>
  <dc:creator>M.Fontaine</dc:creator>
  <dc:description/>
  <dc:language>en-US</dc:language>
  <cp:lastModifiedBy/>
  <dcterms:modified xsi:type="dcterms:W3CDTF">2026-04-02T14:40:46Z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