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
          <w:sz w:val="24"/>
          <w:szCs w:val="24"/>
        </w:rPr>
      </w:pPr>
      <w:r>
        <w:rPr>
          <w:rFonts w:cs="Arial" w:ascii="Arial" w:hAnsi="Arial"/>
          <w:b/>
          <w:sz w:val="28"/>
          <w:szCs w:val="28"/>
        </w:rPr>
        <w:t>Titre poster/présentation</w:t>
      </w:r>
    </w:p>
    <w:p>
      <w:pPr>
        <w:pStyle w:val="Normal"/>
        <w:rPr>
          <w:rFonts w:ascii="Arial" w:hAnsi="Arial" w:cs="Arial"/>
          <w:b/>
          <w:b/>
          <w:sz w:val="24"/>
          <w:szCs w:val="24"/>
        </w:rPr>
      </w:pPr>
      <w:r>
        <w:rPr>
          <w:rFonts w:cs="Arial" w:ascii="Arial" w:hAnsi="Arial"/>
          <w:b/>
          <w:sz w:val="24"/>
          <w:szCs w:val="24"/>
        </w:rPr>
      </w:r>
    </w:p>
    <w:p>
      <w:pPr>
        <w:pStyle w:val="Normal"/>
        <w:rPr>
          <w:rFonts w:ascii="Arial" w:hAnsi="Arial" w:cs="Arial"/>
          <w:sz w:val="24"/>
          <w:szCs w:val="24"/>
        </w:rPr>
      </w:pPr>
      <w:r>
        <w:rPr>
          <w:rFonts w:cs="Arial" w:ascii="Arial" w:hAnsi="Arial"/>
          <w:sz w:val="24"/>
          <w:szCs w:val="24"/>
        </w:rPr>
        <w:t>Liste des auteurs (</w:t>
      </w:r>
      <w:r>
        <w:rPr>
          <w:rFonts w:cs="Arial" w:ascii="Arial" w:hAnsi="Arial"/>
          <w:sz w:val="24"/>
          <w:szCs w:val="24"/>
        </w:rPr>
        <w:t>Gregor Stolte</w:t>
      </w:r>
      <w:r>
        <w:rPr>
          <w:rFonts w:cs="Arial" w:ascii="Arial" w:hAnsi="Arial"/>
          <w:sz w:val="24"/>
          <w:szCs w:val="24"/>
        </w:rPr>
        <w:t xml:space="preserve"> ; </w:t>
      </w:r>
      <w:r>
        <w:rPr>
          <w:rFonts w:cs="Arial" w:ascii="Arial" w:hAnsi="Arial"/>
          <w:sz w:val="24"/>
          <w:szCs w:val="24"/>
        </w:rPr>
        <w:t>Nicolas Darcel, Patrick Taillandier</w:t>
      </w:r>
      <w:r>
        <w:rPr>
          <w:rFonts w:cs="Arial" w:ascii="Arial" w:hAnsi="Arial"/>
          <w:sz w:val="24"/>
          <w:szCs w:val="24"/>
        </w:rPr>
        <w:t>...)</w:t>
      </w:r>
    </w:p>
    <w:p>
      <w:pPr>
        <w:pStyle w:val="Normal"/>
        <w:rPr>
          <w:rFonts w:ascii="Arial" w:hAnsi="Arial" w:cs="Arial"/>
          <w:i/>
          <w:i/>
          <w:iCs/>
        </w:rPr>
      </w:pPr>
      <w:r>
        <w:rPr>
          <w:rFonts w:cs="Arial" w:ascii="Arial" w:hAnsi="Arial"/>
          <w:i/>
          <w:iCs/>
        </w:rPr>
        <w:t>Affiliations (¹UMR…… ; ² ……. )</w:t>
      </w:r>
    </w:p>
    <w:p>
      <w:pPr>
        <w:pStyle w:val="Normal"/>
        <w:rPr>
          <w:rFonts w:ascii="Arial" w:hAnsi="Arial" w:cs="Arial"/>
          <w:i/>
          <w:i/>
          <w:iCs/>
        </w:rPr>
      </w:pPr>
      <w:r>
        <w:rPr>
          <w:rFonts w:cs="Arial" w:ascii="Arial" w:hAnsi="Arial"/>
          <w:i/>
          <w:iCs/>
        </w:rPr>
      </w:r>
    </w:p>
    <w:p>
      <w:pPr>
        <w:pStyle w:val="Normal"/>
        <w:rPr>
          <w:rFonts w:ascii="Arial" w:hAnsi="Arial" w:cs="Arial"/>
          <w:sz w:val="24"/>
          <w:szCs w:val="24"/>
        </w:rPr>
      </w:pPr>
      <w:r>
        <w:rPr>
          <w:rFonts w:cs="Arial" w:ascii="Arial" w:hAnsi="Arial"/>
          <w:sz w:val="24"/>
          <w:szCs w:val="24"/>
        </w:rPr>
        <w:t xml:space="preserve">*Correspondance : Prénom, Nom – Email : </w:t>
      </w:r>
    </w:p>
    <w:p>
      <w:pPr>
        <w:pStyle w:val="Normal"/>
        <w:rPr>
          <w:rFonts w:ascii="Arial" w:hAnsi="Arial" w:cs="Arial"/>
          <w:sz w:val="24"/>
          <w:szCs w:val="24"/>
        </w:rPr>
      </w:pPr>
      <w:r>
        <w:rPr>
          <w:rFonts w:cs="Arial" w:ascii="Arial" w:hAnsi="Arial"/>
          <w:sz w:val="24"/>
          <w:szCs w:val="24"/>
        </w:rPr>
        <w:t>Nicolas ou Gregor ?</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Résumé (en Français) 500 mots maximum</w:t>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r>
    </w:p>
    <w:p>
      <w:pPr>
        <w:pStyle w:val="Normal"/>
        <w:rPr>
          <w:rFonts w:ascii="Arial" w:hAnsi="Arial" w:cs="Arial"/>
          <w:sz w:val="24"/>
          <w:szCs w:val="24"/>
        </w:rPr>
      </w:pPr>
      <w:r>
        <w:rPr>
          <w:rFonts w:cs="Arial" w:ascii="Arial" w:hAnsi="Arial"/>
          <w:sz w:val="24"/>
          <w:szCs w:val="24"/>
        </w:rPr>
        <w:t>Abstract (in English) 500 words maximum</w:t>
      </w:r>
    </w:p>
    <w:p>
      <w:pPr>
        <w:pStyle w:val="TextBody"/>
        <w:rPr>
          <w:rFonts w:ascii="Arial" w:hAnsi="Arial" w:cs="Arial"/>
          <w:sz w:val="24"/>
          <w:szCs w:val="24"/>
        </w:rPr>
      </w:pPr>
      <w:r>
        <w:rPr>
          <w:rFonts w:cs="Arial" w:ascii="Arial" w:hAnsi="Arial"/>
          <w:color w:val="000000"/>
          <w:sz w:val="22"/>
          <w:szCs w:val="24"/>
        </w:rPr>
        <w:t xml:space="preserve">Choices regarding </w:t>
      </w:r>
      <w:r>
        <w:rPr>
          <w:rFonts w:cs="Arial" w:ascii="Arial" w:hAnsi="Arial"/>
          <w:color w:val="000000"/>
          <w:sz w:val="22"/>
          <w:szCs w:val="24"/>
        </w:rPr>
        <w:t>food consumption</w:t>
      </w:r>
      <w:r>
        <w:rPr>
          <w:rFonts w:cs="Arial" w:ascii="Arial" w:hAnsi="Arial"/>
          <w:color w:val="000000"/>
          <w:sz w:val="22"/>
          <w:szCs w:val="24"/>
        </w:rPr>
        <w:t xml:space="preserve"> have a profound impact on </w:t>
      </w:r>
      <w:r>
        <w:rPr>
          <w:rFonts w:cs="Arial" w:ascii="Arial" w:hAnsi="Arial"/>
          <w:color w:val="000000"/>
          <w:sz w:val="22"/>
          <w:szCs w:val="24"/>
        </w:rPr>
        <w:t>our planet</w:t>
      </w:r>
      <w:r>
        <w:rPr>
          <w:rFonts w:cs="Arial" w:ascii="Arial" w:hAnsi="Arial"/>
          <w:color w:val="000000"/>
          <w:sz w:val="22"/>
          <w:szCs w:val="24"/>
        </w:rPr>
        <w:t>, our health (Springmann et al., 2016; Forouzanfar et al., 2015) and the environment (Garnett., 2008; Vermeulen et al., 2012). Notably, the food system accounts for more than a quarter of greenhouse gas emissions (GHG), where 80% of these emissions are attributed to livestock production (Steinfeld et al., 2006). Reducing these emissions to meet national (European Commission., 2024) and international commitments (OECD, 2025) implies reducing red meat consumption and diet change (</w:t>
      </w:r>
      <w:r>
        <w:rPr>
          <w:rFonts w:cs="Arial" w:ascii="Times New Roman" w:hAnsi="Times New Roman"/>
          <w:color w:val="000000"/>
          <w:sz w:val="24"/>
          <w:szCs w:val="24"/>
        </w:rPr>
        <w:t>Rockström</w:t>
      </w:r>
      <w:r>
        <w:rPr>
          <w:rFonts w:cs="Arial" w:ascii="Arial" w:hAnsi="Arial"/>
          <w:color w:val="000000"/>
          <w:sz w:val="24"/>
          <w:szCs w:val="24"/>
        </w:rPr>
        <w:t xml:space="preserve"> </w:t>
      </w:r>
      <w:r>
        <w:rPr>
          <w:rFonts w:cs="Arial" w:ascii="Arial" w:hAnsi="Arial"/>
          <w:color w:val="000000"/>
          <w:sz w:val="22"/>
          <w:szCs w:val="24"/>
        </w:rPr>
        <w:t xml:space="preserve">et al., 2025; Schebesta &amp; Candel., 2020). </w:t>
      </w:r>
    </w:p>
    <w:p>
      <w:pPr>
        <w:pStyle w:val="TextBody"/>
        <w:rPr>
          <w:rFonts w:ascii="Arial" w:hAnsi="Arial" w:cs="Arial"/>
          <w:sz w:val="24"/>
          <w:szCs w:val="24"/>
        </w:rPr>
      </w:pPr>
      <w:r>
        <w:rPr>
          <w:rFonts w:cs="Arial" w:ascii="Arial" w:hAnsi="Arial"/>
          <w:color w:val="000000"/>
          <w:sz w:val="22"/>
          <w:szCs w:val="24"/>
        </w:rPr>
        <w:t>Encouraging this behavioral change could consist in investigating how and with whom we eat as these could provide valuable insights (</w:t>
      </w:r>
      <w:r>
        <w:rPr>
          <w:rFonts w:cs="Arial" w:ascii="Arial" w:hAnsi="Arial"/>
          <w:color w:val="000000"/>
          <w:sz w:val="22"/>
          <w:szCs w:val="24"/>
        </w:rPr>
        <w:t>Cruwys et al., 2015; Higgs., 2015</w:t>
      </w:r>
      <w:r>
        <w:rPr>
          <w:rFonts w:cs="Arial" w:ascii="Arial" w:hAnsi="Arial"/>
          <w:color w:val="000000"/>
          <w:sz w:val="22"/>
          <w:szCs w:val="24"/>
        </w:rPr>
        <w:t xml:space="preserve">). Existing research in this domain focuses on social norms (Pollicino et al., 2025; </w:t>
      </w:r>
      <w:r>
        <w:rPr>
          <w:rFonts w:cs="Arial" w:ascii="Times New Roman" w:hAnsi="Times New Roman"/>
          <w:color w:val="000000"/>
          <w:sz w:val="24"/>
          <w:szCs w:val="24"/>
        </w:rPr>
        <w:t>Çoker</w:t>
      </w:r>
      <w:r>
        <w:rPr>
          <w:rFonts w:cs="Arial" w:ascii="Arial" w:hAnsi="Arial"/>
          <w:color w:val="000000"/>
          <w:sz w:val="22"/>
          <w:szCs w:val="24"/>
        </w:rPr>
        <w:t xml:space="preserve"> et al., 2022) and nudges </w:t>
      </w:r>
      <w:r>
        <w:rPr>
          <w:rFonts w:cs="Arial" w:ascii="Arial" w:hAnsi="Arial"/>
          <w:color w:val="000000"/>
          <w:sz w:val="22"/>
          <w:szCs w:val="24"/>
        </w:rPr>
        <w:t>(</w:t>
      </w:r>
      <w:r>
        <w:rPr>
          <w:rFonts w:cs="Arial" w:ascii="Times New Roman" w:hAnsi="Times New Roman"/>
          <w:color w:val="000000"/>
          <w:sz w:val="24"/>
          <w:szCs w:val="24"/>
        </w:rPr>
        <w:t>Schäufele-Elbers</w:t>
      </w:r>
      <w:r>
        <w:rPr>
          <w:rFonts w:cs="Arial" w:ascii="Arial" w:hAnsi="Arial"/>
          <w:color w:val="000000"/>
          <w:sz w:val="22"/>
          <w:szCs w:val="24"/>
        </w:rPr>
        <w:t xml:space="preserve"> et al., 2025)</w:t>
      </w:r>
      <w:r>
        <w:rPr>
          <w:rFonts w:cs="Arial" w:ascii="Arial" w:hAnsi="Arial"/>
          <w:color w:val="000000"/>
          <w:sz w:val="22"/>
          <w:szCs w:val="24"/>
        </w:rPr>
        <w:t xml:space="preserve"> to shift eating behavior and engag</w:t>
      </w:r>
      <w:r>
        <w:rPr>
          <w:rFonts w:cs="Arial" w:ascii="Arial" w:hAnsi="Arial"/>
          <w:color w:val="000000"/>
          <w:sz w:val="22"/>
          <w:szCs w:val="24"/>
        </w:rPr>
        <w:t>e</w:t>
      </w:r>
      <w:r>
        <w:rPr>
          <w:rFonts w:cs="Arial" w:ascii="Arial" w:hAnsi="Arial"/>
          <w:color w:val="000000"/>
          <w:sz w:val="22"/>
          <w:szCs w:val="24"/>
        </w:rPr>
        <w:t xml:space="preserve"> in pro-environmental behaviors. These interventions however, </w:t>
      </w:r>
      <w:r>
        <w:rPr>
          <w:rFonts w:cs="Arial" w:ascii="Arial" w:hAnsi="Arial"/>
          <w:color w:val="000000"/>
          <w:sz w:val="22"/>
          <w:szCs w:val="24"/>
        </w:rPr>
        <w:t>often</w:t>
      </w:r>
      <w:r>
        <w:rPr>
          <w:rFonts w:cs="Arial" w:ascii="Arial" w:hAnsi="Arial"/>
          <w:color w:val="000000"/>
          <w:sz w:val="22"/>
          <w:szCs w:val="24"/>
        </w:rPr>
        <w:t xml:space="preserve"> have mixed or little effects (Lin et al., 2025 ; Pollicini et al., 2025 ; Brachem et al., 2019), highlighting the possibility of investigating other methods of encouraging behavioral change. </w:t>
      </w:r>
    </w:p>
    <w:p>
      <w:pPr>
        <w:pStyle w:val="TextBody"/>
        <w:rPr>
          <w:rFonts w:ascii="Arial" w:hAnsi="Arial" w:cs="Arial"/>
          <w:sz w:val="24"/>
          <w:szCs w:val="24"/>
        </w:rPr>
      </w:pPr>
      <w:r>
        <w:rPr>
          <w:rFonts w:cs="Arial" w:ascii="Arial" w:hAnsi="Arial"/>
          <w:color w:val="000000"/>
          <w:sz w:val="22"/>
          <w:szCs w:val="24"/>
        </w:rPr>
        <w:t>Another approach could study the impact of deliberation to encourage behavioral change. Deliberation being people coming together, as equals with mutual respect, to discuss political and societal issues ; informing collective decisions that impact their lives (Bächtiger et al., 2018). Extending this framework to mini-publics (Niemeyer, 2011) - where experts and the public meet to discuss issues – is relevant as it has been used at a national scale for similar issues (Convention Citoyenne pour le Climat, 2021) and confronts individuals to consider alternative perspectives, reflect on shared values, and social expectations (Niemeyer et al., 2024).</w:t>
      </w:r>
    </w:p>
    <w:p>
      <w:pPr>
        <w:pStyle w:val="TextBody"/>
        <w:rPr>
          <w:rFonts w:ascii="Arial" w:hAnsi="Arial" w:cs="Arial"/>
          <w:sz w:val="24"/>
          <w:szCs w:val="24"/>
        </w:rPr>
      </w:pPr>
      <w:r>
        <w:rPr>
          <w:rFonts w:cs="Arial" w:ascii="Arial" w:hAnsi="Arial"/>
          <w:color w:val="000000"/>
          <w:sz w:val="22"/>
          <w:szCs w:val="24"/>
        </w:rPr>
        <w:t xml:space="preserve">A study by Dheilly et al. (unpublished) investigated the use of mini-publics in a cluster-randomized study to better understand the mechanisms </w:t>
      </w:r>
      <w:r>
        <w:rPr>
          <w:rFonts w:cs="Arial" w:ascii="Arial" w:hAnsi="Arial"/>
          <w:color w:val="000000"/>
          <w:sz w:val="22"/>
          <w:szCs w:val="24"/>
        </w:rPr>
        <w:t>of information diffusion in social settings</w:t>
      </w:r>
      <w:r>
        <w:rPr>
          <w:rFonts w:cs="Arial" w:ascii="Arial" w:hAnsi="Arial"/>
          <w:color w:val="000000"/>
          <w:sz w:val="22"/>
          <w:szCs w:val="24"/>
        </w:rPr>
        <w:t xml:space="preserve"> related to meat consumption reduction. This methodology could encourage more sustainable eating behavior in line with the Eat Lancet recommendations </w:t>
      </w:r>
      <w:r>
        <w:rPr>
          <w:rFonts w:cs="Arial" w:ascii="Arial" w:hAnsi="Arial"/>
          <w:color w:val="000000"/>
          <w:sz w:val="22"/>
          <w:szCs w:val="24"/>
        </w:rPr>
        <w:t>(</w:t>
      </w:r>
      <w:r>
        <w:rPr>
          <w:rFonts w:cs="Arial" w:ascii="Times New Roman" w:hAnsi="Times New Roman"/>
          <w:color w:val="000000"/>
          <w:sz w:val="24"/>
          <w:szCs w:val="24"/>
        </w:rPr>
        <w:t>Rockström</w:t>
      </w:r>
      <w:r>
        <w:rPr>
          <w:rFonts w:cs="Arial" w:ascii="Arial" w:hAnsi="Arial"/>
          <w:color w:val="000000"/>
          <w:sz w:val="22"/>
          <w:szCs w:val="24"/>
        </w:rPr>
        <w:t xml:space="preserve"> et al., 2025</w:t>
      </w:r>
      <w:r>
        <w:rPr>
          <w:rFonts w:cs="Arial" w:ascii="Arial" w:hAnsi="Arial"/>
          <w:color w:val="000000"/>
          <w:sz w:val="22"/>
          <w:szCs w:val="24"/>
        </w:rPr>
        <w:t>)</w:t>
      </w:r>
      <w:r>
        <w:rPr>
          <w:rFonts w:cs="Arial" w:ascii="Arial" w:hAnsi="Arial"/>
          <w:color w:val="000000"/>
          <w:sz w:val="22"/>
          <w:szCs w:val="24"/>
        </w:rPr>
        <w:t>, improving human well being and the stability of the earth’</w:t>
      </w:r>
      <w:r>
        <w:rPr>
          <w:rFonts w:cs="Arial" w:ascii="Arial" w:hAnsi="Arial"/>
          <w:color w:val="000000"/>
          <w:sz w:val="22"/>
          <w:szCs w:val="24"/>
        </w:rPr>
        <w:t>s</w:t>
      </w:r>
      <w:r>
        <w:rPr>
          <w:rFonts w:cs="Arial" w:ascii="Arial" w:hAnsi="Arial"/>
          <w:color w:val="000000"/>
          <w:sz w:val="22"/>
          <w:szCs w:val="24"/>
        </w:rPr>
        <w:t xml:space="preserve"> system.</w:t>
      </w:r>
    </w:p>
    <w:p>
      <w:pPr>
        <w:pStyle w:val="TextBody"/>
        <w:rPr>
          <w:rFonts w:ascii="Arial" w:hAnsi="Arial" w:cs="Arial"/>
          <w:sz w:val="24"/>
          <w:szCs w:val="24"/>
        </w:rPr>
      </w:pPr>
      <w:r>
        <w:rPr>
          <w:rFonts w:cs="Arial" w:ascii="Arial" w:hAnsi="Arial"/>
          <w:color w:val="000000"/>
          <w:sz w:val="22"/>
          <w:szCs w:val="24"/>
        </w:rPr>
        <w:t>In group debates, using Agent Based Modelling [ABM] to study the behavioral mechanisms underyling societal phenoma could be interesting as it enables the analysis of how individual ac</w:t>
      </w:r>
      <w:r>
        <w:rPr>
          <w:rFonts w:cs="Arial" w:ascii="Arial" w:hAnsi="Arial"/>
          <w:color w:val="000000"/>
          <w:sz w:val="22"/>
          <w:szCs w:val="24"/>
        </w:rPr>
        <w:t>ti</w:t>
      </w:r>
      <w:r>
        <w:rPr>
          <w:rFonts w:cs="Arial" w:ascii="Arial" w:hAnsi="Arial"/>
          <w:color w:val="000000"/>
          <w:sz w:val="22"/>
          <w:szCs w:val="24"/>
        </w:rPr>
        <w:t xml:space="preserve">ons and interactions generate macro-level patterns, impacting behaviors (Miller &amp; Page, 2009). ABM </w:t>
      </w:r>
      <w:r>
        <w:rPr>
          <w:rFonts w:cs="Arial" w:ascii="Arial" w:hAnsi="Arial"/>
          <w:color w:val="000000"/>
          <w:sz w:val="22"/>
          <w:szCs w:val="24"/>
        </w:rPr>
        <w:t>cannot be not</w:t>
      </w:r>
      <w:r>
        <w:rPr>
          <w:rFonts w:cs="Arial" w:ascii="Arial" w:hAnsi="Arial"/>
          <w:color w:val="000000"/>
          <w:sz w:val="22"/>
          <w:szCs w:val="24"/>
        </w:rPr>
        <w:t xml:space="preserve"> used to establish causal relationships ; instead focusing on predicting emerging patterns that arise given certain behavioral patterns (</w:t>
      </w:r>
      <w:r>
        <w:rPr>
          <w:rFonts w:cs="Arial" w:ascii="Arial" w:hAnsi="Arial"/>
          <w:color w:val="000000"/>
          <w:sz w:val="22"/>
          <w:szCs w:val="24"/>
        </w:rPr>
        <w:t>Jung, Miller &amp; Page, 2025</w:t>
      </w:r>
      <w:r>
        <w:rPr>
          <w:rFonts w:cs="Arial" w:ascii="Arial" w:hAnsi="Arial"/>
          <w:color w:val="000000"/>
          <w:sz w:val="22"/>
          <w:szCs w:val="24"/>
        </w:rPr>
        <w:t>). Furthermore, ABM</w:t>
      </w:r>
      <w:r>
        <w:rPr>
          <w:rFonts w:cs="Arial" w:ascii="Arial" w:hAnsi="Arial"/>
          <w:color w:val="000000"/>
          <w:sz w:val="22"/>
          <w:szCs w:val="24"/>
        </w:rPr>
        <w:t>s</w:t>
      </w:r>
      <w:r>
        <w:rPr>
          <w:rFonts w:cs="Arial" w:ascii="Arial" w:hAnsi="Arial"/>
          <w:color w:val="000000"/>
          <w:sz w:val="22"/>
          <w:szCs w:val="24"/>
        </w:rPr>
        <w:t xml:space="preserve"> can generate theories of complex social systems using computational modelling (Guest &amp; Martin, 2021), </w:t>
      </w:r>
      <w:r>
        <w:rPr>
          <w:rFonts w:cs="Arial" w:ascii="Arial" w:hAnsi="Arial"/>
          <w:color w:val="000000"/>
          <w:sz w:val="22"/>
          <w:szCs w:val="24"/>
        </w:rPr>
        <w:t xml:space="preserve">thus </w:t>
      </w:r>
      <w:r>
        <w:rPr>
          <w:rFonts w:cs="Arial" w:ascii="Arial" w:hAnsi="Arial"/>
          <w:color w:val="000000"/>
          <w:sz w:val="22"/>
          <w:szCs w:val="24"/>
        </w:rPr>
        <w:t>lend</w:t>
      </w:r>
      <w:r>
        <w:rPr>
          <w:rFonts w:cs="Arial" w:ascii="Arial" w:hAnsi="Arial"/>
          <w:color w:val="000000"/>
          <w:sz w:val="22"/>
          <w:szCs w:val="24"/>
        </w:rPr>
        <w:t>ing</w:t>
      </w:r>
      <w:r>
        <w:rPr>
          <w:rFonts w:cs="Arial" w:ascii="Arial" w:hAnsi="Arial"/>
          <w:color w:val="000000"/>
          <w:sz w:val="22"/>
          <w:szCs w:val="24"/>
        </w:rPr>
        <w:t xml:space="preserve"> itself well to </w:t>
      </w:r>
      <w:r>
        <w:rPr>
          <w:rFonts w:cs="Arial" w:ascii="Arial" w:hAnsi="Arial"/>
          <w:color w:val="000000"/>
          <w:sz w:val="22"/>
          <w:szCs w:val="24"/>
        </w:rPr>
        <w:t xml:space="preserve">investigating social influence </w:t>
      </w:r>
      <w:r>
        <w:rPr>
          <w:rFonts w:cs="Arial" w:ascii="Arial" w:hAnsi="Arial"/>
          <w:color w:val="000000"/>
          <w:sz w:val="22"/>
          <w:szCs w:val="24"/>
        </w:rPr>
        <w:t xml:space="preserve">and group dynamics in debates targeted toward the reduction of meat consumption.  </w:t>
      </w:r>
    </w:p>
    <w:p>
      <w:pPr>
        <w:pStyle w:val="TextBody"/>
        <w:rPr>
          <w:rFonts w:ascii="Arial" w:hAnsi="Arial" w:cs="Arial"/>
          <w:sz w:val="24"/>
          <w:szCs w:val="24"/>
        </w:rPr>
      </w:pPr>
      <w:r>
        <w:rPr>
          <w:rFonts w:cs="Arial" w:ascii="Arial" w:hAnsi="Arial"/>
          <w:color w:val="000000"/>
          <w:sz w:val="22"/>
          <w:szCs w:val="24"/>
        </w:rPr>
        <w:t xml:space="preserve">This study analyzes previously collected survey and debate data including demographic characteristics and attitudes regarding meat consumption reduction. It uses </w:t>
      </w:r>
      <w:r>
        <w:rPr>
          <w:rFonts w:cs="Arial" w:ascii="Arial" w:hAnsi="Arial"/>
          <w:color w:val="000000"/>
          <w:sz w:val="22"/>
          <w:szCs w:val="24"/>
        </w:rPr>
        <w:t>empirical analyses using</w:t>
      </w:r>
      <w:r>
        <w:rPr>
          <w:rFonts w:cs="Arial" w:ascii="Arial" w:hAnsi="Arial"/>
          <w:color w:val="000000"/>
          <w:sz w:val="22"/>
          <w:szCs w:val="24"/>
        </w:rPr>
        <w:t xml:space="preserve"> Ordinary Least Squares (OLS) </w:t>
      </w:r>
      <w:r>
        <w:rPr>
          <w:rFonts w:cs="Arial" w:ascii="Arial" w:hAnsi="Arial"/>
          <w:color w:val="000000"/>
          <w:sz w:val="22"/>
          <w:szCs w:val="24"/>
        </w:rPr>
        <w:t xml:space="preserve">regressions in conjunction with multi-agent simulations implemented in GAMA. The simulations are exploratory and systematically vary parameters of the social influence models (Flache et al., 2017). As a second phase of the project, the social influence simulation models will be augmented with argumentation models to test the predictive capability of introducing more complex models of interactions between agents. </w:t>
      </w:r>
    </w:p>
    <w:p>
      <w:pPr>
        <w:pStyle w:val="Normal"/>
        <w:spacing w:before="0" w:after="160"/>
        <w:rPr>
          <w:rFonts w:ascii="Arial" w:hAnsi="Arial" w:cs="Arial"/>
          <w:sz w:val="24"/>
          <w:szCs w:val="24"/>
        </w:rPr>
      </w:pPr>
      <w:r>
        <w:rPr/>
      </w:r>
    </w:p>
    <w:sectPr>
      <w:headerReference w:type="even" r:id="rId2"/>
      <w:headerReference w:type="default" r:id="rId3"/>
      <w:headerReference w:type="first" r:id="rId4"/>
      <w:type w:val="nextPage"/>
      <w:pgSz w:w="11906" w:h="16838"/>
      <w:pgMar w:left="1417" w:right="1417"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 w:name="Arial">
    <w:charset w:val="01"/>
    <w:family w:val="auto"/>
    <w:pitch w:val="default"/>
  </w:font>
  <w:font w:name="Times New Roman">
    <w:charset w:val="01"/>
    <w:family w:val="auto"/>
    <w:pitch w:val="default"/>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14039368"/>
    </w:sdtPr>
    <w:sdt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Header"/>
      <w:ind w:right="360" w:hanging="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cs="Times New Roman"/>
        <w:i/>
        <w:i/>
        <w:iCs/>
        <w:sz w:val="20"/>
        <w:szCs w:val="20"/>
      </w:rPr>
    </w:pPr>
    <w:r>
      <w:rPr>
        <w:rFonts w:cs="Times New Roman" w:ascii="Times New Roman" w:hAnsi="Times New Roman"/>
        <w:i/>
        <w:iCs/>
        <w:sz w:val="20"/>
        <w:szCs w:val="20"/>
      </w:rPr>
      <w:t>2</w:t>
    </w:r>
    <w:r>
      <w:rPr>
        <w:rFonts w:cs="Times New Roman" w:ascii="Times New Roman" w:hAnsi="Times New Roman"/>
        <w:i/>
        <w:iCs/>
        <w:sz w:val="20"/>
        <w:szCs w:val="20"/>
        <w:vertAlign w:val="superscript"/>
      </w:rPr>
      <w:t>ème</w:t>
    </w:r>
    <w:r>
      <w:rPr>
        <w:rFonts w:cs="Times New Roman" w:ascii="Times New Roman" w:hAnsi="Times New Roman"/>
        <w:i/>
        <w:iCs/>
        <w:sz w:val="20"/>
        <w:szCs w:val="20"/>
      </w:rPr>
      <w:t xml:space="preserve"> édition des Journées Scientifiques du département Sciences de la Vie et Santé </w:t>
      <w:br/>
      <w:t xml:space="preserve">AgroParisTech, Palaiseau - 9-10 avril 2026 </w:t>
    </w:r>
  </w:p>
  <w:p>
    <w:pPr>
      <w:pStyle w:val="Header"/>
      <w:ind w:right="360"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cs="Times New Roman"/>
        <w:i/>
        <w:i/>
        <w:iCs/>
        <w:sz w:val="20"/>
        <w:szCs w:val="20"/>
      </w:rPr>
    </w:pPr>
    <w:r>
      <w:rPr>
        <w:rFonts w:cs="Times New Roman" w:ascii="Times New Roman" w:hAnsi="Times New Roman"/>
        <w:i/>
        <w:iCs/>
        <w:sz w:val="20"/>
        <w:szCs w:val="20"/>
      </w:rPr>
      <w:t>2</w:t>
    </w:r>
    <w:r>
      <w:rPr>
        <w:rFonts w:cs="Times New Roman" w:ascii="Times New Roman" w:hAnsi="Times New Roman"/>
        <w:i/>
        <w:iCs/>
        <w:sz w:val="20"/>
        <w:szCs w:val="20"/>
        <w:vertAlign w:val="superscript"/>
      </w:rPr>
      <w:t>ème</w:t>
    </w:r>
    <w:r>
      <w:rPr>
        <w:rFonts w:cs="Times New Roman" w:ascii="Times New Roman" w:hAnsi="Times New Roman"/>
        <w:i/>
        <w:iCs/>
        <w:sz w:val="20"/>
        <w:szCs w:val="20"/>
      </w:rPr>
      <w:t xml:space="preserve"> édition des Journées Scientifiques du département Sciences de la Vie et Santé </w:t>
      <w:br/>
      <w:t xml:space="preserve">AgroParisTech, Palaiseau - 9-10 avril 2026 </w:t>
    </w:r>
  </w:p>
  <w:p>
    <w:pPr>
      <w:pStyle w:val="Header"/>
      <w:ind w:right="360" w:hanging="0"/>
      <w:rPr/>
    </w:pPr>
    <w:r>
      <w:rPr/>
    </w:r>
  </w:p>
</w:hdr>
</file>

<file path=word/settings.xml><?xml version="1.0" encoding="utf-8"?>
<w:settings xmlns:w="http://schemas.openxmlformats.org/wordprocessingml/2006/main">
  <w:zoom w:percent="124"/>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b9638b"/>
    <w:rPr>
      <w:color w:val="0563C1" w:themeColor="hyperlink"/>
      <w:u w:val="single"/>
    </w:rPr>
  </w:style>
  <w:style w:type="character" w:styleId="UnresolvedMention">
    <w:name w:val="Unresolved Mention"/>
    <w:basedOn w:val="DefaultParagraphFont"/>
    <w:uiPriority w:val="99"/>
    <w:semiHidden/>
    <w:unhideWhenUsed/>
    <w:qFormat/>
    <w:rsid w:val="00b9638b"/>
    <w:rPr>
      <w:color w:val="605E5C"/>
      <w:shd w:fill="E1DFDD" w:val="clear"/>
    </w:rPr>
  </w:style>
  <w:style w:type="character" w:styleId="EntteCar" w:customStyle="1">
    <w:name w:val="En-tête Car"/>
    <w:basedOn w:val="DefaultParagraphFont"/>
    <w:link w:val="Header"/>
    <w:uiPriority w:val="99"/>
    <w:qFormat/>
    <w:rsid w:val="002f1c8a"/>
    <w:rPr/>
  </w:style>
  <w:style w:type="character" w:styleId="Pagenumber">
    <w:name w:val="page number"/>
    <w:basedOn w:val="DefaultParagraphFont"/>
    <w:uiPriority w:val="99"/>
    <w:semiHidden/>
    <w:unhideWhenUsed/>
    <w:qFormat/>
    <w:rsid w:val="002f1c8a"/>
    <w:rPr/>
  </w:style>
  <w:style w:type="character" w:styleId="PieddepageCar" w:customStyle="1">
    <w:name w:val="Pied de page Car"/>
    <w:basedOn w:val="DefaultParagraphFont"/>
    <w:link w:val="Footer"/>
    <w:uiPriority w:val="99"/>
    <w:qFormat/>
    <w:rsid w:val="002f1c8a"/>
    <w:rPr/>
  </w:style>
  <w:style w:type="character" w:styleId="VisitedInternetLink">
    <w:name w:val="FollowedHyperlink"/>
    <w:basedOn w:val="DefaultParagraphFont"/>
    <w:uiPriority w:val="99"/>
    <w:semiHidden/>
    <w:unhideWhenUsed/>
    <w:rsid w:val="002f1c8a"/>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EntteCar"/>
    <w:uiPriority w:val="99"/>
    <w:unhideWhenUsed/>
    <w:rsid w:val="002f1c8a"/>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2f1c8a"/>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2</Pages>
  <Words>587</Words>
  <Characters>3463</Characters>
  <CharactersWithSpaces>4043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2026-02-18T12:30:00Z</dcterms:created>
  <dc:creator>M.Fontaine</dc:creator>
  <dc:description/>
  <dc:language>en-US</dc:language>
  <cp:lastModifiedBy/>
  <dcterms:modified xsi:type="dcterms:W3CDTF">2026-03-16T15:56:58Z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