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1"/>
        </w:numPr>
        <w:shd w:fill="ffffff" w:val="clear"/>
        <w:spacing w:after="0" w:afterAutospacing="0" w:lineRule="auto"/>
        <w:ind w:left="1100" w:hanging="360"/>
      </w:pPr>
      <w:r w:rsidDel="00000000" w:rsidR="00000000" w:rsidRPr="00000000">
        <w:rPr>
          <w:color w:val="2d3b45"/>
          <w:sz w:val="24"/>
          <w:szCs w:val="24"/>
          <w:rtl w:val="0"/>
        </w:rPr>
        <w:t xml:space="preserve">Which law amended the Computer Fraud and Abuse Act of 1986, and what did it change?</w:t>
      </w:r>
    </w:p>
    <w:p w:rsidR="00000000" w:rsidDel="00000000" w:rsidP="00000000" w:rsidRDefault="00000000" w:rsidRPr="00000000" w14:paraId="00000002">
      <w:pPr>
        <w:numPr>
          <w:ilvl w:val="1"/>
          <w:numId w:val="11"/>
        </w:numPr>
        <w:shd w:fill="ffffff" w:val="clear"/>
        <w:spacing w:after="200" w:lineRule="auto"/>
        <w:ind w:left="1440" w:hanging="360"/>
        <w:rPr>
          <w:color w:val="2d3b45"/>
          <w:sz w:val="24"/>
          <w:szCs w:val="24"/>
        </w:rPr>
      </w:pPr>
      <w:r w:rsidDel="00000000" w:rsidR="00000000" w:rsidRPr="00000000">
        <w:rPr>
          <w:color w:val="2d3639"/>
          <w:sz w:val="24"/>
          <w:szCs w:val="24"/>
          <w:highlight w:val="white"/>
          <w:rtl w:val="0"/>
        </w:rPr>
        <w:t xml:space="preserve">The National Information Infrastructure Protection Act of 1996 amended the Computer Fraud and Abuse Act of 1986. It modified several sections of the CFAA and increased the penalties for selected crimes. These penalties include fines, up to 20 years in prison, and may include both.  Severity is determined by the value of information and the motivation/intent behind it.</w:t>
      </w:r>
      <w:r w:rsidDel="00000000" w:rsidR="00000000" w:rsidRPr="00000000">
        <w:rPr>
          <w:rtl w:val="0"/>
        </w:rPr>
      </w:r>
    </w:p>
    <w:p w:rsidR="00000000" w:rsidDel="00000000" w:rsidP="00000000" w:rsidRDefault="00000000" w:rsidRPr="00000000" w14:paraId="00000003">
      <w:pPr>
        <w:shd w:fill="ffffff" w:val="clea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04">
      <w:pPr>
        <w:numPr>
          <w:ilvl w:val="0"/>
          <w:numId w:val="7"/>
        </w:numPr>
        <w:shd w:fill="ffffff" w:val="clear"/>
        <w:spacing w:after="0" w:afterAutospacing="0" w:lineRule="auto"/>
        <w:ind w:left="1100" w:hanging="360"/>
      </w:pPr>
      <w:r w:rsidDel="00000000" w:rsidR="00000000" w:rsidRPr="00000000">
        <w:rPr>
          <w:color w:val="2d3b45"/>
          <w:sz w:val="24"/>
          <w:szCs w:val="24"/>
          <w:rtl w:val="0"/>
        </w:rPr>
        <w:t xml:space="preserve">What is privacy in an information security context?</w:t>
      </w:r>
    </w:p>
    <w:p w:rsidR="00000000" w:rsidDel="00000000" w:rsidP="00000000" w:rsidRDefault="00000000" w:rsidRPr="00000000" w14:paraId="00000005">
      <w:pPr>
        <w:numPr>
          <w:ilvl w:val="1"/>
          <w:numId w:val="7"/>
        </w:numPr>
        <w:shd w:fill="ffffff" w:val="clear"/>
        <w:spacing w:after="0" w:afterAutospacing="0" w:lineRule="auto"/>
        <w:ind w:left="1440" w:hanging="360"/>
        <w:rPr>
          <w:color w:val="2d3b45"/>
          <w:sz w:val="24"/>
          <w:szCs w:val="24"/>
        </w:rPr>
      </w:pPr>
      <w:r w:rsidDel="00000000" w:rsidR="00000000" w:rsidRPr="00000000">
        <w:rPr>
          <w:color w:val="2d3639"/>
          <w:sz w:val="24"/>
          <w:szCs w:val="24"/>
          <w:highlight w:val="white"/>
          <w:rtl w:val="0"/>
        </w:rPr>
        <w:t xml:space="preserve">Privacy is not absolute freedom from observation, but rather it is a more precise "state of being free from unsanctioned intrusion."</w:t>
      </w:r>
      <w:r w:rsidDel="00000000" w:rsidR="00000000" w:rsidRPr="00000000">
        <w:rPr>
          <w:rtl w:val="0"/>
        </w:rPr>
      </w:r>
    </w:p>
    <w:p w:rsidR="00000000" w:rsidDel="00000000" w:rsidP="00000000" w:rsidRDefault="00000000" w:rsidRPr="00000000" w14:paraId="00000006">
      <w:pPr>
        <w:numPr>
          <w:ilvl w:val="1"/>
          <w:numId w:val="7"/>
        </w:numPr>
        <w:shd w:fill="ffffff" w:val="clear"/>
        <w:spacing w:after="200" w:lineRule="auto"/>
        <w:ind w:left="1440" w:hanging="360"/>
        <w:rPr>
          <w:color w:val="2d3b45"/>
          <w:sz w:val="24"/>
          <w:szCs w:val="24"/>
          <w:u w:val="none"/>
        </w:rPr>
      </w:pPr>
      <w:r w:rsidDel="00000000" w:rsidR="00000000" w:rsidRPr="00000000">
        <w:rPr>
          <w:rFonts w:ascii="Helvetica Neue" w:cs="Helvetica Neue" w:eastAsia="Helvetica Neue" w:hAnsi="Helvetica Neue"/>
          <w:color w:val="2d3b45"/>
          <w:sz w:val="24"/>
          <w:szCs w:val="24"/>
          <w:highlight w:val="white"/>
          <w:rtl w:val="0"/>
        </w:rPr>
        <w:t xml:space="preserve">The right of individuals or groups to protect themselves and their information from unauthorized access providing confidentiality.</w:t>
      </w:r>
      <w:r w:rsidDel="00000000" w:rsidR="00000000" w:rsidRPr="00000000">
        <w:rPr>
          <w:rtl w:val="0"/>
        </w:rPr>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8">
      <w:pPr>
        <w:numPr>
          <w:ilvl w:val="0"/>
          <w:numId w:val="5"/>
        </w:numPr>
        <w:shd w:fill="ffffff" w:val="clear"/>
        <w:spacing w:after="0" w:afterAutospacing="0" w:lineRule="auto"/>
        <w:ind w:left="1100" w:hanging="360"/>
      </w:pPr>
      <w:r w:rsidDel="00000000" w:rsidR="00000000" w:rsidRPr="00000000">
        <w:rPr>
          <w:color w:val="2d3b45"/>
          <w:sz w:val="24"/>
          <w:szCs w:val="24"/>
          <w:rtl w:val="0"/>
        </w:rPr>
        <w:t xml:space="preserve">What is another name for the Kennedy-Kassebaum Act (1996), and why is it important to organizations that are not in the healthcare industry?</w:t>
      </w:r>
    </w:p>
    <w:p w:rsidR="00000000" w:rsidDel="00000000" w:rsidP="00000000" w:rsidRDefault="00000000" w:rsidRPr="00000000" w14:paraId="00000009">
      <w:pPr>
        <w:numPr>
          <w:ilvl w:val="1"/>
          <w:numId w:val="5"/>
        </w:numPr>
        <w:shd w:fill="ffffff" w:val="clear"/>
        <w:spacing w:after="0" w:afterAutospacing="0" w:line="240" w:lineRule="auto"/>
        <w:ind w:left="1440" w:hanging="360"/>
        <w:rPr>
          <w:color w:val="2d3b45"/>
          <w:sz w:val="24"/>
          <w:szCs w:val="24"/>
        </w:rPr>
      </w:pPr>
      <w:r w:rsidDel="00000000" w:rsidR="00000000" w:rsidRPr="00000000">
        <w:rPr>
          <w:rFonts w:ascii="Helvetica Neue" w:cs="Helvetica Neue" w:eastAsia="Helvetica Neue" w:hAnsi="Helvetica Neue"/>
          <w:color w:val="2d3b45"/>
          <w:sz w:val="24"/>
          <w:szCs w:val="24"/>
          <w:highlight w:val="white"/>
          <w:rtl w:val="0"/>
        </w:rPr>
        <w:t xml:space="preserve">The Health Insurance Portability and Accountability Act (HIPAA) of 1996.</w:t>
      </w:r>
      <w:r w:rsidDel="00000000" w:rsidR="00000000" w:rsidRPr="00000000">
        <w:rPr>
          <w:rtl w:val="0"/>
        </w:rPr>
      </w:r>
    </w:p>
    <w:p w:rsidR="00000000" w:rsidDel="00000000" w:rsidP="00000000" w:rsidRDefault="00000000" w:rsidRPr="00000000" w14:paraId="0000000A">
      <w:pPr>
        <w:numPr>
          <w:ilvl w:val="1"/>
          <w:numId w:val="5"/>
        </w:numPr>
        <w:shd w:fill="ffffff" w:val="clear"/>
        <w:spacing w:after="0" w:afterAutospacing="0" w:line="240" w:lineRule="auto"/>
        <w:ind w:left="1440" w:hanging="360"/>
        <w:rPr>
          <w:color w:val="2d3b45"/>
          <w:sz w:val="24"/>
          <w:szCs w:val="24"/>
        </w:rPr>
      </w:pPr>
      <w:r w:rsidDel="00000000" w:rsidR="00000000" w:rsidRPr="00000000">
        <w:rPr>
          <w:rFonts w:ascii="Helvetica Neue" w:cs="Helvetica Neue" w:eastAsia="Helvetica Neue" w:hAnsi="Helvetica Neue"/>
          <w:color w:val="2d3b45"/>
          <w:sz w:val="24"/>
          <w:szCs w:val="24"/>
          <w:highlight w:val="white"/>
          <w:rtl w:val="0"/>
        </w:rPr>
        <w:t xml:space="preserve">HIPAA protects the confidentiality and security of healthcare data. The law affects any  organization that handles this healthcare data, whether or not they are actually considered a health care organization.</w:t>
      </w:r>
      <w:r w:rsidDel="00000000" w:rsidR="00000000" w:rsidRPr="00000000">
        <w:rPr>
          <w:rtl w:val="0"/>
        </w:rPr>
      </w:r>
    </w:p>
    <w:p w:rsidR="00000000" w:rsidDel="00000000" w:rsidP="00000000" w:rsidRDefault="00000000" w:rsidRPr="00000000" w14:paraId="0000000B">
      <w:pPr>
        <w:numPr>
          <w:ilvl w:val="1"/>
          <w:numId w:val="5"/>
        </w:numPr>
        <w:shd w:fill="ffffff" w:val="clear"/>
        <w:spacing w:after="200" w:line="240" w:lineRule="auto"/>
        <w:ind w:left="1440" w:hanging="360"/>
        <w:rPr>
          <w:color w:val="2d3b45"/>
          <w:sz w:val="24"/>
          <w:szCs w:val="24"/>
        </w:rPr>
      </w:pPr>
      <w:r w:rsidDel="00000000" w:rsidR="00000000" w:rsidRPr="00000000">
        <w:rPr>
          <w:rFonts w:ascii="Helvetica Neue" w:cs="Helvetica Neue" w:eastAsia="Helvetica Neue" w:hAnsi="Helvetica Neue"/>
          <w:color w:val="2d3b45"/>
          <w:sz w:val="24"/>
          <w:szCs w:val="24"/>
          <w:highlight w:val="white"/>
          <w:rtl w:val="0"/>
        </w:rPr>
        <w:t xml:space="preserve">HIPAA was later expanded to include businesses associated with HCOs, including legal and accounting firms as well as IT firms or any business partners which must now comply with HIPAA regulations in protecting patient healthcare information (PHI) as if they were HCOs (Health Care Organizations) themselves.</w:t>
      </w:r>
      <w:r w:rsidDel="00000000" w:rsidR="00000000" w:rsidRPr="00000000">
        <w:rPr>
          <w:rtl w:val="0"/>
        </w:rPr>
      </w:r>
    </w:p>
    <w:p w:rsidR="00000000" w:rsidDel="00000000" w:rsidP="00000000" w:rsidRDefault="00000000" w:rsidRPr="00000000" w14:paraId="0000000C">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E">
      <w:pPr>
        <w:numPr>
          <w:ilvl w:val="0"/>
          <w:numId w:val="10"/>
        </w:numPr>
        <w:shd w:fill="ffffff" w:val="clear"/>
        <w:spacing w:after="0" w:afterAutospacing="0" w:lineRule="auto"/>
        <w:ind w:left="1100" w:hanging="360"/>
      </w:pPr>
      <w:r w:rsidDel="00000000" w:rsidR="00000000" w:rsidRPr="00000000">
        <w:rPr>
          <w:color w:val="2d3b45"/>
          <w:sz w:val="24"/>
          <w:szCs w:val="24"/>
          <w:rtl w:val="0"/>
        </w:rPr>
        <w:t xml:space="preserve">If you work for a financial services organization such as a bank or credit union, which 1999 law affects your use of customer data? What other effects does it have?</w:t>
      </w:r>
    </w:p>
    <w:p w:rsidR="00000000" w:rsidDel="00000000" w:rsidP="00000000" w:rsidRDefault="00000000" w:rsidRPr="00000000" w14:paraId="0000000F">
      <w:pPr>
        <w:numPr>
          <w:ilvl w:val="1"/>
          <w:numId w:val="10"/>
        </w:numPr>
        <w:shd w:fill="ffffff" w:val="clear"/>
        <w:spacing w:after="200" w:lineRule="auto"/>
        <w:ind w:left="1440" w:hanging="360"/>
        <w:rPr>
          <w:color w:val="2d3b45"/>
          <w:sz w:val="24"/>
          <w:szCs w:val="24"/>
        </w:rPr>
      </w:pPr>
      <w:r w:rsidDel="00000000" w:rsidR="00000000" w:rsidRPr="00000000">
        <w:rPr>
          <w:color w:val="2d3639"/>
          <w:sz w:val="24"/>
          <w:szCs w:val="24"/>
          <w:highlight w:val="white"/>
          <w:rtl w:val="0"/>
        </w:rPr>
        <w:t xml:space="preserve">The Financial Services Modernization Act or also known as the Gramm-Leach-Bliley Act of 1999. The act requires all financial institutions to disclose their privacy policies on the sharing of nonpublic personal information and also requires due notice to customers in order for them to indicate they dont want their data shared with third parties.The act also makes sure that the privacy policies in effect in an organization are disclosed when a customer initiates a business relationship and is distributed annually as long as they are a customer</w:t>
      </w:r>
      <w:r w:rsidDel="00000000" w:rsidR="00000000" w:rsidRPr="00000000">
        <w:rPr>
          <w:color w:val="2d3b45"/>
          <w:sz w:val="24"/>
          <w:szCs w:val="24"/>
          <w:rtl w:val="0"/>
        </w:rPr>
        <w:t xml:space="preserve"> </w:t>
      </w:r>
    </w:p>
    <w:p w:rsidR="00000000" w:rsidDel="00000000" w:rsidP="00000000" w:rsidRDefault="00000000" w:rsidRPr="00000000" w14:paraId="00000010">
      <w:pPr>
        <w:shd w:fill="ffffff" w:val="clea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12">
      <w:pPr>
        <w:numPr>
          <w:ilvl w:val="0"/>
          <w:numId w:val="14"/>
        </w:numPr>
        <w:shd w:fill="ffffff" w:val="clear"/>
        <w:spacing w:after="200" w:lineRule="auto"/>
        <w:ind w:left="1100" w:hanging="360"/>
      </w:pPr>
      <w:r w:rsidDel="00000000" w:rsidR="00000000" w:rsidRPr="00000000">
        <w:rPr>
          <w:color w:val="2d3b45"/>
          <w:sz w:val="24"/>
          <w:szCs w:val="24"/>
          <w:rtl w:val="0"/>
        </w:rPr>
        <w:t xml:space="preserve">What is the primary purpose of the USA PATRIOT Act and how has it been revised since its original passage?</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4">
      <w:pPr>
        <w:numPr>
          <w:ilvl w:val="0"/>
          <w:numId w:val="16"/>
        </w:numPr>
        <w:shd w:fill="ffffff" w:val="clear"/>
        <w:spacing w:after="200" w:lineRule="auto"/>
        <w:ind w:left="1100" w:hanging="360"/>
      </w:pPr>
      <w:r w:rsidDel="00000000" w:rsidR="00000000" w:rsidRPr="00000000">
        <w:rPr>
          <w:color w:val="2d3b45"/>
          <w:sz w:val="24"/>
          <w:szCs w:val="24"/>
          <w:rtl w:val="0"/>
        </w:rPr>
        <w:t xml:space="preserve">What is PCI DSS and why is it important for information security?</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6">
      <w:pPr>
        <w:numPr>
          <w:ilvl w:val="0"/>
          <w:numId w:val="9"/>
        </w:numPr>
        <w:shd w:fill="ffffff" w:val="clear"/>
        <w:spacing w:after="200" w:lineRule="auto"/>
        <w:ind w:left="1100" w:hanging="360"/>
      </w:pPr>
      <w:r w:rsidDel="00000000" w:rsidR="00000000" w:rsidRPr="00000000">
        <w:rPr>
          <w:color w:val="2d3b45"/>
          <w:sz w:val="24"/>
          <w:szCs w:val="24"/>
          <w:rtl w:val="0"/>
        </w:rPr>
        <w:t xml:space="preserve">What is intellectual property (IP)? Is it afforded the same protection in every country of the world? What laws currently protect IP in the United States and Europe?</w:t>
      </w:r>
    </w:p>
    <w:p w:rsidR="00000000" w:rsidDel="00000000" w:rsidP="00000000" w:rsidRDefault="00000000" w:rsidRPr="00000000" w14:paraId="00000017">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8">
      <w:pPr>
        <w:numPr>
          <w:ilvl w:val="0"/>
          <w:numId w:val="19"/>
        </w:numPr>
        <w:shd w:fill="ffffff" w:val="clear"/>
        <w:spacing w:after="200" w:lineRule="auto"/>
        <w:ind w:left="1100" w:hanging="360"/>
      </w:pPr>
      <w:r w:rsidDel="00000000" w:rsidR="00000000" w:rsidRPr="00000000">
        <w:rPr>
          <w:color w:val="2d3b45"/>
          <w:sz w:val="24"/>
          <w:szCs w:val="24"/>
          <w:rtl w:val="0"/>
        </w:rPr>
        <w:t xml:space="preserve">How does the Sarbanes-Oxley Act of 2002 affect information security managers?</w:t>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A">
      <w:pPr>
        <w:numPr>
          <w:ilvl w:val="0"/>
          <w:numId w:val="2"/>
        </w:numPr>
        <w:shd w:fill="ffffff" w:val="clear"/>
        <w:spacing w:after="200" w:lineRule="auto"/>
        <w:ind w:left="1100" w:hanging="360"/>
      </w:pPr>
      <w:r w:rsidDel="00000000" w:rsidR="00000000" w:rsidRPr="00000000">
        <w:rPr>
          <w:color w:val="2d3b45"/>
          <w:sz w:val="24"/>
          <w:szCs w:val="24"/>
          <w:rtl w:val="0"/>
        </w:rPr>
        <w:t xml:space="preserve">What are the issues associated with adopting a formal framework or model?</w:t>
      </w:r>
    </w:p>
    <w:p w:rsidR="00000000" w:rsidDel="00000000" w:rsidP="00000000" w:rsidRDefault="00000000" w:rsidRPr="00000000" w14:paraId="0000001B">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C">
      <w:pPr>
        <w:numPr>
          <w:ilvl w:val="0"/>
          <w:numId w:val="15"/>
        </w:numPr>
        <w:shd w:fill="ffffff" w:val="clear"/>
        <w:spacing w:after="200" w:lineRule="auto"/>
        <w:ind w:left="1100" w:hanging="360"/>
      </w:pPr>
      <w:r w:rsidDel="00000000" w:rsidR="00000000" w:rsidRPr="00000000">
        <w:rPr>
          <w:color w:val="2d3b45"/>
          <w:sz w:val="24"/>
          <w:szCs w:val="24"/>
          <w:rtl w:val="0"/>
        </w:rPr>
        <w:t xml:space="preserve">What documents are available from the NIST Computer Security Resource Center, and how can they support the development of a security framework?</w:t>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E">
      <w:pPr>
        <w:numPr>
          <w:ilvl w:val="0"/>
          <w:numId w:val="18"/>
        </w:numPr>
        <w:shd w:fill="ffffff" w:val="clear"/>
        <w:spacing w:after="200" w:lineRule="auto"/>
        <w:ind w:left="1100" w:hanging="360"/>
      </w:pPr>
      <w:r w:rsidDel="00000000" w:rsidR="00000000" w:rsidRPr="00000000">
        <w:rPr>
          <w:color w:val="2d3b45"/>
          <w:sz w:val="24"/>
          <w:szCs w:val="24"/>
          <w:rtl w:val="0"/>
        </w:rPr>
        <w:t xml:space="preserve">What benefit can a private, for-profit agency derive from best practices designed for federal agencies?</w:t>
      </w:r>
    </w:p>
    <w:p w:rsidR="00000000" w:rsidDel="00000000" w:rsidP="00000000" w:rsidRDefault="00000000" w:rsidRPr="00000000" w14:paraId="0000001F">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0">
      <w:pPr>
        <w:numPr>
          <w:ilvl w:val="0"/>
          <w:numId w:val="13"/>
        </w:numPr>
        <w:shd w:fill="ffffff" w:val="clear"/>
        <w:spacing w:after="200" w:lineRule="auto"/>
        <w:ind w:left="1100" w:hanging="360"/>
      </w:pPr>
      <w:r w:rsidDel="00000000" w:rsidR="00000000" w:rsidRPr="00000000">
        <w:rPr>
          <w:color w:val="2d3b45"/>
          <w:sz w:val="24"/>
          <w:szCs w:val="24"/>
          <w:rtl w:val="0"/>
        </w:rPr>
        <w:t xml:space="preserve">What Web resources can aid an organization in developing best practices as part of a security framework?</w:t>
      </w:r>
    </w:p>
    <w:p w:rsidR="00000000" w:rsidDel="00000000" w:rsidP="00000000" w:rsidRDefault="00000000" w:rsidRPr="00000000" w14:paraId="00000021">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2">
      <w:pPr>
        <w:numPr>
          <w:ilvl w:val="0"/>
          <w:numId w:val="12"/>
        </w:numPr>
        <w:shd w:fill="ffffff" w:val="clear"/>
        <w:spacing w:after="200" w:lineRule="auto"/>
        <w:ind w:left="1100" w:hanging="360"/>
      </w:pPr>
      <w:r w:rsidDel="00000000" w:rsidR="00000000" w:rsidRPr="00000000">
        <w:rPr>
          <w:color w:val="2d3b45"/>
          <w:sz w:val="24"/>
          <w:szCs w:val="24"/>
          <w:rtl w:val="0"/>
        </w:rPr>
        <w:t xml:space="preserve">Who is ultimately responsible for managing a technology? Who is responsible for enforcing policy that affects the use of a technology?</w:t>
      </w:r>
    </w:p>
    <w:p w:rsidR="00000000" w:rsidDel="00000000" w:rsidP="00000000" w:rsidRDefault="00000000" w:rsidRPr="00000000" w14:paraId="00000023">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4">
      <w:pPr>
        <w:numPr>
          <w:ilvl w:val="0"/>
          <w:numId w:val="20"/>
        </w:numPr>
        <w:shd w:fill="ffffff" w:val="clear"/>
        <w:spacing w:after="200" w:lineRule="auto"/>
        <w:ind w:left="1100" w:hanging="360"/>
      </w:pPr>
      <w:r w:rsidDel="00000000" w:rsidR="00000000" w:rsidRPr="00000000">
        <w:rPr>
          <w:color w:val="2d3b45"/>
          <w:sz w:val="24"/>
          <w:szCs w:val="24"/>
          <w:rtl w:val="0"/>
        </w:rPr>
        <w:t xml:space="preserve">When is the BC plan used? How do you determine when to use the IR, DR, and BC plans?</w:t>
      </w:r>
    </w:p>
    <w:p w:rsidR="00000000" w:rsidDel="00000000" w:rsidP="00000000" w:rsidRDefault="00000000" w:rsidRPr="00000000" w14:paraId="00000025">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6">
      <w:pPr>
        <w:numPr>
          <w:ilvl w:val="0"/>
          <w:numId w:val="6"/>
        </w:numPr>
        <w:shd w:fill="ffffff" w:val="clear"/>
        <w:spacing w:after="200" w:lineRule="auto"/>
        <w:ind w:left="90" w:hanging="1095"/>
      </w:pPr>
      <w:r w:rsidDel="00000000" w:rsidR="00000000" w:rsidRPr="00000000">
        <w:rPr>
          <w:color w:val="2d3b45"/>
          <w:sz w:val="24"/>
          <w:szCs w:val="24"/>
          <w:rtl w:val="0"/>
        </w:rPr>
        <w:t xml:space="preserve">What are the elements of a business impact analysis?</w:t>
      </w:r>
    </w:p>
    <w:p w:rsidR="00000000" w:rsidDel="00000000" w:rsidP="00000000" w:rsidRDefault="00000000" w:rsidRPr="00000000" w14:paraId="00000027">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8">
      <w:pPr>
        <w:numPr>
          <w:ilvl w:val="0"/>
          <w:numId w:val="1"/>
        </w:numPr>
        <w:shd w:fill="ffffff" w:val="clear"/>
        <w:spacing w:after="200" w:lineRule="auto"/>
        <w:ind w:left="1100" w:hanging="360"/>
      </w:pPr>
      <w:r w:rsidDel="00000000" w:rsidR="00000000" w:rsidRPr="00000000">
        <w:rPr>
          <w:color w:val="2d3b45"/>
          <w:sz w:val="24"/>
          <w:szCs w:val="24"/>
          <w:rtl w:val="0"/>
        </w:rPr>
        <w:t xml:space="preserve">What are Pipkin’s three categories of incident indicators?</w:t>
      </w:r>
    </w:p>
    <w:p w:rsidR="00000000" w:rsidDel="00000000" w:rsidP="00000000" w:rsidRDefault="00000000" w:rsidRPr="00000000" w14:paraId="0000002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A">
      <w:pPr>
        <w:numPr>
          <w:ilvl w:val="0"/>
          <w:numId w:val="3"/>
        </w:numPr>
        <w:shd w:fill="ffffff" w:val="clear"/>
        <w:spacing w:after="200" w:lineRule="auto"/>
        <w:ind w:left="1100" w:hanging="360"/>
      </w:pPr>
      <w:r w:rsidDel="00000000" w:rsidR="00000000" w:rsidRPr="00000000">
        <w:rPr>
          <w:color w:val="2d3b45"/>
          <w:sz w:val="24"/>
          <w:szCs w:val="24"/>
          <w:rtl w:val="0"/>
        </w:rPr>
        <w:t xml:space="preserve">What is containment, and why is it part of the planning process?</w:t>
      </w:r>
    </w:p>
    <w:p w:rsidR="00000000" w:rsidDel="00000000" w:rsidP="00000000" w:rsidRDefault="00000000" w:rsidRPr="00000000" w14:paraId="0000002B">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C">
      <w:pPr>
        <w:numPr>
          <w:ilvl w:val="0"/>
          <w:numId w:val="8"/>
        </w:numPr>
        <w:shd w:fill="ffffff" w:val="clear"/>
        <w:spacing w:after="200" w:lineRule="auto"/>
        <w:ind w:left="1100" w:hanging="360"/>
      </w:pPr>
      <w:r w:rsidDel="00000000" w:rsidR="00000000" w:rsidRPr="00000000">
        <w:rPr>
          <w:color w:val="2d3b45"/>
          <w:sz w:val="24"/>
          <w:szCs w:val="24"/>
          <w:rtl w:val="0"/>
        </w:rPr>
        <w:t xml:space="preserve">When should law enforcement be involved in an IR or DR action? What are the issues associated with law enforcement involvement?</w:t>
      </w:r>
    </w:p>
    <w:p w:rsidR="00000000" w:rsidDel="00000000" w:rsidP="00000000" w:rsidRDefault="00000000" w:rsidRPr="00000000" w14:paraId="0000002D">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E">
      <w:pPr>
        <w:numPr>
          <w:ilvl w:val="0"/>
          <w:numId w:val="17"/>
        </w:numPr>
        <w:shd w:fill="ffffff" w:val="clear"/>
        <w:spacing w:after="200" w:lineRule="auto"/>
        <w:ind w:left="1100" w:hanging="360"/>
      </w:pPr>
      <w:r w:rsidDel="00000000" w:rsidR="00000000" w:rsidRPr="00000000">
        <w:rPr>
          <w:color w:val="2d3b45"/>
          <w:sz w:val="24"/>
          <w:szCs w:val="24"/>
          <w:rtl w:val="0"/>
        </w:rPr>
        <w:t xml:space="preserve">What is an after-action review? When is it performed? Why is it done?</w:t>
      </w:r>
    </w:p>
    <w:p w:rsidR="00000000" w:rsidDel="00000000" w:rsidP="00000000" w:rsidRDefault="00000000" w:rsidRPr="00000000" w14:paraId="0000002F">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0">
      <w:pPr>
        <w:numPr>
          <w:ilvl w:val="0"/>
          <w:numId w:val="4"/>
        </w:numPr>
        <w:shd w:fill="ffffff" w:val="clear"/>
        <w:spacing w:after="200" w:lineRule="auto"/>
        <w:ind w:left="1100" w:hanging="360"/>
      </w:pPr>
      <w:r w:rsidDel="00000000" w:rsidR="00000000" w:rsidRPr="00000000">
        <w:rPr>
          <w:color w:val="2d3b45"/>
          <w:sz w:val="24"/>
          <w:szCs w:val="24"/>
          <w:rtl w:val="0"/>
        </w:rPr>
        <w:t xml:space="preserve">List and describe the six site and data contingency strategies identified in the text.</w:t>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7"/>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0"/>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5"/>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8"/>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7"/>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3"/>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2"/>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5"/>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0"/>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6"/>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9"/>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8"/>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4"/>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